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65DA1785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42E3186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B2EC4F7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C46DEB2" w14:textId="54E3B8A7" w:rsidR="009E6CB7" w:rsidRPr="00D47EEA" w:rsidRDefault="00DA4201" w:rsidP="00DA4201">
            <w:pPr>
              <w:jc w:val="right"/>
            </w:pPr>
            <w:r w:rsidRPr="00DA4201">
              <w:rPr>
                <w:sz w:val="40"/>
              </w:rPr>
              <w:t>ECE</w:t>
            </w:r>
            <w:r>
              <w:t>/TRANS/WP.29/202</w:t>
            </w:r>
            <w:r w:rsidR="00A83E10">
              <w:t>5</w:t>
            </w:r>
            <w:r>
              <w:t>/</w:t>
            </w:r>
            <w:r w:rsidR="008B4E7E">
              <w:t>5</w:t>
            </w:r>
          </w:p>
        </w:tc>
      </w:tr>
      <w:tr w:rsidR="009E6CB7" w14:paraId="3811DBA4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AC546BE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02FBFB1" wp14:editId="62D9A817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D37E9C5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83CA38F" w14:textId="77777777" w:rsidR="009E6CB7" w:rsidRDefault="00DA4201" w:rsidP="00DA4201">
            <w:pPr>
              <w:spacing w:before="240" w:line="240" w:lineRule="exact"/>
            </w:pPr>
            <w:r>
              <w:t>Distr.: General</w:t>
            </w:r>
          </w:p>
          <w:p w14:paraId="7B09E0B1" w14:textId="3BC25BD5" w:rsidR="00DA4201" w:rsidRDefault="004C00FF" w:rsidP="00DA4201">
            <w:pPr>
              <w:spacing w:line="240" w:lineRule="exact"/>
            </w:pPr>
            <w:r>
              <w:t>20</w:t>
            </w:r>
            <w:r w:rsidR="00827502">
              <w:t xml:space="preserve"> December </w:t>
            </w:r>
            <w:r w:rsidR="00DA4201">
              <w:t>2024</w:t>
            </w:r>
          </w:p>
          <w:p w14:paraId="5D3E40A3" w14:textId="77777777" w:rsidR="00DA4201" w:rsidRDefault="00DA4201" w:rsidP="00DA4201">
            <w:pPr>
              <w:spacing w:line="240" w:lineRule="exact"/>
            </w:pPr>
          </w:p>
          <w:p w14:paraId="6510296B" w14:textId="3842A1F4" w:rsidR="00DA4201" w:rsidRDefault="00DA4201" w:rsidP="00DA4201">
            <w:pPr>
              <w:spacing w:line="240" w:lineRule="exact"/>
            </w:pPr>
            <w:r>
              <w:t>Original: English</w:t>
            </w:r>
          </w:p>
        </w:tc>
      </w:tr>
    </w:tbl>
    <w:p w14:paraId="1674B93C" w14:textId="77777777" w:rsidR="005B5427" w:rsidRDefault="005B5427" w:rsidP="005B5427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16F2DF88" w14:textId="77777777" w:rsidR="005B5427" w:rsidRDefault="005B5427" w:rsidP="005B5427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7E7628BD" w14:textId="77777777" w:rsidR="005B5427" w:rsidRDefault="005B5427" w:rsidP="005B5427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World Forum for Harmonization of Vehicle Regulations</w:t>
      </w:r>
    </w:p>
    <w:p w14:paraId="1605CDAE" w14:textId="0D1B82D5" w:rsidR="005B5427" w:rsidRDefault="005B5427" w:rsidP="005B5427">
      <w:pPr>
        <w:spacing w:before="120"/>
        <w:rPr>
          <w:b/>
          <w:lang w:val="en-US"/>
        </w:rPr>
      </w:pPr>
      <w:r>
        <w:rPr>
          <w:b/>
          <w:lang w:val="en-US"/>
        </w:rPr>
        <w:t>19</w:t>
      </w:r>
      <w:r w:rsidR="00827502">
        <w:rPr>
          <w:b/>
          <w:lang w:val="en-US"/>
        </w:rPr>
        <w:t>5</w:t>
      </w:r>
      <w:r>
        <w:rPr>
          <w:b/>
          <w:lang w:val="en-US"/>
        </w:rPr>
        <w:t>th session</w:t>
      </w:r>
    </w:p>
    <w:p w14:paraId="77B038CA" w14:textId="6681973B" w:rsidR="005B5427" w:rsidRDefault="005B5427" w:rsidP="005B5427">
      <w:pPr>
        <w:tabs>
          <w:tab w:val="left" w:pos="5560"/>
        </w:tabs>
      </w:pPr>
      <w:r>
        <w:t xml:space="preserve">Geneva, </w:t>
      </w:r>
      <w:r w:rsidR="0020574F">
        <w:t>4</w:t>
      </w:r>
      <w:r>
        <w:t>–</w:t>
      </w:r>
      <w:r w:rsidR="0020574F">
        <w:t>7</w:t>
      </w:r>
      <w:r>
        <w:t xml:space="preserve"> </w:t>
      </w:r>
      <w:r w:rsidR="0020574F">
        <w:t xml:space="preserve">March </w:t>
      </w:r>
      <w:r>
        <w:t>202</w:t>
      </w:r>
      <w:r w:rsidR="0020574F">
        <w:t>5</w:t>
      </w:r>
    </w:p>
    <w:p w14:paraId="3E7FA082" w14:textId="50DB2172" w:rsidR="005B5427" w:rsidRDefault="005B5427" w:rsidP="005B5427">
      <w:r>
        <w:t>Item 4.</w:t>
      </w:r>
      <w:r w:rsidR="00BF1F86">
        <w:t>6</w:t>
      </w:r>
      <w:r>
        <w:t>.</w:t>
      </w:r>
      <w:r w:rsidR="001E2C7E">
        <w:t>3</w:t>
      </w:r>
      <w:r>
        <w:t xml:space="preserve"> of the provisional agenda</w:t>
      </w:r>
    </w:p>
    <w:p w14:paraId="413D7045" w14:textId="77777777" w:rsidR="005B5427" w:rsidRDefault="005B5427" w:rsidP="005B5427">
      <w:pPr>
        <w:rPr>
          <w:b/>
        </w:rPr>
      </w:pPr>
      <w:r>
        <w:rPr>
          <w:b/>
        </w:rPr>
        <w:t>1958 Agreement:</w:t>
      </w:r>
    </w:p>
    <w:p w14:paraId="6D08E71F" w14:textId="77777777" w:rsidR="005B5427" w:rsidRDefault="005B5427" w:rsidP="005B5427">
      <w:pPr>
        <w:rPr>
          <w:b/>
        </w:rPr>
      </w:pPr>
      <w:r>
        <w:rPr>
          <w:b/>
        </w:rPr>
        <w:t>Consideration of draft amendments to existing</w:t>
      </w:r>
    </w:p>
    <w:p w14:paraId="09978B39" w14:textId="2EB8F010" w:rsidR="005B5427" w:rsidRDefault="005B5427" w:rsidP="005B5427">
      <w:pPr>
        <w:rPr>
          <w:b/>
          <w:bCs/>
        </w:rPr>
      </w:pPr>
      <w:r>
        <w:rPr>
          <w:b/>
        </w:rPr>
        <w:t xml:space="preserve">UN Regulations submitted by </w:t>
      </w:r>
      <w:r w:rsidR="00C6171D">
        <w:rPr>
          <w:b/>
        </w:rPr>
        <w:t>GR</w:t>
      </w:r>
      <w:r w:rsidR="00B77C0C">
        <w:rPr>
          <w:b/>
        </w:rPr>
        <w:t>BP</w:t>
      </w:r>
    </w:p>
    <w:p w14:paraId="15C4C008" w14:textId="62782EF0" w:rsidR="005B5427" w:rsidRDefault="007B2F49" w:rsidP="005B5427">
      <w:pPr>
        <w:pStyle w:val="HChG"/>
        <w:ind w:left="1124" w:right="1138" w:firstLine="0"/>
      </w:pPr>
      <w:r w:rsidRPr="007B2F49">
        <w:rPr>
          <w:lang w:eastAsia="en-GB"/>
        </w:rPr>
        <w:t>Proposal for Supplement 4 to the 00 series of amendments to UN Regulation No. 124 (Replacement Wheels for Passenger Cars)</w:t>
      </w:r>
      <w:r w:rsidR="002A4BA6">
        <w:rPr>
          <w:lang w:eastAsia="en-GB"/>
        </w:rPr>
        <w:t xml:space="preserve"> </w:t>
      </w:r>
    </w:p>
    <w:p w14:paraId="3807C0D5" w14:textId="72815A4E" w:rsidR="005B5427" w:rsidRDefault="005B5427" w:rsidP="005B5427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 xml:space="preserve">Submitted by the Working Party on </w:t>
      </w:r>
      <w:r w:rsidR="002A4BA6">
        <w:rPr>
          <w:szCs w:val="24"/>
        </w:rPr>
        <w:t>Noise and Tyres</w:t>
      </w:r>
      <w:r>
        <w:footnoteReference w:customMarkFollows="1" w:id="2"/>
        <w:t>*</w:t>
      </w:r>
    </w:p>
    <w:p w14:paraId="1C7D81A0" w14:textId="13834274" w:rsidR="005B5427" w:rsidRDefault="005B5427" w:rsidP="005B5427">
      <w:pPr>
        <w:pStyle w:val="SingleTxtG"/>
        <w:rPr>
          <w:sz w:val="24"/>
          <w:szCs w:val="24"/>
          <w:lang w:eastAsia="zh-CN"/>
        </w:rPr>
      </w:pPr>
      <w:r>
        <w:rPr>
          <w:lang w:val="en-US"/>
        </w:rPr>
        <w:tab/>
        <w:t xml:space="preserve">The text reproduced below was adopted by the Working Party on </w:t>
      </w:r>
      <w:r w:rsidR="002A4BA6">
        <w:rPr>
          <w:lang w:val="en-US"/>
        </w:rPr>
        <w:t xml:space="preserve">Noise and </w:t>
      </w:r>
      <w:proofErr w:type="spellStart"/>
      <w:r w:rsidR="002A4BA6">
        <w:rPr>
          <w:lang w:val="en-US"/>
        </w:rPr>
        <w:t>Tyres</w:t>
      </w:r>
      <w:proofErr w:type="spellEnd"/>
      <w:r w:rsidR="002A4BA6">
        <w:rPr>
          <w:lang w:val="en-US"/>
        </w:rPr>
        <w:t xml:space="preserve"> </w:t>
      </w:r>
      <w:r>
        <w:rPr>
          <w:lang w:val="en-US"/>
        </w:rPr>
        <w:t>(GR</w:t>
      </w:r>
      <w:r w:rsidR="002A4BA6">
        <w:rPr>
          <w:lang w:val="en-US"/>
        </w:rPr>
        <w:t>BP</w:t>
      </w:r>
      <w:r>
        <w:rPr>
          <w:lang w:val="en-US"/>
        </w:rPr>
        <w:t xml:space="preserve">) </w:t>
      </w:r>
      <w:r w:rsidR="00FC2B46">
        <w:rPr>
          <w:lang w:val="en-US"/>
        </w:rPr>
        <w:t>at its</w:t>
      </w:r>
      <w:r>
        <w:rPr>
          <w:lang w:val="en-US"/>
        </w:rPr>
        <w:t xml:space="preserve"> </w:t>
      </w:r>
      <w:r w:rsidR="002A4BA6">
        <w:rPr>
          <w:lang w:val="en-US"/>
        </w:rPr>
        <w:t xml:space="preserve">eightieth </w:t>
      </w:r>
      <w:r w:rsidR="00EE08F1">
        <w:rPr>
          <w:lang w:val="en-US"/>
        </w:rPr>
        <w:t>session (</w:t>
      </w:r>
      <w:r w:rsidR="00EE08F1" w:rsidRPr="00EE08F1">
        <w:rPr>
          <w:lang w:val="en-US"/>
        </w:rPr>
        <w:t xml:space="preserve">ECE/TRANS/WP.29/GRBP/78, para. </w:t>
      </w:r>
      <w:r w:rsidR="00A22251">
        <w:rPr>
          <w:lang w:val="en-US"/>
        </w:rPr>
        <w:t>30</w:t>
      </w:r>
      <w:r w:rsidR="00EE08F1">
        <w:rPr>
          <w:lang w:val="en-US"/>
        </w:rPr>
        <w:t xml:space="preserve">). It is </w:t>
      </w:r>
      <w:r w:rsidR="00EE08F1" w:rsidRPr="00EE08F1">
        <w:rPr>
          <w:lang w:val="en-US"/>
        </w:rPr>
        <w:t>based on ECE/TRANS/WP.29/GRBP/2024/</w:t>
      </w:r>
      <w:r w:rsidR="00A22251">
        <w:rPr>
          <w:lang w:val="en-US"/>
        </w:rPr>
        <w:t>19</w:t>
      </w:r>
      <w:r w:rsidR="00EE08F1">
        <w:rPr>
          <w:lang w:val="en-US"/>
        </w:rPr>
        <w:t xml:space="preserve">. </w:t>
      </w:r>
      <w:r>
        <w:rPr>
          <w:lang w:val="en-US"/>
        </w:rPr>
        <w:t xml:space="preserve">It is submitted to the World Forum for Harmonization of Vehicle Regulations (WP.29) and to the Administrative Committee (AC.1) for consideration at their </w:t>
      </w:r>
      <w:r w:rsidR="002A4BA6">
        <w:rPr>
          <w:lang w:val="en-US"/>
        </w:rPr>
        <w:t xml:space="preserve">March </w:t>
      </w:r>
      <w:r>
        <w:rPr>
          <w:lang w:val="en-US"/>
        </w:rPr>
        <w:t>202</w:t>
      </w:r>
      <w:r w:rsidR="002A4BA6">
        <w:rPr>
          <w:lang w:val="en-US"/>
        </w:rPr>
        <w:t>5</w:t>
      </w:r>
      <w:r>
        <w:rPr>
          <w:lang w:val="en-US"/>
        </w:rPr>
        <w:t xml:space="preserve"> sessions. </w:t>
      </w:r>
      <w:r>
        <w:rPr>
          <w:sz w:val="24"/>
          <w:szCs w:val="24"/>
          <w:lang w:val="en-US" w:eastAsia="zh-CN"/>
        </w:rPr>
        <w:t xml:space="preserve"> </w:t>
      </w:r>
    </w:p>
    <w:p w14:paraId="15E28D3A" w14:textId="77777777" w:rsidR="005B5427" w:rsidRDefault="005B5427" w:rsidP="005B5427">
      <w:pPr>
        <w:pStyle w:val="SingleTxtG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6E689E6F" w14:textId="77777777" w:rsidR="001F1F54" w:rsidRDefault="001F1F54" w:rsidP="001F1F54">
      <w:pPr>
        <w:autoSpaceDE w:val="0"/>
        <w:autoSpaceDN w:val="0"/>
        <w:adjustRightInd w:val="0"/>
        <w:spacing w:after="120"/>
        <w:ind w:left="1134" w:right="1134"/>
        <w:jc w:val="both"/>
        <w:rPr>
          <w:i/>
          <w:iCs/>
          <w:lang w:val="en-US"/>
        </w:rPr>
      </w:pPr>
      <w:r w:rsidRPr="009D7A29">
        <w:rPr>
          <w:i/>
          <w:iCs/>
          <w:lang w:val="en-US"/>
        </w:rPr>
        <w:lastRenderedPageBreak/>
        <w:t xml:space="preserve">Annex 4, </w:t>
      </w:r>
    </w:p>
    <w:p w14:paraId="3E930BAD" w14:textId="510A5F8E" w:rsidR="001F1F54" w:rsidRPr="0068646F" w:rsidRDefault="001F1F54" w:rsidP="001F1F54">
      <w:pPr>
        <w:autoSpaceDE w:val="0"/>
        <w:autoSpaceDN w:val="0"/>
        <w:adjustRightInd w:val="0"/>
        <w:spacing w:after="120"/>
        <w:ind w:left="1134" w:right="1134"/>
        <w:jc w:val="both"/>
        <w:rPr>
          <w:lang w:val="en-US"/>
        </w:rPr>
      </w:pPr>
      <w:r w:rsidRPr="009D7A29">
        <w:rPr>
          <w:i/>
          <w:iCs/>
          <w:lang w:val="en-US"/>
        </w:rPr>
        <w:t xml:space="preserve">Table, </w:t>
      </w:r>
      <w:r w:rsidRPr="009D7A29">
        <w:rPr>
          <w:lang w:val="en-US"/>
        </w:rPr>
        <w:t>amend to read</w:t>
      </w:r>
      <w:r w:rsidRPr="0068646F">
        <w:rPr>
          <w:lang w:val="en-US"/>
        </w:rPr>
        <w:t>:</w:t>
      </w:r>
    </w:p>
    <w:p w14:paraId="2A33AF5C" w14:textId="77777777" w:rsidR="001F1F54" w:rsidRPr="009D7A29" w:rsidRDefault="001F1F54" w:rsidP="001F1F54">
      <w:pPr>
        <w:autoSpaceDE w:val="0"/>
        <w:autoSpaceDN w:val="0"/>
        <w:adjustRightInd w:val="0"/>
        <w:spacing w:after="120"/>
        <w:ind w:left="1134" w:right="1134"/>
        <w:jc w:val="both"/>
        <w:rPr>
          <w:i/>
          <w:iCs/>
          <w:lang w:val="en-US"/>
        </w:rPr>
      </w:pPr>
      <w:r>
        <w:rPr>
          <w:i/>
          <w:iCs/>
          <w:lang w:val="en-US"/>
        </w:rPr>
        <w:t>“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1559"/>
      </w:tblGrid>
      <w:tr w:rsidR="001F1F54" w:rsidRPr="00EB5538" w14:paraId="74DC3B9C" w14:textId="77777777" w:rsidTr="00AE7BD6">
        <w:tc>
          <w:tcPr>
            <w:tcW w:w="2530" w:type="dxa"/>
            <w:tcBorders>
              <w:bottom w:val="single" w:sz="12" w:space="0" w:color="000000"/>
            </w:tcBorders>
          </w:tcPr>
          <w:p w14:paraId="1BDB2927" w14:textId="77777777" w:rsidR="001F1F54" w:rsidRPr="00EB5538" w:rsidRDefault="001F1F54" w:rsidP="00AE7BD6">
            <w:pPr>
              <w:tabs>
                <w:tab w:val="left" w:pos="1122"/>
              </w:tabs>
              <w:spacing w:line="240" w:lineRule="auto"/>
              <w:ind w:left="851" w:hanging="851"/>
              <w:jc w:val="both"/>
              <w:rPr>
                <w:i/>
                <w:iCs/>
                <w:sz w:val="16"/>
                <w:szCs w:val="16"/>
              </w:rPr>
            </w:pPr>
            <w:r w:rsidRPr="00EB5538">
              <w:rPr>
                <w:i/>
                <w:iCs/>
                <w:sz w:val="16"/>
                <w:szCs w:val="16"/>
              </w:rPr>
              <w:t>Material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41C670A5" w14:textId="77777777" w:rsidR="001F1F54" w:rsidRPr="00EB5538" w:rsidRDefault="001F1F54" w:rsidP="00AE7BD6">
            <w:pPr>
              <w:tabs>
                <w:tab w:val="left" w:pos="1122"/>
              </w:tabs>
              <w:spacing w:line="240" w:lineRule="auto"/>
              <w:ind w:left="851" w:hanging="851"/>
              <w:jc w:val="both"/>
              <w:rPr>
                <w:i/>
                <w:iCs/>
                <w:sz w:val="16"/>
                <w:szCs w:val="16"/>
              </w:rPr>
            </w:pPr>
            <w:r w:rsidRPr="00EB5538">
              <w:rPr>
                <w:i/>
                <w:iCs/>
                <w:sz w:val="16"/>
                <w:szCs w:val="16"/>
              </w:rPr>
              <w:t>Tests</w:t>
            </w:r>
          </w:p>
        </w:tc>
      </w:tr>
      <w:tr w:rsidR="001F1F54" w:rsidRPr="00EB5538" w14:paraId="09CB8847" w14:textId="77777777" w:rsidTr="00AE7BD6">
        <w:tc>
          <w:tcPr>
            <w:tcW w:w="2530" w:type="dxa"/>
            <w:tcBorders>
              <w:top w:val="single" w:sz="12" w:space="0" w:color="000000"/>
            </w:tcBorders>
          </w:tcPr>
          <w:p w14:paraId="3FE7CF6D" w14:textId="77777777" w:rsidR="001F1F54" w:rsidRPr="00EB5538" w:rsidRDefault="001F1F54" w:rsidP="00AE7BD6">
            <w:pPr>
              <w:tabs>
                <w:tab w:val="left" w:pos="1122"/>
              </w:tabs>
              <w:spacing w:line="240" w:lineRule="auto"/>
              <w:ind w:left="851" w:hanging="851"/>
              <w:jc w:val="both"/>
              <w:rPr>
                <w:sz w:val="18"/>
                <w:szCs w:val="18"/>
              </w:rPr>
            </w:pPr>
            <w:r w:rsidRPr="00EB5538">
              <w:rPr>
                <w:sz w:val="18"/>
                <w:szCs w:val="18"/>
              </w:rPr>
              <w:t>Aluminium alloy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3B0D56E6" w14:textId="4C9EDD28" w:rsidR="001F1F54" w:rsidRPr="00EB5538" w:rsidRDefault="001F1F54" w:rsidP="00AE7BD6">
            <w:pPr>
              <w:tabs>
                <w:tab w:val="left" w:pos="1122"/>
              </w:tabs>
              <w:spacing w:line="240" w:lineRule="auto"/>
              <w:ind w:left="851" w:hanging="851"/>
              <w:jc w:val="both"/>
              <w:rPr>
                <w:sz w:val="18"/>
                <w:szCs w:val="18"/>
              </w:rPr>
            </w:pPr>
            <w:r w:rsidRPr="00EB5538">
              <w:rPr>
                <w:sz w:val="18"/>
                <w:szCs w:val="18"/>
              </w:rPr>
              <w:t>a, c, e</w:t>
            </w:r>
          </w:p>
        </w:tc>
      </w:tr>
      <w:tr w:rsidR="001F1F54" w:rsidRPr="00EB5538" w14:paraId="421B2D4F" w14:textId="77777777" w:rsidTr="00AE7BD6">
        <w:tc>
          <w:tcPr>
            <w:tcW w:w="2530" w:type="dxa"/>
            <w:tcBorders>
              <w:bottom w:val="single" w:sz="4" w:space="0" w:color="auto"/>
            </w:tcBorders>
          </w:tcPr>
          <w:p w14:paraId="6037D3A6" w14:textId="77777777" w:rsidR="001F1F54" w:rsidRPr="00EB5538" w:rsidRDefault="001F1F54" w:rsidP="00AE7BD6">
            <w:pPr>
              <w:tabs>
                <w:tab w:val="left" w:pos="1122"/>
              </w:tabs>
              <w:spacing w:line="240" w:lineRule="auto"/>
              <w:ind w:left="851" w:hanging="851"/>
              <w:jc w:val="both"/>
              <w:rPr>
                <w:sz w:val="18"/>
                <w:szCs w:val="18"/>
              </w:rPr>
            </w:pPr>
            <w:r w:rsidRPr="00EB5538">
              <w:rPr>
                <w:sz w:val="18"/>
                <w:szCs w:val="18"/>
              </w:rPr>
              <w:t>Magnesium alloy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BF688F" w14:textId="610C42ED" w:rsidR="001F1F54" w:rsidRPr="00EB5538" w:rsidRDefault="001F1F54" w:rsidP="00AE7BD6">
            <w:pPr>
              <w:tabs>
                <w:tab w:val="left" w:pos="1122"/>
              </w:tabs>
              <w:spacing w:line="240" w:lineRule="auto"/>
              <w:ind w:left="851" w:hanging="851"/>
              <w:jc w:val="both"/>
              <w:rPr>
                <w:sz w:val="18"/>
                <w:szCs w:val="18"/>
              </w:rPr>
            </w:pPr>
            <w:r w:rsidRPr="00EB5538">
              <w:rPr>
                <w:sz w:val="18"/>
                <w:szCs w:val="18"/>
              </w:rPr>
              <w:t>a, c, e</w:t>
            </w:r>
          </w:p>
        </w:tc>
      </w:tr>
      <w:tr w:rsidR="001F1F54" w:rsidRPr="00EB5538" w14:paraId="53FBCA6F" w14:textId="77777777" w:rsidTr="00AE7BD6">
        <w:tc>
          <w:tcPr>
            <w:tcW w:w="2530" w:type="dxa"/>
            <w:tcBorders>
              <w:bottom w:val="single" w:sz="12" w:space="0" w:color="000000"/>
            </w:tcBorders>
          </w:tcPr>
          <w:p w14:paraId="27A6171A" w14:textId="77777777" w:rsidR="001F1F54" w:rsidRPr="00EB5538" w:rsidRDefault="001F1F54" w:rsidP="00AE7BD6">
            <w:pPr>
              <w:tabs>
                <w:tab w:val="left" w:pos="1122"/>
              </w:tabs>
              <w:spacing w:line="240" w:lineRule="auto"/>
              <w:ind w:left="851" w:hanging="851"/>
              <w:jc w:val="both"/>
              <w:rPr>
                <w:sz w:val="18"/>
                <w:szCs w:val="18"/>
              </w:rPr>
            </w:pPr>
            <w:r w:rsidRPr="00EB5538">
              <w:rPr>
                <w:sz w:val="18"/>
                <w:szCs w:val="18"/>
              </w:rPr>
              <w:t>Steel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29D10D66" w14:textId="77777777" w:rsidR="001F1F54" w:rsidRPr="00EB5538" w:rsidRDefault="001F1F54" w:rsidP="00AE7BD6">
            <w:pPr>
              <w:tabs>
                <w:tab w:val="left" w:pos="1122"/>
              </w:tabs>
              <w:spacing w:line="240" w:lineRule="auto"/>
              <w:ind w:left="851" w:hanging="851"/>
              <w:jc w:val="both"/>
              <w:rPr>
                <w:sz w:val="18"/>
                <w:szCs w:val="18"/>
              </w:rPr>
            </w:pPr>
            <w:r w:rsidRPr="00EB5538">
              <w:rPr>
                <w:sz w:val="18"/>
                <w:szCs w:val="18"/>
              </w:rPr>
              <w:t>a, b, d</w:t>
            </w:r>
          </w:p>
        </w:tc>
      </w:tr>
    </w:tbl>
    <w:p w14:paraId="7D91EFFE" w14:textId="77777777" w:rsidR="001F1F54" w:rsidRPr="009D7A29" w:rsidRDefault="001F1F54" w:rsidP="001F1F54">
      <w:pPr>
        <w:autoSpaceDE w:val="0"/>
        <w:autoSpaceDN w:val="0"/>
        <w:adjustRightInd w:val="0"/>
        <w:spacing w:line="200" w:lineRule="atLeast"/>
        <w:ind w:left="1134" w:right="1134"/>
        <w:jc w:val="both"/>
        <w:rPr>
          <w:i/>
          <w:iCs/>
          <w:lang w:val="en-US"/>
        </w:rPr>
      </w:pPr>
      <w:r>
        <w:rPr>
          <w:i/>
          <w:iCs/>
          <w:lang w:val="en-US"/>
        </w:rPr>
        <w:t>“</w:t>
      </w:r>
    </w:p>
    <w:p w14:paraId="62B0E426" w14:textId="77777777" w:rsidR="001F1F54" w:rsidRDefault="001F1F54" w:rsidP="001F1F54">
      <w:pPr>
        <w:pStyle w:val="SingleTxtGR"/>
        <w:ind w:left="1701" w:hanging="567"/>
        <w:rPr>
          <w:i/>
          <w:iCs/>
          <w:lang w:val="en-US"/>
        </w:rPr>
      </w:pPr>
      <w:r w:rsidRPr="00C70EBC">
        <w:rPr>
          <w:i/>
          <w:iCs/>
          <w:lang w:val="en-US"/>
        </w:rPr>
        <w:t>Annex 6</w:t>
      </w:r>
      <w:r>
        <w:rPr>
          <w:i/>
          <w:iCs/>
          <w:lang w:val="en-US"/>
        </w:rPr>
        <w:t xml:space="preserve">, </w:t>
      </w:r>
    </w:p>
    <w:p w14:paraId="372D6FD4" w14:textId="77777777" w:rsidR="001F1F54" w:rsidRPr="00C70EBC" w:rsidRDefault="001F1F54" w:rsidP="001F1F54">
      <w:pPr>
        <w:pStyle w:val="SingleTxtGR"/>
        <w:ind w:left="1701" w:hanging="567"/>
        <w:rPr>
          <w:rFonts w:asciiTheme="majorBidi" w:eastAsia="Calibri" w:hAnsiTheme="majorBidi" w:cstheme="majorBidi"/>
          <w:b/>
          <w:i/>
          <w:lang w:val="en-US"/>
        </w:rPr>
      </w:pPr>
      <w:r>
        <w:rPr>
          <w:i/>
          <w:iCs/>
          <w:lang w:val="en-US"/>
        </w:rPr>
        <w:t>P</w:t>
      </w:r>
      <w:r w:rsidRPr="00C70EBC">
        <w:rPr>
          <w:i/>
          <w:iCs/>
          <w:lang w:val="en-US"/>
        </w:rPr>
        <w:t>aragraph 4,</w:t>
      </w:r>
      <w:r>
        <w:rPr>
          <w:i/>
          <w:iCs/>
          <w:lang w:val="en-US"/>
        </w:rPr>
        <w:t xml:space="preserve"> at the end (before the picture),</w:t>
      </w:r>
      <w:r w:rsidRPr="00C70EBC">
        <w:rPr>
          <w:i/>
          <w:iCs/>
          <w:lang w:val="en-US"/>
        </w:rPr>
        <w:t xml:space="preserve"> </w:t>
      </w:r>
      <w:r w:rsidRPr="00145E21">
        <w:rPr>
          <w:lang w:val="en-US"/>
        </w:rPr>
        <w:t xml:space="preserve">add </w:t>
      </w:r>
      <w:r>
        <w:rPr>
          <w:lang w:val="en-US"/>
        </w:rPr>
        <w:t>a new indent</w:t>
      </w:r>
      <w:r w:rsidRPr="00C70EBC">
        <w:rPr>
          <w:lang w:val="en-US"/>
        </w:rPr>
        <w:t xml:space="preserve"> to read:</w:t>
      </w:r>
    </w:p>
    <w:p w14:paraId="6527F2AD" w14:textId="77777777" w:rsidR="001F1F54" w:rsidRPr="008471D4" w:rsidRDefault="001F1F54" w:rsidP="001F1F54">
      <w:pPr>
        <w:tabs>
          <w:tab w:val="left" w:pos="1021"/>
        </w:tabs>
        <w:spacing w:after="120"/>
        <w:ind w:left="1134" w:right="1134"/>
        <w:jc w:val="both"/>
        <w:rPr>
          <w:lang w:val="en-US"/>
        </w:rPr>
      </w:pPr>
      <w:r w:rsidRPr="008471D4">
        <w:rPr>
          <w:lang w:val="en-US"/>
        </w:rPr>
        <w:t xml:space="preserve">“A suitable technical test method to detect technical cracks shall be applied.” </w:t>
      </w:r>
    </w:p>
    <w:p w14:paraId="4895CECF" w14:textId="77777777" w:rsidR="001F1F54" w:rsidRDefault="001F1F54" w:rsidP="001F1F54">
      <w:pPr>
        <w:autoSpaceDE w:val="0"/>
        <w:autoSpaceDN w:val="0"/>
        <w:adjustRightInd w:val="0"/>
        <w:spacing w:after="120"/>
        <w:ind w:left="1134" w:right="1134"/>
        <w:jc w:val="both"/>
        <w:rPr>
          <w:i/>
          <w:iCs/>
          <w:lang w:val="en-US"/>
        </w:rPr>
      </w:pPr>
      <w:r w:rsidRPr="00C70EBC">
        <w:rPr>
          <w:i/>
          <w:iCs/>
          <w:lang w:val="en-US"/>
        </w:rPr>
        <w:t xml:space="preserve">Annex </w:t>
      </w:r>
      <w:r>
        <w:rPr>
          <w:i/>
          <w:iCs/>
          <w:lang w:val="en-US"/>
        </w:rPr>
        <w:t>8</w:t>
      </w:r>
      <w:r w:rsidRPr="00C70EBC">
        <w:rPr>
          <w:i/>
          <w:iCs/>
          <w:lang w:val="en-US"/>
        </w:rPr>
        <w:t xml:space="preserve">, </w:t>
      </w:r>
    </w:p>
    <w:p w14:paraId="362BAD9F" w14:textId="77777777" w:rsidR="001F1F54" w:rsidRPr="00E6468B" w:rsidRDefault="001F1F54" w:rsidP="001F1F54">
      <w:pPr>
        <w:autoSpaceDE w:val="0"/>
        <w:autoSpaceDN w:val="0"/>
        <w:adjustRightInd w:val="0"/>
        <w:spacing w:after="120"/>
        <w:ind w:left="1134" w:right="1134"/>
        <w:jc w:val="both"/>
        <w:rPr>
          <w:color w:val="00B050"/>
          <w:lang w:val="en-US"/>
        </w:rPr>
      </w:pPr>
      <w:r>
        <w:rPr>
          <w:i/>
          <w:iCs/>
          <w:lang w:val="en-US"/>
        </w:rPr>
        <w:t>P</w:t>
      </w:r>
      <w:r w:rsidRPr="00C70EBC">
        <w:rPr>
          <w:i/>
          <w:iCs/>
          <w:lang w:val="en-US"/>
        </w:rPr>
        <w:t xml:space="preserve">aragraph 3, </w:t>
      </w:r>
      <w:r>
        <w:rPr>
          <w:i/>
          <w:iCs/>
          <w:lang w:val="en-US"/>
        </w:rPr>
        <w:t xml:space="preserve">table, </w:t>
      </w:r>
      <w:r w:rsidRPr="00BB09FF">
        <w:rPr>
          <w:i/>
          <w:iCs/>
          <w:lang w:val="en-US"/>
        </w:rPr>
        <w:t>row “</w:t>
      </w:r>
      <w:r w:rsidRPr="000553D4">
        <w:rPr>
          <w:i/>
          <w:lang w:val="en-US"/>
        </w:rPr>
        <w:t>Acceptance criteria</w:t>
      </w:r>
      <w:r w:rsidRPr="00BB09FF">
        <w:rPr>
          <w:i/>
          <w:iCs/>
          <w:lang w:val="en-US"/>
        </w:rPr>
        <w:t>”,</w:t>
      </w:r>
      <w:r>
        <w:rPr>
          <w:lang w:val="en-US"/>
        </w:rPr>
        <w:t xml:space="preserve"> </w:t>
      </w:r>
      <w:r w:rsidRPr="00FF16C1">
        <w:rPr>
          <w:lang w:val="en-US"/>
        </w:rPr>
        <w:t xml:space="preserve">amend </w:t>
      </w:r>
      <w:r>
        <w:rPr>
          <w:lang w:val="en-US"/>
        </w:rPr>
        <w:t>to read:</w:t>
      </w:r>
      <w:r w:rsidRPr="009741D6">
        <w:rPr>
          <w:lang w:val="en-US"/>
        </w:rPr>
        <w:t xml:space="preserve"> </w:t>
      </w:r>
    </w:p>
    <w:p w14:paraId="44B07F1C" w14:textId="77777777" w:rsidR="001F1F54" w:rsidRPr="00EB5538" w:rsidRDefault="001F1F54" w:rsidP="001F1F54">
      <w:pPr>
        <w:autoSpaceDE w:val="0"/>
        <w:autoSpaceDN w:val="0"/>
        <w:adjustRightInd w:val="0"/>
        <w:spacing w:after="120"/>
        <w:ind w:left="1134" w:right="1134"/>
        <w:jc w:val="both"/>
        <w:rPr>
          <w:rFonts w:asciiTheme="majorBidi" w:eastAsia="Calibri" w:hAnsiTheme="majorBidi" w:cstheme="majorBidi"/>
          <w:b/>
          <w:lang w:val="en-US"/>
        </w:rPr>
      </w:pPr>
      <w:r>
        <w:rPr>
          <w:lang w:val="en-US"/>
        </w:rPr>
        <w:t>“</w:t>
      </w:r>
    </w:p>
    <w:tbl>
      <w:tblPr>
        <w:tblW w:w="0" w:type="auto"/>
        <w:tblInd w:w="11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5528"/>
      </w:tblGrid>
      <w:tr w:rsidR="001F1F54" w:rsidRPr="002355EB" w14:paraId="34060787" w14:textId="77777777" w:rsidTr="00AE7BD6">
        <w:tc>
          <w:tcPr>
            <w:tcW w:w="1843" w:type="dxa"/>
          </w:tcPr>
          <w:p w14:paraId="4209208D" w14:textId="77777777" w:rsidR="001F1F54" w:rsidRPr="00EB5538" w:rsidRDefault="001F1F54" w:rsidP="00AE7BD6">
            <w:pPr>
              <w:keepNext/>
              <w:rPr>
                <w:sz w:val="18"/>
                <w:szCs w:val="18"/>
              </w:rPr>
            </w:pPr>
            <w:proofErr w:type="spellStart"/>
            <w:r w:rsidRPr="00EB5538">
              <w:rPr>
                <w:sz w:val="18"/>
                <w:szCs w:val="18"/>
                <w:lang w:val="ru-RU"/>
              </w:rPr>
              <w:t>Acceptance</w:t>
            </w:r>
            <w:proofErr w:type="spellEnd"/>
            <w:r w:rsidRPr="00EB553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5538">
              <w:rPr>
                <w:sz w:val="18"/>
                <w:szCs w:val="18"/>
                <w:lang w:val="ru-RU"/>
              </w:rPr>
              <w:t>criteria</w:t>
            </w:r>
            <w:proofErr w:type="spellEnd"/>
          </w:p>
        </w:tc>
        <w:tc>
          <w:tcPr>
            <w:tcW w:w="5528" w:type="dxa"/>
          </w:tcPr>
          <w:p w14:paraId="733290B8" w14:textId="77777777" w:rsidR="001F1F54" w:rsidRPr="00EB5538" w:rsidRDefault="001F1F54" w:rsidP="00AE7BD6">
            <w:pPr>
              <w:autoSpaceDE w:val="0"/>
              <w:autoSpaceDN w:val="0"/>
              <w:adjustRightInd w:val="0"/>
              <w:spacing w:after="120"/>
              <w:jc w:val="both"/>
              <w:rPr>
                <w:sz w:val="18"/>
                <w:szCs w:val="18"/>
                <w:lang w:val="en-US"/>
              </w:rPr>
            </w:pPr>
            <w:r w:rsidRPr="00EB5538">
              <w:rPr>
                <w:sz w:val="18"/>
                <w:szCs w:val="18"/>
                <w:lang w:val="en-US"/>
              </w:rPr>
              <w:t xml:space="preserve">The test shall be considered satisfactory if there is not any visible fracture penetrating through the wheel surface and if there is not total loss of inflation pressure due to </w:t>
            </w:r>
            <w:proofErr w:type="spellStart"/>
            <w:r w:rsidRPr="00EB5538">
              <w:rPr>
                <w:sz w:val="18"/>
                <w:szCs w:val="18"/>
                <w:lang w:val="en-US"/>
              </w:rPr>
              <w:t>tyre</w:t>
            </w:r>
            <w:proofErr w:type="spellEnd"/>
            <w:r w:rsidRPr="00EB5538">
              <w:rPr>
                <w:sz w:val="18"/>
                <w:szCs w:val="18"/>
                <w:lang w:val="en-US"/>
              </w:rPr>
              <w:t xml:space="preserve"> depressurization </w:t>
            </w:r>
            <w:r w:rsidRPr="00FA3D55">
              <w:rPr>
                <w:sz w:val="18"/>
                <w:szCs w:val="18"/>
                <w:lang w:val="en-US"/>
              </w:rPr>
              <w:t>through a leak in the wheel</w:t>
            </w:r>
            <w:r w:rsidRPr="00FE6544">
              <w:rPr>
                <w:sz w:val="16"/>
                <w:szCs w:val="16"/>
                <w:lang w:val="en-US"/>
              </w:rPr>
              <w:t xml:space="preserve"> </w:t>
            </w:r>
            <w:r w:rsidRPr="00EB5538">
              <w:rPr>
                <w:sz w:val="18"/>
                <w:szCs w:val="18"/>
                <w:lang w:val="en-US"/>
              </w:rPr>
              <w:t xml:space="preserve">within one minute of completing the test. Fractures and indentations caused by the direct contact with the falling weight are acceptable. </w:t>
            </w:r>
          </w:p>
          <w:p w14:paraId="75E6D854" w14:textId="77777777" w:rsidR="001F1F54" w:rsidRPr="00EB5538" w:rsidRDefault="001F1F54" w:rsidP="00AE7BD6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sz w:val="18"/>
                <w:szCs w:val="18"/>
                <w:lang w:val="en-US"/>
              </w:rPr>
            </w:pPr>
            <w:r w:rsidRPr="00EB5538">
              <w:rPr>
                <w:sz w:val="18"/>
                <w:szCs w:val="18"/>
                <w:lang w:val="en-US"/>
              </w:rPr>
              <w:t>In the case of wheels with demountable rims or other components that can be dismantled, if threaded fastenings that are close to the spoke or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EB5538">
              <w:rPr>
                <w:sz w:val="18"/>
                <w:szCs w:val="18"/>
                <w:lang w:val="en-US"/>
              </w:rPr>
              <w:t xml:space="preserve">ventilation holes fail the wheel is to be considered as having failed the test. </w:t>
            </w:r>
          </w:p>
        </w:tc>
      </w:tr>
    </w:tbl>
    <w:p w14:paraId="665B8701" w14:textId="77777777" w:rsidR="001F1F54" w:rsidRPr="006F403B" w:rsidRDefault="001F1F54" w:rsidP="001F1F54">
      <w:pPr>
        <w:tabs>
          <w:tab w:val="left" w:pos="1021"/>
        </w:tabs>
        <w:spacing w:after="120"/>
        <w:ind w:left="1134" w:right="1134"/>
        <w:jc w:val="both"/>
        <w:rPr>
          <w:lang w:val="en-US"/>
        </w:rPr>
      </w:pPr>
      <w:r w:rsidRPr="006F403B">
        <w:rPr>
          <w:lang w:val="en-US"/>
        </w:rPr>
        <w:t>“</w:t>
      </w:r>
    </w:p>
    <w:p w14:paraId="60571DB5" w14:textId="77777777" w:rsidR="001F1F54" w:rsidRDefault="001F1F54" w:rsidP="001F1F54">
      <w:pPr>
        <w:tabs>
          <w:tab w:val="left" w:pos="1021"/>
        </w:tabs>
        <w:spacing w:after="120"/>
        <w:ind w:left="1134" w:right="1134"/>
        <w:jc w:val="both"/>
        <w:rPr>
          <w:b/>
          <w:bCs/>
          <w:lang w:val="en-US"/>
        </w:rPr>
      </w:pPr>
      <w:r>
        <w:rPr>
          <w:i/>
          <w:iCs/>
          <w:lang w:val="en-US"/>
        </w:rPr>
        <w:t>P</w:t>
      </w:r>
      <w:r w:rsidRPr="00C70EBC">
        <w:rPr>
          <w:i/>
          <w:iCs/>
          <w:lang w:val="en-US"/>
        </w:rPr>
        <w:t xml:space="preserve">aragraph </w:t>
      </w:r>
      <w:r>
        <w:rPr>
          <w:i/>
          <w:iCs/>
          <w:lang w:val="en-US"/>
        </w:rPr>
        <w:t>5</w:t>
      </w:r>
      <w:r w:rsidRPr="00C70EBC">
        <w:rPr>
          <w:i/>
          <w:iCs/>
          <w:lang w:val="en-US"/>
        </w:rPr>
        <w:t xml:space="preserve">, </w:t>
      </w:r>
      <w:r w:rsidRPr="00FF16C1">
        <w:rPr>
          <w:lang w:val="en-US"/>
        </w:rPr>
        <w:t xml:space="preserve">amend </w:t>
      </w:r>
      <w:r>
        <w:rPr>
          <w:lang w:val="en-US"/>
        </w:rPr>
        <w:t>to read:</w:t>
      </w:r>
    </w:p>
    <w:p w14:paraId="091B9B9F" w14:textId="77777777" w:rsidR="001F1F54" w:rsidRPr="000553D4" w:rsidRDefault="001F1F54" w:rsidP="001F1F54">
      <w:pPr>
        <w:pStyle w:val="SingleTxtG"/>
        <w:ind w:left="2268" w:hanging="1134"/>
        <w:rPr>
          <w:lang w:val="en-US"/>
        </w:rPr>
      </w:pPr>
      <w:r w:rsidRPr="000553D4">
        <w:rPr>
          <w:lang w:val="en-US"/>
        </w:rPr>
        <w:t>"5.</w:t>
      </w:r>
      <w:r w:rsidRPr="000553D4">
        <w:rPr>
          <w:lang w:val="en-US"/>
        </w:rPr>
        <w:tab/>
        <w:t>Failure criteria</w:t>
      </w:r>
    </w:p>
    <w:p w14:paraId="032DE7B3" w14:textId="77777777" w:rsidR="001F1F54" w:rsidRPr="000553D4" w:rsidRDefault="001F1F54" w:rsidP="001F1F54">
      <w:pPr>
        <w:pStyle w:val="SingleTxtG"/>
        <w:ind w:left="2268" w:hanging="1134"/>
        <w:rPr>
          <w:lang w:val="en-US"/>
        </w:rPr>
      </w:pPr>
      <w:r w:rsidRPr="000553D4">
        <w:rPr>
          <w:lang w:val="en-US"/>
        </w:rPr>
        <w:tab/>
        <w:t>The wheel will not pass the test if one of the following criteria applies:</w:t>
      </w:r>
    </w:p>
    <w:p w14:paraId="131E75B4" w14:textId="77777777" w:rsidR="001F1F54" w:rsidRPr="000553D4" w:rsidRDefault="001F1F54" w:rsidP="001F1F54">
      <w:pPr>
        <w:pStyle w:val="SingleTxtG"/>
        <w:ind w:left="2268" w:hanging="1134"/>
        <w:rPr>
          <w:lang w:val="en-US"/>
        </w:rPr>
      </w:pPr>
      <w:r w:rsidRPr="000553D4">
        <w:rPr>
          <w:lang w:val="en-US"/>
        </w:rPr>
        <w:tab/>
        <w:t>(a)</w:t>
      </w:r>
      <w:r w:rsidRPr="000553D4">
        <w:rPr>
          <w:lang w:val="en-US"/>
        </w:rPr>
        <w:tab/>
        <w:t xml:space="preserve">visible incipient crack in a zone of the wheel disc of wheel </w:t>
      </w:r>
      <w:proofErr w:type="gramStart"/>
      <w:r w:rsidRPr="000553D4">
        <w:rPr>
          <w:lang w:val="en-US"/>
        </w:rPr>
        <w:t>assembly;</w:t>
      </w:r>
      <w:proofErr w:type="gramEnd"/>
    </w:p>
    <w:p w14:paraId="12962C4C" w14:textId="77777777" w:rsidR="001F1F54" w:rsidRPr="000553D4" w:rsidRDefault="001F1F54" w:rsidP="001F1F54">
      <w:pPr>
        <w:pStyle w:val="SingleTxtG"/>
        <w:ind w:left="2268" w:hanging="1134"/>
        <w:rPr>
          <w:lang w:val="en-US"/>
        </w:rPr>
      </w:pPr>
      <w:r w:rsidRPr="000553D4">
        <w:rPr>
          <w:lang w:val="en-US"/>
        </w:rPr>
        <w:tab/>
        <w:t>(b)</w:t>
      </w:r>
      <w:r w:rsidRPr="000553D4">
        <w:rPr>
          <w:lang w:val="en-US"/>
        </w:rPr>
        <w:tab/>
        <w:t xml:space="preserve">the </w:t>
      </w:r>
      <w:proofErr w:type="spellStart"/>
      <w:r w:rsidRPr="000553D4">
        <w:rPr>
          <w:lang w:val="en-US"/>
        </w:rPr>
        <w:t>centre</w:t>
      </w:r>
      <w:proofErr w:type="spellEnd"/>
      <w:r w:rsidRPr="000553D4">
        <w:rPr>
          <w:lang w:val="en-US"/>
        </w:rPr>
        <w:t xml:space="preserve"> member separates from the </w:t>
      </w:r>
      <w:proofErr w:type="gramStart"/>
      <w:r w:rsidRPr="000553D4">
        <w:rPr>
          <w:lang w:val="en-US"/>
        </w:rPr>
        <w:t>rim;</w:t>
      </w:r>
      <w:proofErr w:type="gramEnd"/>
    </w:p>
    <w:p w14:paraId="262E290A" w14:textId="6541D816" w:rsidR="001F1F54" w:rsidRPr="00C15C35" w:rsidRDefault="001F1F54" w:rsidP="001F1F54">
      <w:pPr>
        <w:pStyle w:val="SingleTxtG"/>
        <w:ind w:left="2268" w:hanging="1134"/>
        <w:rPr>
          <w:lang w:val="en-US"/>
        </w:rPr>
      </w:pPr>
      <w:r w:rsidRPr="000553D4">
        <w:rPr>
          <w:lang w:val="en-US"/>
        </w:rPr>
        <w:tab/>
        <w:t>(c)</w:t>
      </w:r>
      <w:r w:rsidRPr="000553D4">
        <w:rPr>
          <w:lang w:val="en-US"/>
        </w:rPr>
        <w:tab/>
      </w:r>
      <w:r w:rsidRPr="00C15C35">
        <w:rPr>
          <w:lang w:val="en-US"/>
        </w:rPr>
        <w:t>total loss of inflation pressure within one minute due to deformation of the wheel or a leak in the wheel.</w:t>
      </w:r>
    </w:p>
    <w:p w14:paraId="53E93EC5" w14:textId="77777777" w:rsidR="001F1F54" w:rsidRPr="000553D4" w:rsidRDefault="001F1F54" w:rsidP="00C15C35">
      <w:pPr>
        <w:pStyle w:val="SingleTxtG"/>
        <w:tabs>
          <w:tab w:val="clear" w:pos="1701"/>
          <w:tab w:val="clear" w:pos="2268"/>
          <w:tab w:val="clear" w:pos="2835"/>
        </w:tabs>
        <w:ind w:left="1701"/>
        <w:rPr>
          <w:lang w:val="en-US"/>
        </w:rPr>
      </w:pPr>
      <w:r w:rsidRPr="000553D4">
        <w:rPr>
          <w:lang w:val="en-US"/>
        </w:rPr>
        <w:t>The wheel is not considered to have failed the test by deformation of the wheel assembly or by fractures in the area of a rim section struck by the face plate of the striker."</w:t>
      </w:r>
    </w:p>
    <w:p w14:paraId="34D98FD2" w14:textId="1C0279BE" w:rsidR="00A53D88" w:rsidRPr="00F23425" w:rsidRDefault="00F23425" w:rsidP="00F23425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53D88" w:rsidRPr="00F23425" w:rsidSect="00DA4201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DEDA" w14:textId="77777777" w:rsidR="00962C8B" w:rsidRDefault="00962C8B"/>
  </w:endnote>
  <w:endnote w:type="continuationSeparator" w:id="0">
    <w:p w14:paraId="11A6DA8E" w14:textId="77777777" w:rsidR="00962C8B" w:rsidRDefault="00962C8B"/>
  </w:endnote>
  <w:endnote w:type="continuationNotice" w:id="1">
    <w:p w14:paraId="33CD42C7" w14:textId="77777777" w:rsidR="00962C8B" w:rsidRDefault="00962C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ECEF" w14:textId="1A13B6EB" w:rsidR="00DA4201" w:rsidRPr="00DA4201" w:rsidRDefault="00DA4201" w:rsidP="00DA4201">
    <w:pPr>
      <w:pStyle w:val="Footer"/>
      <w:tabs>
        <w:tab w:val="right" w:pos="9638"/>
      </w:tabs>
      <w:rPr>
        <w:sz w:val="18"/>
      </w:rPr>
    </w:pP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2</w:t>
    </w:r>
    <w:r w:rsidRPr="00DA4201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4735" w14:textId="089F1BDA" w:rsidR="00DA4201" w:rsidRPr="00DA4201" w:rsidRDefault="00DA4201" w:rsidP="00DA4201">
    <w:pPr>
      <w:pStyle w:val="Footer"/>
      <w:tabs>
        <w:tab w:val="right" w:pos="9638"/>
      </w:tabs>
      <w:rPr>
        <w:b/>
        <w:sz w:val="18"/>
      </w:rPr>
    </w:pPr>
    <w:r>
      <w:tab/>
    </w: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3</w:t>
    </w:r>
    <w:r w:rsidRPr="00DA420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CED3" w14:textId="0D82AC7C" w:rsidR="003F4A42" w:rsidRDefault="003F4A42" w:rsidP="003F4A42">
    <w:pPr>
      <w:pStyle w:val="Footer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B456097" wp14:editId="768C2F7B">
          <wp:simplePos x="0" y="0"/>
          <wp:positionH relativeFrom="column">
            <wp:posOffset>5517515</wp:posOffset>
          </wp:positionH>
          <wp:positionV relativeFrom="paragraph">
            <wp:posOffset>-127000</wp:posOffset>
          </wp:positionV>
          <wp:extent cx="571500" cy="571500"/>
          <wp:effectExtent l="0" t="0" r="0" b="0"/>
          <wp:wrapNone/>
          <wp:docPr id="19180426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24A8D20E" wp14:editId="746D2F35">
          <wp:simplePos x="0" y="0"/>
          <wp:positionH relativeFrom="margin">
            <wp:posOffset>4396740</wp:posOffset>
          </wp:positionH>
          <wp:positionV relativeFrom="margin">
            <wp:posOffset>9340215</wp:posOffset>
          </wp:positionV>
          <wp:extent cx="932180" cy="229870"/>
          <wp:effectExtent l="0" t="0" r="1270" b="0"/>
          <wp:wrapNone/>
          <wp:docPr id="5" name="Picture 1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A14718" w14:textId="25E2EBF4" w:rsidR="003F4A42" w:rsidRPr="003F4A42" w:rsidRDefault="003F4A42" w:rsidP="003F4A42">
    <w:pPr>
      <w:pStyle w:val="Footer"/>
      <w:ind w:right="1134"/>
      <w:rPr>
        <w:sz w:val="20"/>
      </w:rPr>
    </w:pPr>
    <w:r>
      <w:rPr>
        <w:sz w:val="20"/>
      </w:rPr>
      <w:t>GE.24-24245  (E)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91DD6" w14:textId="77777777" w:rsidR="00962C8B" w:rsidRPr="000B175B" w:rsidRDefault="00962C8B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755A4E8" w14:textId="77777777" w:rsidR="00962C8B" w:rsidRPr="00FC68B7" w:rsidRDefault="00962C8B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FD9BDD8" w14:textId="77777777" w:rsidR="00962C8B" w:rsidRDefault="00962C8B"/>
  </w:footnote>
  <w:footnote w:id="2">
    <w:p w14:paraId="2F50A318" w14:textId="2729C647" w:rsidR="005B5427" w:rsidRDefault="005B5427" w:rsidP="005B5427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>202</w:t>
      </w:r>
      <w:r w:rsidR="00190062">
        <w:rPr>
          <w:lang w:val="en-US"/>
        </w:rPr>
        <w:t>5</w:t>
      </w:r>
      <w:r>
        <w:rPr>
          <w:lang w:val="en-US"/>
        </w:rPr>
        <w:t xml:space="preserve">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</w:t>
      </w:r>
      <w:r w:rsidR="00190062">
        <w:rPr>
          <w:szCs w:val="18"/>
          <w:lang w:val="en-US"/>
        </w:rPr>
        <w:t>5</w:t>
      </w:r>
      <w:r>
        <w:rPr>
          <w:szCs w:val="18"/>
          <w:lang w:val="en-US"/>
        </w:rPr>
        <w:t xml:space="preserve"> </w:t>
      </w:r>
      <w:r w:rsidR="00190062">
        <w:rPr>
          <w:szCs w:val="18"/>
          <w:lang w:val="en-US"/>
        </w:rPr>
        <w:t>(</w:t>
      </w:r>
      <w:r w:rsidR="008E6CDE" w:rsidRPr="008E6CDE">
        <w:rPr>
          <w:szCs w:val="18"/>
          <w:lang w:val="en-US"/>
        </w:rPr>
        <w:t>A/79/6 (Sect. 20), table 20.6</w:t>
      </w:r>
      <w:r w:rsidR="00190062">
        <w:rPr>
          <w:szCs w:val="18"/>
          <w:lang w:val="en-US"/>
        </w:rPr>
        <w:t>)</w:t>
      </w:r>
      <w:r>
        <w:rPr>
          <w:szCs w:val="18"/>
          <w:lang w:val="en-US"/>
        </w:rPr>
        <w:t xml:space="preserve">, the World Forum will develop, </w:t>
      </w:r>
      <w:proofErr w:type="gramStart"/>
      <w:r>
        <w:rPr>
          <w:szCs w:val="18"/>
          <w:lang w:val="en-US"/>
        </w:rPr>
        <w:t>harmonize</w:t>
      </w:r>
      <w:proofErr w:type="gramEnd"/>
      <w:r>
        <w:rPr>
          <w:szCs w:val="18"/>
          <w:lang w:val="en-US"/>
        </w:rPr>
        <w:t xml:space="preserve">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F2A4" w14:textId="5D3FCA5B" w:rsidR="00DA4201" w:rsidRPr="00DA4201" w:rsidRDefault="00DA4201">
    <w:pPr>
      <w:pStyle w:val="Header"/>
    </w:pPr>
    <w:r>
      <w:t>ECE/TRANS/WP.29/202</w:t>
    </w:r>
    <w:r w:rsidR="007B605E">
      <w:t>5</w:t>
    </w:r>
    <w:r>
      <w:t>/</w:t>
    </w:r>
    <w:r w:rsidR="008B4E7E"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4FCD" w14:textId="5FE96588" w:rsidR="00DA4201" w:rsidRPr="00DA4201" w:rsidRDefault="003F4A42" w:rsidP="00DA4201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DA4201">
      <w:t>ECE/TRANS/WP.29/2024/100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2685223">
    <w:abstractNumId w:val="1"/>
  </w:num>
  <w:num w:numId="2" w16cid:durableId="855341183">
    <w:abstractNumId w:val="0"/>
  </w:num>
  <w:num w:numId="3" w16cid:durableId="2125341573">
    <w:abstractNumId w:val="2"/>
  </w:num>
  <w:num w:numId="4" w16cid:durableId="31732026">
    <w:abstractNumId w:val="3"/>
  </w:num>
  <w:num w:numId="5" w16cid:durableId="1126585983">
    <w:abstractNumId w:val="8"/>
  </w:num>
  <w:num w:numId="6" w16cid:durableId="1435588725">
    <w:abstractNumId w:val="9"/>
  </w:num>
  <w:num w:numId="7" w16cid:durableId="340861049">
    <w:abstractNumId w:val="7"/>
  </w:num>
  <w:num w:numId="8" w16cid:durableId="1969313241">
    <w:abstractNumId w:val="6"/>
  </w:num>
  <w:num w:numId="9" w16cid:durableId="197864927">
    <w:abstractNumId w:val="5"/>
  </w:num>
  <w:num w:numId="10" w16cid:durableId="248151344">
    <w:abstractNumId w:val="4"/>
  </w:num>
  <w:num w:numId="11" w16cid:durableId="2044480455">
    <w:abstractNumId w:val="15"/>
  </w:num>
  <w:num w:numId="12" w16cid:durableId="616915869">
    <w:abstractNumId w:val="14"/>
  </w:num>
  <w:num w:numId="13" w16cid:durableId="1155418512">
    <w:abstractNumId w:val="10"/>
  </w:num>
  <w:num w:numId="14" w16cid:durableId="1991515697">
    <w:abstractNumId w:val="12"/>
  </w:num>
  <w:num w:numId="15" w16cid:durableId="684475659">
    <w:abstractNumId w:val="16"/>
  </w:num>
  <w:num w:numId="16" w16cid:durableId="1063142324">
    <w:abstractNumId w:val="13"/>
  </w:num>
  <w:num w:numId="17" w16cid:durableId="531768949">
    <w:abstractNumId w:val="17"/>
  </w:num>
  <w:num w:numId="18" w16cid:durableId="917792690">
    <w:abstractNumId w:val="18"/>
  </w:num>
  <w:num w:numId="19" w16cid:durableId="1144010885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01"/>
    <w:rsid w:val="00002A7D"/>
    <w:rsid w:val="000038A8"/>
    <w:rsid w:val="00005DF3"/>
    <w:rsid w:val="00006790"/>
    <w:rsid w:val="00027624"/>
    <w:rsid w:val="00050F6B"/>
    <w:rsid w:val="000678CD"/>
    <w:rsid w:val="00067DE1"/>
    <w:rsid w:val="00072C8C"/>
    <w:rsid w:val="00081CE0"/>
    <w:rsid w:val="00084D30"/>
    <w:rsid w:val="00090320"/>
    <w:rsid w:val="000931C0"/>
    <w:rsid w:val="00097003"/>
    <w:rsid w:val="000A2E09"/>
    <w:rsid w:val="000B175B"/>
    <w:rsid w:val="000B3A0F"/>
    <w:rsid w:val="000E0415"/>
    <w:rsid w:val="000E2E36"/>
    <w:rsid w:val="000F6D5B"/>
    <w:rsid w:val="000F7715"/>
    <w:rsid w:val="00156B99"/>
    <w:rsid w:val="00166124"/>
    <w:rsid w:val="00184DDA"/>
    <w:rsid w:val="00190062"/>
    <w:rsid w:val="001900CD"/>
    <w:rsid w:val="001A0452"/>
    <w:rsid w:val="001B4B04"/>
    <w:rsid w:val="001B5875"/>
    <w:rsid w:val="001C4B9C"/>
    <w:rsid w:val="001C6663"/>
    <w:rsid w:val="001C7895"/>
    <w:rsid w:val="001D26DF"/>
    <w:rsid w:val="001E2C7E"/>
    <w:rsid w:val="001F1599"/>
    <w:rsid w:val="001F19C4"/>
    <w:rsid w:val="001F1F54"/>
    <w:rsid w:val="002043F0"/>
    <w:rsid w:val="0020574F"/>
    <w:rsid w:val="00211E0B"/>
    <w:rsid w:val="00232575"/>
    <w:rsid w:val="00247258"/>
    <w:rsid w:val="00257CAC"/>
    <w:rsid w:val="0027237A"/>
    <w:rsid w:val="002974E9"/>
    <w:rsid w:val="00297D15"/>
    <w:rsid w:val="002A306B"/>
    <w:rsid w:val="002A4BA6"/>
    <w:rsid w:val="002A7F94"/>
    <w:rsid w:val="002B109A"/>
    <w:rsid w:val="002C6D45"/>
    <w:rsid w:val="002D218E"/>
    <w:rsid w:val="002D6E53"/>
    <w:rsid w:val="002E1733"/>
    <w:rsid w:val="002F046D"/>
    <w:rsid w:val="002F3023"/>
    <w:rsid w:val="00301764"/>
    <w:rsid w:val="003229D8"/>
    <w:rsid w:val="00336C97"/>
    <w:rsid w:val="00337F88"/>
    <w:rsid w:val="00342432"/>
    <w:rsid w:val="0035223F"/>
    <w:rsid w:val="00352D4B"/>
    <w:rsid w:val="0035638C"/>
    <w:rsid w:val="00362BC7"/>
    <w:rsid w:val="003A46BB"/>
    <w:rsid w:val="003A4EC7"/>
    <w:rsid w:val="003A7295"/>
    <w:rsid w:val="003B1F60"/>
    <w:rsid w:val="003C2CC4"/>
    <w:rsid w:val="003D48C5"/>
    <w:rsid w:val="003D4B23"/>
    <w:rsid w:val="003D7076"/>
    <w:rsid w:val="003E278A"/>
    <w:rsid w:val="003F4A42"/>
    <w:rsid w:val="00412A88"/>
    <w:rsid w:val="00413520"/>
    <w:rsid w:val="004325CB"/>
    <w:rsid w:val="00440A07"/>
    <w:rsid w:val="00462880"/>
    <w:rsid w:val="00476F24"/>
    <w:rsid w:val="004A5D33"/>
    <w:rsid w:val="004C00FF"/>
    <w:rsid w:val="004C55B0"/>
    <w:rsid w:val="004D1F38"/>
    <w:rsid w:val="004F6BA0"/>
    <w:rsid w:val="00503BEA"/>
    <w:rsid w:val="005159CC"/>
    <w:rsid w:val="00533616"/>
    <w:rsid w:val="00535ABA"/>
    <w:rsid w:val="0053768B"/>
    <w:rsid w:val="005420F2"/>
    <w:rsid w:val="0054285C"/>
    <w:rsid w:val="00560EA8"/>
    <w:rsid w:val="005804C4"/>
    <w:rsid w:val="00584173"/>
    <w:rsid w:val="00595520"/>
    <w:rsid w:val="005A44B9"/>
    <w:rsid w:val="005B1BA0"/>
    <w:rsid w:val="005B3DB3"/>
    <w:rsid w:val="005B5427"/>
    <w:rsid w:val="005C0268"/>
    <w:rsid w:val="005C768B"/>
    <w:rsid w:val="005D15CA"/>
    <w:rsid w:val="005F08DF"/>
    <w:rsid w:val="005F3066"/>
    <w:rsid w:val="005F3E61"/>
    <w:rsid w:val="00604DDD"/>
    <w:rsid w:val="006107D6"/>
    <w:rsid w:val="006115CC"/>
    <w:rsid w:val="00611FC4"/>
    <w:rsid w:val="006176FB"/>
    <w:rsid w:val="00630FCB"/>
    <w:rsid w:val="0063224C"/>
    <w:rsid w:val="00640B26"/>
    <w:rsid w:val="00650445"/>
    <w:rsid w:val="0065766B"/>
    <w:rsid w:val="00665464"/>
    <w:rsid w:val="006770B2"/>
    <w:rsid w:val="00686A48"/>
    <w:rsid w:val="0068763C"/>
    <w:rsid w:val="006940E1"/>
    <w:rsid w:val="006A3C72"/>
    <w:rsid w:val="006A4F48"/>
    <w:rsid w:val="006A7392"/>
    <w:rsid w:val="006B03A1"/>
    <w:rsid w:val="006B67D9"/>
    <w:rsid w:val="006C5535"/>
    <w:rsid w:val="006D0589"/>
    <w:rsid w:val="006E564B"/>
    <w:rsid w:val="006E7154"/>
    <w:rsid w:val="007003CD"/>
    <w:rsid w:val="0070701E"/>
    <w:rsid w:val="0072632A"/>
    <w:rsid w:val="007358E8"/>
    <w:rsid w:val="00736ECE"/>
    <w:rsid w:val="0074533B"/>
    <w:rsid w:val="007643BC"/>
    <w:rsid w:val="00780C68"/>
    <w:rsid w:val="007959FE"/>
    <w:rsid w:val="007A0CF1"/>
    <w:rsid w:val="007B2F49"/>
    <w:rsid w:val="007B605E"/>
    <w:rsid w:val="007B6BA5"/>
    <w:rsid w:val="007C3390"/>
    <w:rsid w:val="007C42D8"/>
    <w:rsid w:val="007C4F4B"/>
    <w:rsid w:val="007D6F65"/>
    <w:rsid w:val="007D7362"/>
    <w:rsid w:val="007E6D2A"/>
    <w:rsid w:val="007F5CE2"/>
    <w:rsid w:val="007F6611"/>
    <w:rsid w:val="00810BAC"/>
    <w:rsid w:val="00814C29"/>
    <w:rsid w:val="008175E9"/>
    <w:rsid w:val="008242D7"/>
    <w:rsid w:val="0082577B"/>
    <w:rsid w:val="00825CB5"/>
    <w:rsid w:val="00827502"/>
    <w:rsid w:val="008471D4"/>
    <w:rsid w:val="00866893"/>
    <w:rsid w:val="00866F02"/>
    <w:rsid w:val="00867D18"/>
    <w:rsid w:val="00871F9A"/>
    <w:rsid w:val="00871FD5"/>
    <w:rsid w:val="0088172E"/>
    <w:rsid w:val="00881EFA"/>
    <w:rsid w:val="008879CB"/>
    <w:rsid w:val="008979B1"/>
    <w:rsid w:val="008A6B25"/>
    <w:rsid w:val="008A6C4F"/>
    <w:rsid w:val="008B389E"/>
    <w:rsid w:val="008B4E7E"/>
    <w:rsid w:val="008D045E"/>
    <w:rsid w:val="008D3F25"/>
    <w:rsid w:val="008D4D82"/>
    <w:rsid w:val="008E0E46"/>
    <w:rsid w:val="008E6CDE"/>
    <w:rsid w:val="008E7116"/>
    <w:rsid w:val="008F143B"/>
    <w:rsid w:val="008F3882"/>
    <w:rsid w:val="008F4B7C"/>
    <w:rsid w:val="0092556A"/>
    <w:rsid w:val="00926E47"/>
    <w:rsid w:val="00947162"/>
    <w:rsid w:val="009610D0"/>
    <w:rsid w:val="00962C8B"/>
    <w:rsid w:val="0096375C"/>
    <w:rsid w:val="009662E6"/>
    <w:rsid w:val="0097095E"/>
    <w:rsid w:val="0098592B"/>
    <w:rsid w:val="00985FC4"/>
    <w:rsid w:val="00990766"/>
    <w:rsid w:val="00991261"/>
    <w:rsid w:val="009964C4"/>
    <w:rsid w:val="009A7B81"/>
    <w:rsid w:val="009B011B"/>
    <w:rsid w:val="009B7EB7"/>
    <w:rsid w:val="009D01C0"/>
    <w:rsid w:val="009D6A08"/>
    <w:rsid w:val="009E0A16"/>
    <w:rsid w:val="009E6CB7"/>
    <w:rsid w:val="009E7970"/>
    <w:rsid w:val="009F2EAC"/>
    <w:rsid w:val="009F57E3"/>
    <w:rsid w:val="00A077A2"/>
    <w:rsid w:val="00A10F4F"/>
    <w:rsid w:val="00A11067"/>
    <w:rsid w:val="00A1704A"/>
    <w:rsid w:val="00A22251"/>
    <w:rsid w:val="00A25897"/>
    <w:rsid w:val="00A36AC2"/>
    <w:rsid w:val="00A425EB"/>
    <w:rsid w:val="00A53D88"/>
    <w:rsid w:val="00A72F22"/>
    <w:rsid w:val="00A733BC"/>
    <w:rsid w:val="00A748A6"/>
    <w:rsid w:val="00A76A69"/>
    <w:rsid w:val="00A83E10"/>
    <w:rsid w:val="00A879A4"/>
    <w:rsid w:val="00AA0FF8"/>
    <w:rsid w:val="00AC0F2C"/>
    <w:rsid w:val="00AC502A"/>
    <w:rsid w:val="00AE1E26"/>
    <w:rsid w:val="00AF58C1"/>
    <w:rsid w:val="00B04A3F"/>
    <w:rsid w:val="00B06643"/>
    <w:rsid w:val="00B14C6C"/>
    <w:rsid w:val="00B15055"/>
    <w:rsid w:val="00B20551"/>
    <w:rsid w:val="00B30179"/>
    <w:rsid w:val="00B31E0B"/>
    <w:rsid w:val="00B33FC7"/>
    <w:rsid w:val="00B35A75"/>
    <w:rsid w:val="00B37B15"/>
    <w:rsid w:val="00B4162A"/>
    <w:rsid w:val="00B45C02"/>
    <w:rsid w:val="00B70B63"/>
    <w:rsid w:val="00B72A1E"/>
    <w:rsid w:val="00B77C0C"/>
    <w:rsid w:val="00B81E12"/>
    <w:rsid w:val="00B96983"/>
    <w:rsid w:val="00BA339B"/>
    <w:rsid w:val="00BB23CC"/>
    <w:rsid w:val="00BB5D20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1F86"/>
    <w:rsid w:val="00BF2373"/>
    <w:rsid w:val="00BF279B"/>
    <w:rsid w:val="00C044E2"/>
    <w:rsid w:val="00C048CB"/>
    <w:rsid w:val="00C066F3"/>
    <w:rsid w:val="00C15C35"/>
    <w:rsid w:val="00C17AF1"/>
    <w:rsid w:val="00C43D3E"/>
    <w:rsid w:val="00C463DD"/>
    <w:rsid w:val="00C6171D"/>
    <w:rsid w:val="00C745C3"/>
    <w:rsid w:val="00C76116"/>
    <w:rsid w:val="00C978F5"/>
    <w:rsid w:val="00CA24A4"/>
    <w:rsid w:val="00CB348D"/>
    <w:rsid w:val="00CD46F5"/>
    <w:rsid w:val="00CE4A8F"/>
    <w:rsid w:val="00CF071D"/>
    <w:rsid w:val="00D0123D"/>
    <w:rsid w:val="00D15B04"/>
    <w:rsid w:val="00D2031B"/>
    <w:rsid w:val="00D25FE2"/>
    <w:rsid w:val="00D37DA9"/>
    <w:rsid w:val="00D406A7"/>
    <w:rsid w:val="00D41AE9"/>
    <w:rsid w:val="00D425DF"/>
    <w:rsid w:val="00D43252"/>
    <w:rsid w:val="00D44D86"/>
    <w:rsid w:val="00D50B7D"/>
    <w:rsid w:val="00D52012"/>
    <w:rsid w:val="00D5202F"/>
    <w:rsid w:val="00D704E5"/>
    <w:rsid w:val="00D72727"/>
    <w:rsid w:val="00D978C6"/>
    <w:rsid w:val="00DA0956"/>
    <w:rsid w:val="00DA357F"/>
    <w:rsid w:val="00DA3E12"/>
    <w:rsid w:val="00DA4201"/>
    <w:rsid w:val="00DC18AD"/>
    <w:rsid w:val="00DF7CAE"/>
    <w:rsid w:val="00E423C0"/>
    <w:rsid w:val="00E44BCE"/>
    <w:rsid w:val="00E6414C"/>
    <w:rsid w:val="00E7260F"/>
    <w:rsid w:val="00E8702D"/>
    <w:rsid w:val="00E905F4"/>
    <w:rsid w:val="00E916A9"/>
    <w:rsid w:val="00E916DE"/>
    <w:rsid w:val="00E925AD"/>
    <w:rsid w:val="00E96630"/>
    <w:rsid w:val="00ED18DC"/>
    <w:rsid w:val="00ED6201"/>
    <w:rsid w:val="00ED7A2A"/>
    <w:rsid w:val="00EE08F1"/>
    <w:rsid w:val="00EF1D7F"/>
    <w:rsid w:val="00F0137E"/>
    <w:rsid w:val="00F04E44"/>
    <w:rsid w:val="00F1177D"/>
    <w:rsid w:val="00F21786"/>
    <w:rsid w:val="00F23425"/>
    <w:rsid w:val="00F25D06"/>
    <w:rsid w:val="00F31CD7"/>
    <w:rsid w:val="00F31CFF"/>
    <w:rsid w:val="00F3742B"/>
    <w:rsid w:val="00F41FDB"/>
    <w:rsid w:val="00F50597"/>
    <w:rsid w:val="00F56D63"/>
    <w:rsid w:val="00F609A9"/>
    <w:rsid w:val="00F6206D"/>
    <w:rsid w:val="00F80C99"/>
    <w:rsid w:val="00F867EC"/>
    <w:rsid w:val="00F91B2B"/>
    <w:rsid w:val="00FA3D55"/>
    <w:rsid w:val="00FC03CD"/>
    <w:rsid w:val="00FC0646"/>
    <w:rsid w:val="00FC2B46"/>
    <w:rsid w:val="00FC68B7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B619E"/>
  <w15:docId w15:val="{2E038D3B-2E55-4A3E-BEA8-0F965B59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uiPriority w:val="99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uiPriority w:val="99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uiPriority w:val="99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5B5427"/>
    <w:rPr>
      <w:lang w:val="en-GB"/>
    </w:rPr>
  </w:style>
  <w:style w:type="character" w:customStyle="1" w:styleId="HChGChar">
    <w:name w:val="_ H _Ch_G Char"/>
    <w:link w:val="HChG"/>
    <w:qFormat/>
    <w:locked/>
    <w:rsid w:val="005B5427"/>
    <w:rPr>
      <w:b/>
      <w:sz w:val="28"/>
      <w:lang w:val="en-GB"/>
    </w:rPr>
  </w:style>
  <w:style w:type="character" w:customStyle="1" w:styleId="H1GChar">
    <w:name w:val="_ H_1_G Char"/>
    <w:link w:val="H1G"/>
    <w:locked/>
    <w:rsid w:val="005B5427"/>
    <w:rPr>
      <w:b/>
      <w:sz w:val="24"/>
      <w:lang w:val="en-GB"/>
    </w:rPr>
  </w:style>
  <w:style w:type="paragraph" w:customStyle="1" w:styleId="Para">
    <w:name w:val="Para"/>
    <w:basedOn w:val="Normal"/>
    <w:qFormat/>
    <w:rsid w:val="00B96983"/>
    <w:pPr>
      <w:spacing w:after="120"/>
      <w:ind w:left="2268" w:right="1134" w:hanging="1134"/>
      <w:jc w:val="both"/>
    </w:pPr>
    <w:rPr>
      <w:lang w:eastAsia="en-US"/>
    </w:rPr>
  </w:style>
  <w:style w:type="paragraph" w:customStyle="1" w:styleId="SingleTxtGR">
    <w:name w:val="_ Single Txt_GR"/>
    <w:basedOn w:val="Normal"/>
    <w:rsid w:val="001F1F54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spacing w:val="4"/>
      <w:w w:val="103"/>
      <w:kern w:val="1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FD7543-CE33-45F7-9542-D79562FB3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2</Pages>
  <Words>400</Words>
  <Characters>2025</Characters>
  <Application>Microsoft Office Word</Application>
  <DocSecurity>0</DocSecurity>
  <Lines>67</Lines>
  <Paragraphs>47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ECE/TRANS/WP.29/2025/5</dc:title>
  <dc:subject>2424245</dc:subject>
  <dc:creator>Edoardo Gianotti</dc:creator>
  <cp:keywords/>
  <dc:description/>
  <cp:lastModifiedBy>Don Canete Martin</cp:lastModifiedBy>
  <cp:revision>2</cp:revision>
  <cp:lastPrinted>2009-02-18T09:36:00Z</cp:lastPrinted>
  <dcterms:created xsi:type="dcterms:W3CDTF">2024-12-20T11:16:00Z</dcterms:created>
  <dcterms:modified xsi:type="dcterms:W3CDTF">2024-12-20T11:16:00Z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