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2F74C6CA" w14:textId="77777777" w:rsidTr="00B20551">
        <w:trPr>
          <w:cantSplit/>
          <w:trHeight w:hRule="exact" w:val="851"/>
        </w:trPr>
        <w:tc>
          <w:tcPr>
            <w:tcW w:w="1276" w:type="dxa"/>
            <w:tcBorders>
              <w:bottom w:val="single" w:sz="4" w:space="0" w:color="auto"/>
            </w:tcBorders>
            <w:vAlign w:val="bottom"/>
          </w:tcPr>
          <w:p w14:paraId="38DB6479" w14:textId="77777777" w:rsidR="009E6CB7" w:rsidRDefault="009E6CB7" w:rsidP="00B20551">
            <w:pPr>
              <w:spacing w:after="80"/>
            </w:pPr>
          </w:p>
        </w:tc>
        <w:tc>
          <w:tcPr>
            <w:tcW w:w="2268" w:type="dxa"/>
            <w:tcBorders>
              <w:bottom w:val="single" w:sz="4" w:space="0" w:color="auto"/>
            </w:tcBorders>
            <w:vAlign w:val="bottom"/>
          </w:tcPr>
          <w:p w14:paraId="53AA4036"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56E31AE" w14:textId="101447A0" w:rsidR="009E6CB7" w:rsidRPr="00D47EEA" w:rsidRDefault="00622302" w:rsidP="00622302">
            <w:pPr>
              <w:jc w:val="right"/>
            </w:pPr>
            <w:r w:rsidRPr="00622302">
              <w:rPr>
                <w:sz w:val="40"/>
              </w:rPr>
              <w:t>ECE</w:t>
            </w:r>
            <w:r>
              <w:t>/TRANS/WP.29/GRSP/2025/43</w:t>
            </w:r>
          </w:p>
        </w:tc>
      </w:tr>
      <w:tr w:rsidR="009E6CB7" w14:paraId="3C6A730A" w14:textId="77777777" w:rsidTr="00B20551">
        <w:trPr>
          <w:cantSplit/>
          <w:trHeight w:hRule="exact" w:val="2835"/>
        </w:trPr>
        <w:tc>
          <w:tcPr>
            <w:tcW w:w="1276" w:type="dxa"/>
            <w:tcBorders>
              <w:top w:val="single" w:sz="4" w:space="0" w:color="auto"/>
              <w:bottom w:val="single" w:sz="12" w:space="0" w:color="auto"/>
            </w:tcBorders>
          </w:tcPr>
          <w:p w14:paraId="2DFB0069" w14:textId="77777777" w:rsidR="009E6CB7" w:rsidRDefault="00686A48" w:rsidP="00B20551">
            <w:pPr>
              <w:spacing w:before="120"/>
            </w:pPr>
            <w:r>
              <w:rPr>
                <w:noProof/>
                <w:lang w:val="fr-CH" w:eastAsia="fr-CH"/>
              </w:rPr>
              <w:drawing>
                <wp:inline distT="0" distB="0" distL="0" distR="0" wp14:anchorId="65EC5DC5" wp14:editId="37D6486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14B8B7F"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BF48EA4" w14:textId="77777777" w:rsidR="009E6CB7" w:rsidRDefault="00622302" w:rsidP="00622302">
            <w:pPr>
              <w:spacing w:before="240" w:line="240" w:lineRule="exact"/>
            </w:pPr>
            <w:r>
              <w:t>Distr.: General</w:t>
            </w:r>
          </w:p>
          <w:p w14:paraId="65D390A6" w14:textId="36B4BD61" w:rsidR="00622302" w:rsidRDefault="00E77A59" w:rsidP="00622302">
            <w:pPr>
              <w:spacing w:line="240" w:lineRule="exact"/>
            </w:pPr>
            <w:r>
              <w:t>22 September 2025</w:t>
            </w:r>
          </w:p>
          <w:p w14:paraId="26619885" w14:textId="77777777" w:rsidR="00622302" w:rsidRDefault="00622302" w:rsidP="00622302">
            <w:pPr>
              <w:spacing w:line="240" w:lineRule="exact"/>
            </w:pPr>
          </w:p>
          <w:p w14:paraId="1A334854" w14:textId="0924ED5B" w:rsidR="00622302" w:rsidRDefault="00622302" w:rsidP="00622302">
            <w:pPr>
              <w:spacing w:line="240" w:lineRule="exact"/>
            </w:pPr>
            <w:r>
              <w:t>Original: English</w:t>
            </w:r>
          </w:p>
        </w:tc>
      </w:tr>
    </w:tbl>
    <w:p w14:paraId="64421643" w14:textId="77777777" w:rsidR="008C6FEF" w:rsidRPr="00371D53" w:rsidRDefault="008C6FEF" w:rsidP="008C6FEF">
      <w:pPr>
        <w:spacing w:before="120"/>
        <w:rPr>
          <w:b/>
          <w:sz w:val="28"/>
          <w:szCs w:val="28"/>
        </w:rPr>
      </w:pPr>
      <w:r w:rsidRPr="00371D53">
        <w:rPr>
          <w:b/>
          <w:sz w:val="28"/>
          <w:szCs w:val="28"/>
        </w:rPr>
        <w:t>Economic Commission for Europe</w:t>
      </w:r>
    </w:p>
    <w:p w14:paraId="565CF822" w14:textId="77777777" w:rsidR="008C6FEF" w:rsidRPr="00371D53" w:rsidRDefault="008C6FEF" w:rsidP="008C6FEF">
      <w:pPr>
        <w:spacing w:before="120"/>
        <w:rPr>
          <w:sz w:val="28"/>
          <w:szCs w:val="28"/>
        </w:rPr>
      </w:pPr>
      <w:r w:rsidRPr="00371D53">
        <w:rPr>
          <w:sz w:val="28"/>
          <w:szCs w:val="28"/>
        </w:rPr>
        <w:t>Inland Transport Committee</w:t>
      </w:r>
    </w:p>
    <w:p w14:paraId="47A80A7D" w14:textId="77777777" w:rsidR="008C6FEF" w:rsidRPr="00371D53" w:rsidRDefault="008C6FEF" w:rsidP="008C6FEF">
      <w:pPr>
        <w:spacing w:before="120"/>
        <w:rPr>
          <w:b/>
          <w:sz w:val="24"/>
          <w:szCs w:val="24"/>
        </w:rPr>
      </w:pPr>
      <w:r w:rsidRPr="00371D53">
        <w:rPr>
          <w:b/>
          <w:sz w:val="24"/>
          <w:szCs w:val="24"/>
        </w:rPr>
        <w:t>World Forum for Harmonization of Vehicle Regulations</w:t>
      </w:r>
    </w:p>
    <w:p w14:paraId="14A74AF5" w14:textId="77777777" w:rsidR="008C6FEF" w:rsidRPr="00371D53" w:rsidRDefault="008C6FEF" w:rsidP="008C6FEF">
      <w:pPr>
        <w:spacing w:before="120" w:after="120"/>
        <w:rPr>
          <w:b/>
          <w:bCs/>
        </w:rPr>
      </w:pPr>
      <w:r w:rsidRPr="00371D53">
        <w:rPr>
          <w:b/>
          <w:bCs/>
        </w:rPr>
        <w:t>Working Party on Passive Safety</w:t>
      </w:r>
    </w:p>
    <w:p w14:paraId="70F361E8" w14:textId="77777777" w:rsidR="008C6FEF" w:rsidRPr="00371D53" w:rsidRDefault="008C6FEF" w:rsidP="008C6FEF">
      <w:pPr>
        <w:rPr>
          <w:b/>
        </w:rPr>
      </w:pPr>
      <w:r w:rsidRPr="00371D53">
        <w:rPr>
          <w:b/>
        </w:rPr>
        <w:t>Seventy-</w:t>
      </w:r>
      <w:r>
        <w:rPr>
          <w:b/>
        </w:rPr>
        <w:t>eighth</w:t>
      </w:r>
      <w:r w:rsidRPr="00371D53">
        <w:rPr>
          <w:b/>
        </w:rPr>
        <w:t xml:space="preserve"> session </w:t>
      </w:r>
    </w:p>
    <w:p w14:paraId="43FFF75E" w14:textId="77777777" w:rsidR="008C6FEF" w:rsidRPr="00003BAC" w:rsidRDefault="008C6FEF" w:rsidP="008C6FEF">
      <w:pPr>
        <w:spacing w:line="240" w:lineRule="auto"/>
      </w:pPr>
      <w:r w:rsidRPr="00003BAC">
        <w:t xml:space="preserve">Geneva, </w:t>
      </w:r>
      <w:r>
        <w:t>1</w:t>
      </w:r>
      <w:r w:rsidRPr="00003BAC">
        <w:t>–</w:t>
      </w:r>
      <w:r>
        <w:t>4</w:t>
      </w:r>
      <w:r w:rsidRPr="00003BAC">
        <w:t xml:space="preserve"> </w:t>
      </w:r>
      <w:r>
        <w:t xml:space="preserve">December </w:t>
      </w:r>
      <w:r w:rsidRPr="00003BAC">
        <w:t>2025</w:t>
      </w:r>
    </w:p>
    <w:p w14:paraId="4DC1B52D" w14:textId="7D167136" w:rsidR="008C6FEF" w:rsidRPr="00B16B68" w:rsidRDefault="008C6FEF" w:rsidP="008C6FEF">
      <w:pPr>
        <w:rPr>
          <w:rFonts w:asciiTheme="majorBidi" w:hAnsiTheme="majorBidi" w:cstheme="majorBidi"/>
        </w:rPr>
      </w:pPr>
      <w:r w:rsidRPr="00B16B68">
        <w:rPr>
          <w:rFonts w:asciiTheme="majorBidi" w:hAnsiTheme="majorBidi" w:cstheme="majorBidi"/>
        </w:rPr>
        <w:t xml:space="preserve">Item </w:t>
      </w:r>
      <w:r w:rsidR="00085FB7">
        <w:rPr>
          <w:rFonts w:asciiTheme="majorBidi" w:hAnsiTheme="majorBidi" w:cstheme="majorBidi"/>
        </w:rPr>
        <w:t>18</w:t>
      </w:r>
      <w:r w:rsidRPr="00B16B68">
        <w:rPr>
          <w:rFonts w:asciiTheme="majorBidi" w:hAnsiTheme="majorBidi" w:cstheme="majorBidi"/>
        </w:rPr>
        <w:t xml:space="preserve"> of the provisional agenda</w:t>
      </w:r>
    </w:p>
    <w:p w14:paraId="1B506BFF" w14:textId="637C5A47" w:rsidR="008C6FEF" w:rsidRPr="00B16B68" w:rsidRDefault="00085FB7" w:rsidP="008C6FEF">
      <w:r w:rsidRPr="00085FB7">
        <w:rPr>
          <w:b/>
        </w:rPr>
        <w:t>UN Regulation No. 174 (Safety-belt reminders)</w:t>
      </w:r>
    </w:p>
    <w:p w14:paraId="774BD7A5" w14:textId="723433DB" w:rsidR="008C6FEF" w:rsidRDefault="008C6FEF" w:rsidP="008C6FEF">
      <w:pPr>
        <w:pStyle w:val="HChG"/>
      </w:pPr>
      <w:r>
        <w:tab/>
      </w:r>
      <w:r>
        <w:tab/>
      </w:r>
      <w:r w:rsidRPr="00164C57">
        <w:t xml:space="preserve">Proposal for </w:t>
      </w:r>
      <w:r w:rsidR="001E7627" w:rsidRPr="00164C57">
        <w:t>a supplement to UN Regulation No. 174 (Safety-</w:t>
      </w:r>
      <w:r w:rsidR="001E7627">
        <w:t>belt reminders)</w:t>
      </w:r>
    </w:p>
    <w:p w14:paraId="339CD61E" w14:textId="54872FF4" w:rsidR="008C6FEF" w:rsidRDefault="008C6FEF" w:rsidP="008C6FEF">
      <w:pPr>
        <w:pStyle w:val="H1G"/>
        <w:rPr>
          <w:sz w:val="20"/>
        </w:rPr>
      </w:pPr>
      <w:r>
        <w:tab/>
      </w:r>
      <w:r>
        <w:tab/>
        <w:t xml:space="preserve">Submitted by the </w:t>
      </w:r>
      <w:r>
        <w:rPr>
          <w:spacing w:val="-4"/>
        </w:rPr>
        <w:t>expert from</w:t>
      </w:r>
      <w:r w:rsidR="00BA02CA" w:rsidRPr="00BA02CA">
        <w:rPr>
          <w:spacing w:val="-4"/>
        </w:rPr>
        <w:t xml:space="preserve"> </w:t>
      </w:r>
      <w:r w:rsidR="00BA02CA">
        <w:rPr>
          <w:spacing w:val="-4"/>
        </w:rPr>
        <w:t xml:space="preserve">the </w:t>
      </w:r>
      <w:r w:rsidR="00BA02CA" w:rsidRPr="007C5788">
        <w:t>International Organization of Motor Vehicle Manufacturers (OICA)</w:t>
      </w:r>
      <w:r>
        <w:rPr>
          <w:spacing w:val="-4"/>
        </w:rPr>
        <w:t xml:space="preserve"> </w:t>
      </w:r>
      <w:r w:rsidRPr="00122355">
        <w:rPr>
          <w:rStyle w:val="FootnoteReference"/>
          <w:sz w:val="20"/>
          <w:vertAlign w:val="baseline"/>
        </w:rPr>
        <w:footnoteReference w:customMarkFollows="1" w:id="2"/>
        <w:t>*</w:t>
      </w:r>
    </w:p>
    <w:p w14:paraId="22CF1C6F" w14:textId="57C3180F" w:rsidR="008C6FEF" w:rsidRDefault="008C6FEF" w:rsidP="008C6FEF">
      <w:pPr>
        <w:pStyle w:val="SingleTxtG"/>
      </w:pPr>
      <w:r>
        <w:rPr>
          <w:rStyle w:val="FootnoteReference"/>
          <w:sz w:val="20"/>
          <w:vertAlign w:val="baseline"/>
        </w:rPr>
        <w:tab/>
      </w:r>
      <w:r w:rsidRPr="004E3F12">
        <w:rPr>
          <w:rStyle w:val="FootnoteReference"/>
          <w:sz w:val="20"/>
          <w:vertAlign w:val="baseline"/>
        </w:rPr>
        <w:t xml:space="preserve">The text reproduced below </w:t>
      </w:r>
      <w:r w:rsidR="00076B60" w:rsidRPr="6ED4E328">
        <w:rPr>
          <w:rStyle w:val="FootnoteReference"/>
          <w:sz w:val="20"/>
          <w:vertAlign w:val="baseline"/>
        </w:rPr>
        <w:t>was prepared by the experts f</w:t>
      </w:r>
      <w:r w:rsidR="00076B60">
        <w:t xml:space="preserve">rom </w:t>
      </w:r>
      <w:r w:rsidR="00076B60" w:rsidRPr="6ED4E328">
        <w:rPr>
          <w:rStyle w:val="FootnoteReference"/>
          <w:sz w:val="20"/>
          <w:vertAlign w:val="baseline"/>
        </w:rPr>
        <w:t>O</w:t>
      </w:r>
      <w:r w:rsidR="00076B60">
        <w:t>ICA</w:t>
      </w:r>
      <w:r w:rsidR="00076B60" w:rsidRPr="6ED4E328">
        <w:rPr>
          <w:rStyle w:val="FootnoteReference"/>
          <w:sz w:val="20"/>
          <w:vertAlign w:val="baseline"/>
        </w:rPr>
        <w:t>.</w:t>
      </w:r>
      <w:r w:rsidR="00076B60">
        <w:t xml:space="preserve"> </w:t>
      </w:r>
      <w:r w:rsidR="00076B60" w:rsidRPr="6ED4E328">
        <w:rPr>
          <w:rStyle w:val="FootnoteReference"/>
          <w:sz w:val="20"/>
          <w:vertAlign w:val="baseline"/>
        </w:rPr>
        <w:t>A</w:t>
      </w:r>
      <w:r w:rsidR="00076B60">
        <w:t xml:space="preserve">mendments </w:t>
      </w:r>
      <w:r w:rsidR="00076B60" w:rsidRPr="6ED4E328">
        <w:rPr>
          <w:rStyle w:val="FootnoteReference"/>
          <w:sz w:val="20"/>
          <w:vertAlign w:val="baseline"/>
        </w:rPr>
        <w:t>to the current text of UN Regulation N</w:t>
      </w:r>
      <w:r w:rsidR="00076B60">
        <w:t xml:space="preserve">o. 174 </w:t>
      </w:r>
      <w:r w:rsidR="00076B60" w:rsidRPr="6ED4E328">
        <w:rPr>
          <w:rStyle w:val="FootnoteReference"/>
          <w:sz w:val="20"/>
          <w:vertAlign w:val="baseline"/>
        </w:rPr>
        <w:t>are marked in bold for new or strikethrough for deleted characters.</w:t>
      </w:r>
    </w:p>
    <w:p w14:paraId="7E829880" w14:textId="77777777" w:rsidR="008C6FEF" w:rsidRDefault="008C6FEF" w:rsidP="008C6FEF">
      <w:r>
        <w:br w:type="page"/>
      </w:r>
    </w:p>
    <w:p w14:paraId="73215FF5" w14:textId="77777777" w:rsidR="008C6FEF" w:rsidRPr="004E3F12" w:rsidRDefault="008C6FEF" w:rsidP="008C6FEF">
      <w:pPr>
        <w:pStyle w:val="HChG"/>
      </w:pPr>
      <w:r>
        <w:lastRenderedPageBreak/>
        <w:tab/>
        <w:t>I.</w:t>
      </w:r>
      <w:r>
        <w:tab/>
      </w:r>
      <w:r w:rsidRPr="004E3F12">
        <w:t>Proposal</w:t>
      </w:r>
    </w:p>
    <w:p w14:paraId="0226D676" w14:textId="77777777" w:rsidR="001C3082" w:rsidRDefault="001C3082" w:rsidP="00212397">
      <w:pPr>
        <w:pStyle w:val="SingleTxtG"/>
        <w:tabs>
          <w:tab w:val="clear" w:pos="1701"/>
          <w:tab w:val="clear" w:pos="2268"/>
          <w:tab w:val="clear" w:pos="2835"/>
        </w:tabs>
        <w:ind w:left="2268" w:hanging="1134"/>
        <w:rPr>
          <w:iCs/>
        </w:rPr>
      </w:pPr>
      <w:r>
        <w:rPr>
          <w:i/>
          <w:iCs/>
        </w:rPr>
        <w:t xml:space="preserve">Insert new paragraph 0.4., </w:t>
      </w:r>
      <w:r w:rsidRPr="00122493">
        <w:rPr>
          <w:iCs/>
        </w:rPr>
        <w:t>to read:</w:t>
      </w:r>
    </w:p>
    <w:p w14:paraId="26FE0F90" w14:textId="4964411E" w:rsidR="001C3082" w:rsidRPr="00212397" w:rsidRDefault="001C3082" w:rsidP="00212397">
      <w:pPr>
        <w:pStyle w:val="SingleTxtG"/>
        <w:tabs>
          <w:tab w:val="clear" w:pos="1701"/>
          <w:tab w:val="clear" w:pos="2268"/>
          <w:tab w:val="clear" w:pos="2835"/>
        </w:tabs>
        <w:ind w:left="2268" w:hanging="1134"/>
        <w:rPr>
          <w:iCs/>
        </w:rPr>
      </w:pPr>
      <w:r w:rsidRPr="00212397">
        <w:rPr>
          <w:iCs/>
        </w:rPr>
        <w:t>“0.4.</w:t>
      </w:r>
      <w:r w:rsidRPr="00212397">
        <w:rPr>
          <w:iCs/>
        </w:rPr>
        <w:tab/>
      </w:r>
      <w:proofErr w:type="gramStart"/>
      <w:r w:rsidRPr="00212397">
        <w:rPr>
          <w:iCs/>
        </w:rPr>
        <w:t>SBR‘</w:t>
      </w:r>
      <w:proofErr w:type="gramEnd"/>
      <w:r w:rsidRPr="00212397">
        <w:rPr>
          <w:iCs/>
        </w:rPr>
        <w:t>s second level warning is intended to warn, if one seat belt is unfastened during driving conditions, as specified in para. 8.4.2.4.1</w:t>
      </w:r>
      <w:r w:rsidR="00212397" w:rsidRPr="00212397">
        <w:rPr>
          <w:iCs/>
        </w:rPr>
        <w:t>.</w:t>
      </w:r>
    </w:p>
    <w:p w14:paraId="7BA7BE9C" w14:textId="26474550" w:rsidR="001C3082" w:rsidRPr="00212397" w:rsidRDefault="001C3082" w:rsidP="00212397">
      <w:pPr>
        <w:pStyle w:val="SingleTxtG"/>
        <w:tabs>
          <w:tab w:val="clear" w:pos="1701"/>
          <w:tab w:val="clear" w:pos="2268"/>
          <w:tab w:val="clear" w:pos="2835"/>
        </w:tabs>
        <w:ind w:left="2268" w:hanging="1134"/>
      </w:pPr>
      <w:r w:rsidRPr="00212397">
        <w:tab/>
        <w:t xml:space="preserve">There are some possibilities in real traffic for higher priority warnings/actions, which are not described in this UN Regulation. However, these situations cannot be understood as </w:t>
      </w:r>
      <w:r w:rsidR="00B84D7E">
        <w:t>"</w:t>
      </w:r>
      <w:r w:rsidRPr="00212397">
        <w:t>normal driving</w:t>
      </w:r>
      <w:r w:rsidR="00B84D7E">
        <w:t>"</w:t>
      </w:r>
      <w:r w:rsidRPr="00212397">
        <w:t>, as defined in para. 2.47. (Example: door opening during driving).</w:t>
      </w:r>
    </w:p>
    <w:p w14:paraId="6D485976" w14:textId="77777777" w:rsidR="001C3082" w:rsidRPr="00212397" w:rsidRDefault="001C3082" w:rsidP="00212397">
      <w:pPr>
        <w:pStyle w:val="SingleTxtG"/>
        <w:tabs>
          <w:tab w:val="clear" w:pos="1701"/>
          <w:tab w:val="clear" w:pos="2268"/>
          <w:tab w:val="clear" w:pos="2835"/>
        </w:tabs>
        <w:ind w:left="2268" w:hanging="1134"/>
        <w:rPr>
          <w:strike/>
          <w:color w:val="0070C0"/>
        </w:rPr>
      </w:pPr>
      <w:r w:rsidRPr="00212397">
        <w:tab/>
        <w:t>For some dangerous situations the driver must stop the vehicle immediately, a clear warning without overlapping tones is needed. Therefore, the second level warning of the SBR may be discontinued for higher prioritized warnings, this condition being reset by the vehicle master control switch.”</w:t>
      </w:r>
    </w:p>
    <w:p w14:paraId="1D84A866" w14:textId="7DEB94D7" w:rsidR="001C3082" w:rsidRDefault="001C3082" w:rsidP="00212397">
      <w:pPr>
        <w:pStyle w:val="SingleTxtG"/>
        <w:tabs>
          <w:tab w:val="clear" w:pos="1701"/>
          <w:tab w:val="clear" w:pos="2268"/>
          <w:tab w:val="clear" w:pos="2835"/>
        </w:tabs>
        <w:ind w:left="2268" w:hanging="1134"/>
      </w:pPr>
      <w:r w:rsidRPr="006C3CA9">
        <w:rPr>
          <w:i/>
          <w:iCs/>
        </w:rPr>
        <w:t xml:space="preserve">Paragraph </w:t>
      </w:r>
      <w:r>
        <w:rPr>
          <w:i/>
          <w:iCs/>
        </w:rPr>
        <w:t>5.2.4.3</w:t>
      </w:r>
      <w:r w:rsidR="00E77A59">
        <w:rPr>
          <w:i/>
          <w:iCs/>
        </w:rPr>
        <w:t>.</w:t>
      </w:r>
      <w:r w:rsidRPr="006C3CA9">
        <w:rPr>
          <w:i/>
          <w:iCs/>
        </w:rPr>
        <w:t>,</w:t>
      </w:r>
      <w:r w:rsidRPr="006C3CA9">
        <w:t xml:space="preserve"> </w:t>
      </w:r>
      <w:r>
        <w:t>amend to read:</w:t>
      </w:r>
    </w:p>
    <w:p w14:paraId="053D098E" w14:textId="35B62183" w:rsidR="001C3082" w:rsidRPr="00B77441" w:rsidRDefault="00B01CBE" w:rsidP="00212397">
      <w:pPr>
        <w:pStyle w:val="SingleTxtG"/>
        <w:tabs>
          <w:tab w:val="clear" w:pos="1701"/>
          <w:tab w:val="clear" w:pos="2268"/>
          <w:tab w:val="clear" w:pos="2835"/>
        </w:tabs>
        <w:ind w:left="2268" w:hanging="1134"/>
        <w:rPr>
          <w:lang w:eastAsia="ja-JP"/>
        </w:rPr>
      </w:pPr>
      <w:r>
        <w:rPr>
          <w:lang w:val="en-US" w:eastAsia="ja-JP"/>
        </w:rPr>
        <w:t>“</w:t>
      </w:r>
      <w:r w:rsidR="001C3082">
        <w:rPr>
          <w:lang w:val="en-US" w:eastAsia="ja-JP"/>
        </w:rPr>
        <w:t>5</w:t>
      </w:r>
      <w:r w:rsidR="001C3082" w:rsidRPr="00C501D7">
        <w:rPr>
          <w:lang w:val="en-US" w:eastAsia="ja-JP"/>
        </w:rPr>
        <w:t>.2.4.3.</w:t>
      </w:r>
      <w:r w:rsidR="00212397">
        <w:rPr>
          <w:lang w:val="en-US" w:eastAsia="ja-JP"/>
        </w:rPr>
        <w:tab/>
      </w:r>
      <w:r w:rsidR="001C3082" w:rsidRPr="00C501D7">
        <w:rPr>
          <w:lang w:val="en-US" w:eastAsia="ja-JP"/>
        </w:rPr>
        <w:t xml:space="preserve">The second level warning may be discontinued </w:t>
      </w:r>
      <w:r w:rsidR="001C3082" w:rsidRPr="00C470B6">
        <w:rPr>
          <w:lang w:val="en-US" w:eastAsia="ja-JP"/>
        </w:rPr>
        <w:t>when</w:t>
      </w:r>
      <w:r w:rsidR="001C3082" w:rsidRPr="00C501D7">
        <w:rPr>
          <w:lang w:val="en-US" w:eastAsia="ja-JP"/>
        </w:rPr>
        <w:t xml:space="preserve">: </w:t>
      </w:r>
    </w:p>
    <w:p w14:paraId="11A43E6B" w14:textId="694B9439" w:rsidR="001C3082" w:rsidRPr="008746A6" w:rsidRDefault="001C3082" w:rsidP="000B2FE9">
      <w:pPr>
        <w:pStyle w:val="SingleTxtG"/>
        <w:tabs>
          <w:tab w:val="clear" w:pos="1701"/>
          <w:tab w:val="clear" w:pos="2268"/>
          <w:tab w:val="clear" w:pos="2835"/>
        </w:tabs>
        <w:ind w:left="2835" w:hanging="567"/>
        <w:rPr>
          <w:lang w:eastAsia="ja-JP"/>
        </w:rPr>
      </w:pPr>
      <w:r w:rsidRPr="008746A6">
        <w:rPr>
          <w:lang w:eastAsia="ja-JP"/>
        </w:rPr>
        <w:t>(a)</w:t>
      </w:r>
      <w:r w:rsidR="000B2FE9">
        <w:rPr>
          <w:lang w:eastAsia="ja-JP"/>
        </w:rPr>
        <w:tab/>
      </w:r>
      <w:r w:rsidRPr="008746A6">
        <w:rPr>
          <w:lang w:eastAsia="ja-JP"/>
        </w:rPr>
        <w:t xml:space="preserve">None of the safety-belts which triggered the warning are </w:t>
      </w:r>
      <w:proofErr w:type="gramStart"/>
      <w:r w:rsidRPr="008746A6">
        <w:rPr>
          <w:lang w:eastAsia="ja-JP"/>
        </w:rPr>
        <w:t>unfastened;</w:t>
      </w:r>
      <w:proofErr w:type="gramEnd"/>
      <w:r w:rsidRPr="008746A6">
        <w:rPr>
          <w:lang w:eastAsia="ja-JP"/>
        </w:rPr>
        <w:t xml:space="preserve"> </w:t>
      </w:r>
    </w:p>
    <w:p w14:paraId="64FB3A54" w14:textId="514CDDF8" w:rsidR="001C3082" w:rsidRPr="008746A6" w:rsidRDefault="001C3082" w:rsidP="000B2FE9">
      <w:pPr>
        <w:pStyle w:val="SingleTxtG"/>
        <w:tabs>
          <w:tab w:val="clear" w:pos="1701"/>
          <w:tab w:val="clear" w:pos="2268"/>
          <w:tab w:val="clear" w:pos="2835"/>
        </w:tabs>
        <w:ind w:left="2835" w:hanging="567"/>
        <w:rPr>
          <w:lang w:eastAsia="ja-JP"/>
        </w:rPr>
      </w:pPr>
      <w:r w:rsidRPr="008746A6">
        <w:rPr>
          <w:lang w:eastAsia="ja-JP"/>
        </w:rPr>
        <w:t>(b)</w:t>
      </w:r>
      <w:r w:rsidR="006E1A3A">
        <w:rPr>
          <w:lang w:eastAsia="ja-JP"/>
        </w:rPr>
        <w:tab/>
      </w:r>
      <w:r w:rsidRPr="008746A6">
        <w:rPr>
          <w:lang w:eastAsia="ja-JP"/>
        </w:rPr>
        <w:t>The vehicle ceases to be in normal operation;</w:t>
      </w:r>
      <w:r w:rsidRPr="00C470B6">
        <w:rPr>
          <w:strike/>
          <w:lang w:eastAsia="ja-JP"/>
        </w:rPr>
        <w:t xml:space="preserve"> or</w:t>
      </w:r>
      <w:r w:rsidRPr="008746A6">
        <w:rPr>
          <w:lang w:eastAsia="ja-JP"/>
        </w:rPr>
        <w:t xml:space="preserve"> </w:t>
      </w:r>
    </w:p>
    <w:p w14:paraId="14F98FD8" w14:textId="60A0BAE0" w:rsidR="001C3082" w:rsidRPr="00B77441" w:rsidRDefault="001C3082" w:rsidP="000B2FE9">
      <w:pPr>
        <w:pStyle w:val="SingleTxtG"/>
        <w:tabs>
          <w:tab w:val="clear" w:pos="1701"/>
          <w:tab w:val="clear" w:pos="2268"/>
          <w:tab w:val="clear" w:pos="2835"/>
        </w:tabs>
        <w:ind w:left="2835" w:hanging="567"/>
        <w:rPr>
          <w:b/>
          <w:lang w:eastAsia="ja-JP"/>
        </w:rPr>
      </w:pPr>
      <w:r w:rsidRPr="008746A6">
        <w:rPr>
          <w:lang w:eastAsia="ja-JP"/>
        </w:rPr>
        <w:t>(c)</w:t>
      </w:r>
      <w:r w:rsidR="006E1A3A">
        <w:rPr>
          <w:lang w:eastAsia="ja-JP"/>
        </w:rPr>
        <w:tab/>
      </w:r>
      <w:r w:rsidRPr="008746A6">
        <w:rPr>
          <w:lang w:eastAsia="ja-JP"/>
        </w:rPr>
        <w:t>The seat or seats which triggered the warning are no longer occupied</w:t>
      </w:r>
      <w:r w:rsidRPr="00B77441">
        <w:rPr>
          <w:strike/>
          <w:lang w:eastAsia="ja-JP"/>
        </w:rPr>
        <w:t>.</w:t>
      </w:r>
      <w:r>
        <w:rPr>
          <w:b/>
          <w:lang w:eastAsia="ja-JP"/>
        </w:rPr>
        <w:t>; or</w:t>
      </w:r>
    </w:p>
    <w:p w14:paraId="45101774" w14:textId="2C3B39F2" w:rsidR="001C3082" w:rsidRPr="000B2FE9" w:rsidRDefault="001C3082" w:rsidP="000B2FE9">
      <w:pPr>
        <w:pStyle w:val="SingleTxtG"/>
        <w:tabs>
          <w:tab w:val="clear" w:pos="1701"/>
          <w:tab w:val="clear" w:pos="2268"/>
          <w:tab w:val="clear" w:pos="2835"/>
        </w:tabs>
        <w:ind w:left="2835" w:hanging="567"/>
        <w:rPr>
          <w:bCs/>
          <w:lang w:eastAsia="ja-JP"/>
        </w:rPr>
      </w:pPr>
      <w:r>
        <w:rPr>
          <w:b/>
          <w:lang w:eastAsia="ja-JP"/>
        </w:rPr>
        <w:t>(d)</w:t>
      </w:r>
      <w:r w:rsidR="006E1A3A">
        <w:rPr>
          <w:b/>
          <w:lang w:eastAsia="ja-JP"/>
        </w:rPr>
        <w:tab/>
      </w:r>
      <w:r>
        <w:rPr>
          <w:b/>
          <w:lang w:eastAsia="ja-JP"/>
        </w:rPr>
        <w:t>Other audible safety warnings are triggered.</w:t>
      </w:r>
      <w:r w:rsidR="000B2FE9">
        <w:rPr>
          <w:bCs/>
          <w:lang w:eastAsia="ja-JP"/>
        </w:rPr>
        <w:t>”</w:t>
      </w:r>
    </w:p>
    <w:p w14:paraId="5F23AB99" w14:textId="77777777" w:rsidR="003C096A" w:rsidRPr="0079666C" w:rsidRDefault="003C096A" w:rsidP="003C096A">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767AFAA5" w14:textId="3420BBEA" w:rsidR="003C096A" w:rsidRDefault="003C096A" w:rsidP="003C096A">
      <w:pPr>
        <w:pStyle w:val="SingleTxtG"/>
      </w:pPr>
      <w:r>
        <w:t>1.</w:t>
      </w:r>
      <w:r>
        <w:tab/>
        <w:t>See paragraph 0</w:t>
      </w:r>
      <w:r w:rsidR="00124E7B">
        <w:t>.4</w:t>
      </w:r>
      <w:r>
        <w:t>. in the proposal.</w:t>
      </w:r>
    </w:p>
    <w:p w14:paraId="38DBCE57" w14:textId="5F9AA972" w:rsidR="003C096A" w:rsidRPr="00764116" w:rsidRDefault="003C096A" w:rsidP="003C096A">
      <w:pPr>
        <w:pStyle w:val="SingleTxtG"/>
      </w:pPr>
      <w:r>
        <w:t>2.</w:t>
      </w:r>
      <w:r>
        <w:tab/>
      </w:r>
      <w:r w:rsidR="00124E7B" w:rsidRPr="00124E7B">
        <w:t xml:space="preserve">This proposal assumes that document </w:t>
      </w:r>
      <w:r w:rsidR="00F431A9" w:rsidRPr="00F431A9">
        <w:t>ECE/TRANS/WP.29/GRSP/2025/</w:t>
      </w:r>
      <w:r w:rsidR="00F431A9">
        <w:t>26 is also</w:t>
      </w:r>
      <w:r w:rsidR="00124E7B" w:rsidRPr="00124E7B">
        <w:t xml:space="preserve"> adopted.</w:t>
      </w:r>
    </w:p>
    <w:p w14:paraId="66EE7DFB" w14:textId="77777777" w:rsidR="003C096A" w:rsidRPr="00DC5313" w:rsidRDefault="003C096A" w:rsidP="003C096A">
      <w:pPr>
        <w:spacing w:before="240"/>
        <w:jc w:val="center"/>
        <w:rPr>
          <w:u w:val="single"/>
        </w:rPr>
      </w:pPr>
      <w:r w:rsidRPr="00DC5313">
        <w:rPr>
          <w:u w:val="single"/>
        </w:rPr>
        <w:tab/>
      </w:r>
      <w:r w:rsidRPr="00DC5313">
        <w:rPr>
          <w:u w:val="single"/>
        </w:rPr>
        <w:tab/>
      </w:r>
      <w:r w:rsidRPr="00DC5313">
        <w:rPr>
          <w:u w:val="single"/>
        </w:rPr>
        <w:tab/>
      </w:r>
    </w:p>
    <w:p w14:paraId="6663F1B4" w14:textId="77777777" w:rsidR="003C096A" w:rsidRPr="006A7ECA" w:rsidRDefault="003C096A" w:rsidP="003C096A"/>
    <w:p w14:paraId="22EE4DAE" w14:textId="77777777" w:rsidR="001C6663" w:rsidRPr="00622302" w:rsidRDefault="001C6663" w:rsidP="00595520"/>
    <w:sectPr w:rsidR="001C6663" w:rsidRPr="00622302" w:rsidSect="00622302">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EF97" w14:textId="77777777" w:rsidR="00541DB9" w:rsidRDefault="00541DB9"/>
  </w:endnote>
  <w:endnote w:type="continuationSeparator" w:id="0">
    <w:p w14:paraId="0410F9D0" w14:textId="77777777" w:rsidR="00541DB9" w:rsidRDefault="00541DB9"/>
  </w:endnote>
  <w:endnote w:type="continuationNotice" w:id="1">
    <w:p w14:paraId="7E6BC7DA" w14:textId="77777777" w:rsidR="00541DB9" w:rsidRDefault="0054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0A45" w14:textId="299CDFDC" w:rsidR="00622302" w:rsidRPr="00622302" w:rsidRDefault="00622302" w:rsidP="00622302">
    <w:pPr>
      <w:pStyle w:val="Footer"/>
      <w:tabs>
        <w:tab w:val="right" w:pos="9638"/>
      </w:tabs>
      <w:rPr>
        <w:sz w:val="18"/>
      </w:rPr>
    </w:pPr>
    <w:r w:rsidRPr="00622302">
      <w:rPr>
        <w:b/>
        <w:sz w:val="18"/>
      </w:rPr>
      <w:fldChar w:fldCharType="begin"/>
    </w:r>
    <w:r w:rsidRPr="00622302">
      <w:rPr>
        <w:b/>
        <w:sz w:val="18"/>
      </w:rPr>
      <w:instrText xml:space="preserve"> PAGE  \* MERGEFORMAT </w:instrText>
    </w:r>
    <w:r w:rsidRPr="00622302">
      <w:rPr>
        <w:b/>
        <w:sz w:val="18"/>
      </w:rPr>
      <w:fldChar w:fldCharType="separate"/>
    </w:r>
    <w:r w:rsidRPr="00622302">
      <w:rPr>
        <w:b/>
        <w:noProof/>
        <w:sz w:val="18"/>
      </w:rPr>
      <w:t>2</w:t>
    </w:r>
    <w:r w:rsidRPr="0062230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5DDE" w14:textId="0C8DD7AA" w:rsidR="00622302" w:rsidRPr="00622302" w:rsidRDefault="00622302" w:rsidP="00622302">
    <w:pPr>
      <w:pStyle w:val="Footer"/>
      <w:tabs>
        <w:tab w:val="right" w:pos="9638"/>
      </w:tabs>
      <w:rPr>
        <w:b/>
        <w:sz w:val="18"/>
      </w:rPr>
    </w:pPr>
    <w:r>
      <w:tab/>
    </w:r>
    <w:r w:rsidRPr="00622302">
      <w:rPr>
        <w:b/>
        <w:sz w:val="18"/>
      </w:rPr>
      <w:fldChar w:fldCharType="begin"/>
    </w:r>
    <w:r w:rsidRPr="00622302">
      <w:rPr>
        <w:b/>
        <w:sz w:val="18"/>
      </w:rPr>
      <w:instrText xml:space="preserve"> PAGE  \* MERGEFORMAT </w:instrText>
    </w:r>
    <w:r w:rsidRPr="00622302">
      <w:rPr>
        <w:b/>
        <w:sz w:val="18"/>
      </w:rPr>
      <w:fldChar w:fldCharType="separate"/>
    </w:r>
    <w:r w:rsidRPr="00622302">
      <w:rPr>
        <w:b/>
        <w:noProof/>
        <w:sz w:val="18"/>
      </w:rPr>
      <w:t>3</w:t>
    </w:r>
    <w:r w:rsidRPr="00622302">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C978" w14:textId="36F853D1" w:rsidR="004202BA" w:rsidRDefault="004202BA" w:rsidP="004202BA">
    <w:pPr>
      <w:pStyle w:val="Footer"/>
    </w:pPr>
    <w:r w:rsidRPr="0027112F">
      <w:rPr>
        <w:noProof/>
        <w:lang w:val="en-US"/>
      </w:rPr>
      <w:drawing>
        <wp:anchor distT="0" distB="0" distL="114300" distR="114300" simplePos="0" relativeHeight="251659264" behindDoc="0" locked="1" layoutInCell="1" allowOverlap="1" wp14:anchorId="6FB455C2" wp14:editId="744AF5B3">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0DA415B" w14:textId="322EC8C2" w:rsidR="004202BA" w:rsidRPr="004202BA" w:rsidRDefault="004202BA" w:rsidP="004202BA">
    <w:pPr>
      <w:pStyle w:val="Footer"/>
      <w:ind w:right="1134"/>
      <w:rPr>
        <w:sz w:val="20"/>
      </w:rPr>
    </w:pPr>
    <w:r>
      <w:rPr>
        <w:sz w:val="20"/>
      </w:rPr>
      <w:t>GE.25-</w:t>
    </w:r>
    <w:proofErr w:type="gramStart"/>
    <w:r>
      <w:rPr>
        <w:sz w:val="20"/>
      </w:rPr>
      <w:t>15185  (</w:t>
    </w:r>
    <w:proofErr w:type="gramEnd"/>
    <w:r>
      <w:rPr>
        <w:sz w:val="20"/>
      </w:rPr>
      <w:t>E)</w:t>
    </w:r>
    <w:r>
      <w:rPr>
        <w:noProof/>
        <w:sz w:val="20"/>
      </w:rPr>
      <w:drawing>
        <wp:anchor distT="0" distB="0" distL="114300" distR="114300" simplePos="0" relativeHeight="251660288" behindDoc="0" locked="0" layoutInCell="1" allowOverlap="1" wp14:anchorId="71F3E3A8" wp14:editId="26C42898">
          <wp:simplePos x="0" y="0"/>
          <wp:positionH relativeFrom="margin">
            <wp:posOffset>5583555</wp:posOffset>
          </wp:positionH>
          <wp:positionV relativeFrom="margin">
            <wp:posOffset>8981440</wp:posOffset>
          </wp:positionV>
          <wp:extent cx="571500" cy="571500"/>
          <wp:effectExtent l="0" t="0" r="0" b="0"/>
          <wp:wrapNone/>
          <wp:docPr id="161076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05B8" w14:textId="77777777" w:rsidR="00541DB9" w:rsidRPr="000B175B" w:rsidRDefault="00541DB9" w:rsidP="000B175B">
      <w:pPr>
        <w:tabs>
          <w:tab w:val="right" w:pos="2155"/>
        </w:tabs>
        <w:spacing w:after="80"/>
        <w:ind w:left="680"/>
        <w:rPr>
          <w:u w:val="single"/>
        </w:rPr>
      </w:pPr>
      <w:r>
        <w:rPr>
          <w:u w:val="single"/>
        </w:rPr>
        <w:tab/>
      </w:r>
    </w:p>
  </w:footnote>
  <w:footnote w:type="continuationSeparator" w:id="0">
    <w:p w14:paraId="605A330B" w14:textId="77777777" w:rsidR="00541DB9" w:rsidRPr="00FC68B7" w:rsidRDefault="00541DB9" w:rsidP="00FC68B7">
      <w:pPr>
        <w:tabs>
          <w:tab w:val="left" w:pos="2155"/>
        </w:tabs>
        <w:spacing w:after="80"/>
        <w:ind w:left="680"/>
        <w:rPr>
          <w:u w:val="single"/>
        </w:rPr>
      </w:pPr>
      <w:r>
        <w:rPr>
          <w:u w:val="single"/>
        </w:rPr>
        <w:tab/>
      </w:r>
    </w:p>
  </w:footnote>
  <w:footnote w:type="continuationNotice" w:id="1">
    <w:p w14:paraId="63A6FBAF" w14:textId="77777777" w:rsidR="00541DB9" w:rsidRDefault="00541DB9"/>
  </w:footnote>
  <w:footnote w:id="2">
    <w:p w14:paraId="626B24C6" w14:textId="77777777" w:rsidR="008C6FEF" w:rsidRPr="00122355" w:rsidRDefault="008C6FEF" w:rsidP="008C6FEF">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6897" w14:textId="4F9FF5DF" w:rsidR="00622302" w:rsidRPr="00622302" w:rsidRDefault="00A73353">
    <w:pPr>
      <w:pStyle w:val="Header"/>
    </w:pPr>
    <w:fldSimple w:instr=" TITLE  \* MERGEFORMAT ">
      <w:r>
        <w:t>ECE/TRANS/WP.29/GRSP/2025/43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18C" w14:textId="43F6668D" w:rsidR="00622302" w:rsidRPr="00622302" w:rsidRDefault="00A73353" w:rsidP="00622302">
    <w:pPr>
      <w:pStyle w:val="Header"/>
      <w:jc w:val="right"/>
    </w:pPr>
    <w:fldSimple w:instr=" TITLE  \* MERGEFORMAT ">
      <w:r>
        <w:t>ECE/TRANS/WP.29/GRSP/2025/43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50998392">
    <w:abstractNumId w:val="1"/>
  </w:num>
  <w:num w:numId="2" w16cid:durableId="1972437114">
    <w:abstractNumId w:val="0"/>
  </w:num>
  <w:num w:numId="3" w16cid:durableId="925308292">
    <w:abstractNumId w:val="2"/>
  </w:num>
  <w:num w:numId="4" w16cid:durableId="1575625313">
    <w:abstractNumId w:val="3"/>
  </w:num>
  <w:num w:numId="5" w16cid:durableId="216667462">
    <w:abstractNumId w:val="8"/>
  </w:num>
  <w:num w:numId="6" w16cid:durableId="604458824">
    <w:abstractNumId w:val="9"/>
  </w:num>
  <w:num w:numId="7" w16cid:durableId="2147382548">
    <w:abstractNumId w:val="7"/>
  </w:num>
  <w:num w:numId="8" w16cid:durableId="1431392373">
    <w:abstractNumId w:val="6"/>
  </w:num>
  <w:num w:numId="9" w16cid:durableId="930965399">
    <w:abstractNumId w:val="5"/>
  </w:num>
  <w:num w:numId="10" w16cid:durableId="827794800">
    <w:abstractNumId w:val="4"/>
  </w:num>
  <w:num w:numId="11" w16cid:durableId="722679082">
    <w:abstractNumId w:val="15"/>
  </w:num>
  <w:num w:numId="12" w16cid:durableId="1107195269">
    <w:abstractNumId w:val="14"/>
  </w:num>
  <w:num w:numId="13" w16cid:durableId="134684280">
    <w:abstractNumId w:val="10"/>
  </w:num>
  <w:num w:numId="14" w16cid:durableId="1097406848">
    <w:abstractNumId w:val="12"/>
  </w:num>
  <w:num w:numId="15" w16cid:durableId="262953837">
    <w:abstractNumId w:val="16"/>
  </w:num>
  <w:num w:numId="16" w16cid:durableId="1337658914">
    <w:abstractNumId w:val="13"/>
  </w:num>
  <w:num w:numId="17" w16cid:durableId="1973173629">
    <w:abstractNumId w:val="17"/>
  </w:num>
  <w:num w:numId="18" w16cid:durableId="2045061726">
    <w:abstractNumId w:val="18"/>
  </w:num>
  <w:num w:numId="19" w16cid:durableId="18021924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02"/>
    <w:rsid w:val="00002A7D"/>
    <w:rsid w:val="000038A8"/>
    <w:rsid w:val="00005DF3"/>
    <w:rsid w:val="00006790"/>
    <w:rsid w:val="00027624"/>
    <w:rsid w:val="00050F6B"/>
    <w:rsid w:val="000678CD"/>
    <w:rsid w:val="00072C8C"/>
    <w:rsid w:val="00076B60"/>
    <w:rsid w:val="00081CE0"/>
    <w:rsid w:val="00084D30"/>
    <w:rsid w:val="00085FB7"/>
    <w:rsid w:val="00090320"/>
    <w:rsid w:val="000931C0"/>
    <w:rsid w:val="00097003"/>
    <w:rsid w:val="000A2E09"/>
    <w:rsid w:val="000B175B"/>
    <w:rsid w:val="000B2FE9"/>
    <w:rsid w:val="000B3A0F"/>
    <w:rsid w:val="000D10B0"/>
    <w:rsid w:val="000E0415"/>
    <w:rsid w:val="000F7715"/>
    <w:rsid w:val="00124E7B"/>
    <w:rsid w:val="00156B99"/>
    <w:rsid w:val="00164C57"/>
    <w:rsid w:val="00166124"/>
    <w:rsid w:val="00184DDA"/>
    <w:rsid w:val="001900CD"/>
    <w:rsid w:val="001A0452"/>
    <w:rsid w:val="001B4B04"/>
    <w:rsid w:val="001B5875"/>
    <w:rsid w:val="001C3082"/>
    <w:rsid w:val="001C4B9C"/>
    <w:rsid w:val="001C6663"/>
    <w:rsid w:val="001C7895"/>
    <w:rsid w:val="001D26DF"/>
    <w:rsid w:val="001E7627"/>
    <w:rsid w:val="001F1599"/>
    <w:rsid w:val="001F19C4"/>
    <w:rsid w:val="002043F0"/>
    <w:rsid w:val="00206488"/>
    <w:rsid w:val="00211E0B"/>
    <w:rsid w:val="00212397"/>
    <w:rsid w:val="00232575"/>
    <w:rsid w:val="00247258"/>
    <w:rsid w:val="0024728F"/>
    <w:rsid w:val="00257CAC"/>
    <w:rsid w:val="0027237A"/>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EC7"/>
    <w:rsid w:val="003A7295"/>
    <w:rsid w:val="003B1F60"/>
    <w:rsid w:val="003C096A"/>
    <w:rsid w:val="003C2CC4"/>
    <w:rsid w:val="003D4B23"/>
    <w:rsid w:val="003E278A"/>
    <w:rsid w:val="00413520"/>
    <w:rsid w:val="004202BA"/>
    <w:rsid w:val="004325CB"/>
    <w:rsid w:val="00440A07"/>
    <w:rsid w:val="00456C17"/>
    <w:rsid w:val="00462880"/>
    <w:rsid w:val="00476F24"/>
    <w:rsid w:val="004A5D33"/>
    <w:rsid w:val="004C55B0"/>
    <w:rsid w:val="004F6BA0"/>
    <w:rsid w:val="00503BEA"/>
    <w:rsid w:val="00533616"/>
    <w:rsid w:val="00533634"/>
    <w:rsid w:val="00535ABA"/>
    <w:rsid w:val="0053768B"/>
    <w:rsid w:val="00541DB9"/>
    <w:rsid w:val="005420F2"/>
    <w:rsid w:val="0054285C"/>
    <w:rsid w:val="00584173"/>
    <w:rsid w:val="00595520"/>
    <w:rsid w:val="005A44B9"/>
    <w:rsid w:val="005A7D15"/>
    <w:rsid w:val="005B1BA0"/>
    <w:rsid w:val="005B3DB3"/>
    <w:rsid w:val="005C0268"/>
    <w:rsid w:val="005D15CA"/>
    <w:rsid w:val="005F08DF"/>
    <w:rsid w:val="005F3066"/>
    <w:rsid w:val="005F3E61"/>
    <w:rsid w:val="00604DDD"/>
    <w:rsid w:val="006107D6"/>
    <w:rsid w:val="006115CC"/>
    <w:rsid w:val="00611FC4"/>
    <w:rsid w:val="006176FB"/>
    <w:rsid w:val="00622302"/>
    <w:rsid w:val="00630FCB"/>
    <w:rsid w:val="00640B26"/>
    <w:rsid w:val="0065303D"/>
    <w:rsid w:val="0065766B"/>
    <w:rsid w:val="006770B2"/>
    <w:rsid w:val="00686A48"/>
    <w:rsid w:val="0068763C"/>
    <w:rsid w:val="006928C7"/>
    <w:rsid w:val="006940E1"/>
    <w:rsid w:val="006A23C6"/>
    <w:rsid w:val="006A3C72"/>
    <w:rsid w:val="006A7392"/>
    <w:rsid w:val="006B03A1"/>
    <w:rsid w:val="006B67D9"/>
    <w:rsid w:val="006C5535"/>
    <w:rsid w:val="006D0589"/>
    <w:rsid w:val="006E1A3A"/>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2294"/>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C6FEF"/>
    <w:rsid w:val="008D045E"/>
    <w:rsid w:val="008D3F25"/>
    <w:rsid w:val="008D4D82"/>
    <w:rsid w:val="008E0E46"/>
    <w:rsid w:val="008E7116"/>
    <w:rsid w:val="008F143B"/>
    <w:rsid w:val="008F3882"/>
    <w:rsid w:val="008F4B7C"/>
    <w:rsid w:val="0092556A"/>
    <w:rsid w:val="00926E47"/>
    <w:rsid w:val="00947162"/>
    <w:rsid w:val="009610D0"/>
    <w:rsid w:val="0096375C"/>
    <w:rsid w:val="009662E6"/>
    <w:rsid w:val="0097027E"/>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72F22"/>
    <w:rsid w:val="00A73353"/>
    <w:rsid w:val="00A733BC"/>
    <w:rsid w:val="00A748A6"/>
    <w:rsid w:val="00A76A69"/>
    <w:rsid w:val="00A879A4"/>
    <w:rsid w:val="00AA0FF8"/>
    <w:rsid w:val="00AC0F2C"/>
    <w:rsid w:val="00AC502A"/>
    <w:rsid w:val="00AE1E26"/>
    <w:rsid w:val="00AF58C1"/>
    <w:rsid w:val="00B01CBE"/>
    <w:rsid w:val="00B04A3F"/>
    <w:rsid w:val="00B06643"/>
    <w:rsid w:val="00B15055"/>
    <w:rsid w:val="00B20551"/>
    <w:rsid w:val="00B30179"/>
    <w:rsid w:val="00B31E0B"/>
    <w:rsid w:val="00B33FC7"/>
    <w:rsid w:val="00B37B15"/>
    <w:rsid w:val="00B4162A"/>
    <w:rsid w:val="00B45C02"/>
    <w:rsid w:val="00B70B63"/>
    <w:rsid w:val="00B72A1E"/>
    <w:rsid w:val="00B81E12"/>
    <w:rsid w:val="00B84D7E"/>
    <w:rsid w:val="00BA02CA"/>
    <w:rsid w:val="00BA339B"/>
    <w:rsid w:val="00BB23CC"/>
    <w:rsid w:val="00BC1E7E"/>
    <w:rsid w:val="00BC74E9"/>
    <w:rsid w:val="00BD46E5"/>
    <w:rsid w:val="00BD577A"/>
    <w:rsid w:val="00BE36A9"/>
    <w:rsid w:val="00BE618E"/>
    <w:rsid w:val="00BE7BEC"/>
    <w:rsid w:val="00BF0A5A"/>
    <w:rsid w:val="00BF0E63"/>
    <w:rsid w:val="00BF12A3"/>
    <w:rsid w:val="00BF16D7"/>
    <w:rsid w:val="00BF2373"/>
    <w:rsid w:val="00BF279B"/>
    <w:rsid w:val="00C044E2"/>
    <w:rsid w:val="00C048CB"/>
    <w:rsid w:val="00C066F3"/>
    <w:rsid w:val="00C463DD"/>
    <w:rsid w:val="00C513DC"/>
    <w:rsid w:val="00C745C3"/>
    <w:rsid w:val="00C978F5"/>
    <w:rsid w:val="00CA24A4"/>
    <w:rsid w:val="00CB348D"/>
    <w:rsid w:val="00CD279A"/>
    <w:rsid w:val="00CD46F5"/>
    <w:rsid w:val="00CE4A8F"/>
    <w:rsid w:val="00CF071D"/>
    <w:rsid w:val="00D0123D"/>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7CAE"/>
    <w:rsid w:val="00E07C60"/>
    <w:rsid w:val="00E423C0"/>
    <w:rsid w:val="00E6414C"/>
    <w:rsid w:val="00E7260F"/>
    <w:rsid w:val="00E77A59"/>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431A9"/>
    <w:rsid w:val="00F50597"/>
    <w:rsid w:val="00F56D63"/>
    <w:rsid w:val="00F609A9"/>
    <w:rsid w:val="00F64834"/>
    <w:rsid w:val="00F80C99"/>
    <w:rsid w:val="00F867EC"/>
    <w:rsid w:val="00F91B2B"/>
    <w:rsid w:val="00FC03CD"/>
    <w:rsid w:val="00FC0646"/>
    <w:rsid w:val="00FC2801"/>
    <w:rsid w:val="00FC68B7"/>
    <w:rsid w:val="00FD0299"/>
    <w:rsid w:val="00FE6985"/>
    <w:rsid w:val="00FF1D0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6D18"/>
  <w15:docId w15:val="{EC2FB9C0-BD7C-4685-9DA8-D60BFD1C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8C6FEF"/>
    <w:rPr>
      <w:b/>
      <w:sz w:val="28"/>
      <w:lang w:val="en-GB"/>
    </w:rPr>
  </w:style>
  <w:style w:type="character" w:customStyle="1" w:styleId="SingleTxtGChar">
    <w:name w:val="_ Single Txt_G Char"/>
    <w:link w:val="SingleTxtG"/>
    <w:qFormat/>
    <w:rsid w:val="008C6FE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A7BDB-59C9-4E0B-9CE2-AF08EBADC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297</Words>
  <Characters>1708</Characters>
  <Application>Microsoft Office Word</Application>
  <DocSecurity>0</DocSecurity>
  <Lines>50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ECE/TRANS/WP.29/GRSP/2025/43</dc:title>
  <dc:subject>2515185</dc:subject>
  <dc:creator>Pauline Anne Escalante</dc:creator>
  <cp:keywords/>
  <dc:description/>
  <cp:lastModifiedBy>Pauline Anne Escalante</cp:lastModifiedBy>
  <cp:revision>2</cp:revision>
  <cp:lastPrinted>2025-09-22T13:28:00Z</cp:lastPrinted>
  <dcterms:created xsi:type="dcterms:W3CDTF">2025-09-22T13:42:00Z</dcterms:created>
  <dcterms:modified xsi:type="dcterms:W3CDTF">2025-09-22T13:42:00Z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