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0FA2" w14:textId="77777777" w:rsidR="00AA68BB" w:rsidRPr="00B43D15" w:rsidRDefault="00AA68BB">
      <w:pPr>
        <w:rPr>
          <w:color w:val="000000" w:themeColor="text1"/>
        </w:rPr>
      </w:pPr>
    </w:p>
    <w:p w14:paraId="5A90C723" w14:textId="77777777" w:rsidR="00AA68BB" w:rsidRPr="00B43D15" w:rsidRDefault="00AA68BB">
      <w:pPr>
        <w:rPr>
          <w:color w:val="000000" w:themeColor="text1"/>
        </w:rPr>
      </w:pPr>
    </w:p>
    <w:p w14:paraId="14F839CA" w14:textId="77777777" w:rsidR="00AA68BB" w:rsidRPr="00B43D15" w:rsidRDefault="00AA68BB" w:rsidP="00AA68BB">
      <w:pPr>
        <w:spacing w:after="120" w:line="240" w:lineRule="auto"/>
        <w:ind w:right="-341" w:hanging="284"/>
        <w:jc w:val="center"/>
        <w:rPr>
          <w:b/>
          <w:bCs/>
          <w:color w:val="000000" w:themeColor="text1"/>
          <w:sz w:val="28"/>
          <w:szCs w:val="28"/>
        </w:rPr>
      </w:pPr>
      <w:r w:rsidRPr="00B43D15">
        <w:rPr>
          <w:b/>
          <w:bCs/>
          <w:color w:val="000000" w:themeColor="text1"/>
          <w:sz w:val="28"/>
          <w:szCs w:val="28"/>
        </w:rPr>
        <w:t>Proposal for amendments to ECE/TRANS/WP.29/GRVA/2025/15</w:t>
      </w:r>
    </w:p>
    <w:p w14:paraId="177494EB" w14:textId="77777777" w:rsidR="00AA68BB" w:rsidRPr="00B43D15" w:rsidRDefault="00AA68BB">
      <w:pPr>
        <w:rPr>
          <w:color w:val="000000" w:themeColor="text1"/>
        </w:rPr>
      </w:pPr>
    </w:p>
    <w:p w14:paraId="461C0FE7" w14:textId="7CC08076" w:rsidR="00B1166D" w:rsidRPr="00B43D15" w:rsidRDefault="00B1166D" w:rsidP="00B1166D">
      <w:pPr>
        <w:pStyle w:val="HChG"/>
        <w:rPr>
          <w:color w:val="000000" w:themeColor="text1"/>
        </w:rPr>
      </w:pPr>
      <w:r w:rsidRPr="00B43D15">
        <w:rPr>
          <w:color w:val="000000" w:themeColor="text1"/>
        </w:rPr>
        <w:tab/>
      </w:r>
      <w:r w:rsidRPr="00B43D15">
        <w:rPr>
          <w:color w:val="000000" w:themeColor="text1"/>
        </w:rPr>
        <w:tab/>
        <w:t>Proposal for amendments to UN Regulation No. 13 (Heavy Vehicle Braking)</w:t>
      </w:r>
    </w:p>
    <w:p w14:paraId="7F4E95D0" w14:textId="13E492A8" w:rsidR="00AA68BB" w:rsidRPr="00B43D15" w:rsidRDefault="00B1166D" w:rsidP="00B1166D">
      <w:pPr>
        <w:rPr>
          <w:color w:val="000000" w:themeColor="text1"/>
        </w:rPr>
      </w:pPr>
      <w:r w:rsidRPr="00B43D15">
        <w:rPr>
          <w:color w:val="000000" w:themeColor="text1"/>
        </w:rPr>
        <w:tab/>
      </w:r>
      <w:r w:rsidRPr="00B43D15">
        <w:rPr>
          <w:snapToGrid w:val="0"/>
          <w:color w:val="000000" w:themeColor="text1"/>
        </w:rPr>
        <w:tab/>
        <w:t>This document supersedes and entirely replaces ECE/TRANS/WP.29/GRVA/2025/15</w:t>
      </w:r>
      <w:r w:rsidR="008521F2" w:rsidRPr="00B43D15">
        <w:rPr>
          <w:snapToGrid w:val="0"/>
          <w:color w:val="000000" w:themeColor="text1"/>
        </w:rPr>
        <w:t xml:space="preserve"> and GRVA-21-12</w:t>
      </w:r>
    </w:p>
    <w:p w14:paraId="2AB95F0F" w14:textId="77777777" w:rsidR="00AA68BB" w:rsidRPr="00B43D15" w:rsidRDefault="00AA68BB">
      <w:pPr>
        <w:rPr>
          <w:color w:val="000000" w:themeColor="text1"/>
        </w:rPr>
      </w:pPr>
    </w:p>
    <w:p w14:paraId="706C68EE" w14:textId="77777777" w:rsidR="00AA68BB" w:rsidRPr="00B43D15" w:rsidRDefault="00AA68BB">
      <w:pPr>
        <w:rPr>
          <w:color w:val="000000" w:themeColor="text1"/>
        </w:rPr>
      </w:pPr>
    </w:p>
    <w:p w14:paraId="53BC9677" w14:textId="51840030" w:rsidR="00687FE8" w:rsidRPr="00B43D15" w:rsidRDefault="00687FE8" w:rsidP="006A3B40">
      <w:pPr>
        <w:pStyle w:val="H1G"/>
        <w:rPr>
          <w:color w:val="000000" w:themeColor="text1"/>
          <w:szCs w:val="24"/>
        </w:rPr>
      </w:pPr>
      <w:r w:rsidRPr="00B43D15">
        <w:rPr>
          <w:color w:val="000000" w:themeColor="text1"/>
        </w:rPr>
        <w:tab/>
      </w:r>
      <w:r w:rsidR="009523A3" w:rsidRPr="00B43D15">
        <w:rPr>
          <w:rFonts w:asciiTheme="majorBidi" w:hAnsiTheme="majorBidi" w:cstheme="majorBidi"/>
          <w:color w:val="000000" w:themeColor="text1"/>
        </w:rPr>
        <w:tab/>
      </w:r>
      <w:r w:rsidR="0092555B" w:rsidRPr="00B43D15">
        <w:rPr>
          <w:color w:val="000000" w:themeColor="text1"/>
        </w:rPr>
        <w:t xml:space="preserve">Submitted by the </w:t>
      </w:r>
      <w:r w:rsidR="0001409C" w:rsidRPr="00B43D15">
        <w:rPr>
          <w:color w:val="000000" w:themeColor="text1"/>
        </w:rPr>
        <w:t xml:space="preserve">experts from </w:t>
      </w:r>
      <w:r w:rsidR="00680A2C" w:rsidRPr="003E6C50">
        <w:rPr>
          <w:strike/>
          <w:color w:val="000000" w:themeColor="text1"/>
        </w:rPr>
        <w:t xml:space="preserve">the </w:t>
      </w:r>
      <w:r w:rsidR="00AA68BB" w:rsidRPr="003E6C50">
        <w:rPr>
          <w:strike/>
          <w:color w:val="000000" w:themeColor="text1"/>
        </w:rPr>
        <w:t>CLCCR</w:t>
      </w:r>
      <w:r w:rsidR="00F672F8" w:rsidRPr="003E6C50">
        <w:rPr>
          <w:strike/>
          <w:color w:val="000000" w:themeColor="text1"/>
        </w:rPr>
        <w:t>,</w:t>
      </w:r>
      <w:r w:rsidR="00F672F8" w:rsidRPr="00B43D15">
        <w:rPr>
          <w:color w:val="000000" w:themeColor="text1"/>
        </w:rPr>
        <w:t xml:space="preserve"> CLEPA </w:t>
      </w:r>
      <w:r w:rsidR="00F672F8" w:rsidRPr="003E6C50">
        <w:rPr>
          <w:strike/>
          <w:color w:val="000000" w:themeColor="text1"/>
        </w:rPr>
        <w:t>and OICA</w:t>
      </w:r>
    </w:p>
    <w:p w14:paraId="50080921" w14:textId="3DCA88B6" w:rsidR="00800FFB" w:rsidRPr="00B43D15" w:rsidRDefault="006A3B40" w:rsidP="00F672F8">
      <w:pPr>
        <w:pStyle w:val="SingleTxtG"/>
        <w:tabs>
          <w:tab w:val="left" w:pos="1701"/>
        </w:tabs>
        <w:rPr>
          <w:color w:val="000000" w:themeColor="text1"/>
        </w:rPr>
      </w:pPr>
      <w:r w:rsidRPr="00B43D15">
        <w:rPr>
          <w:color w:val="000000" w:themeColor="text1"/>
        </w:rPr>
        <w:tab/>
      </w:r>
      <w:r w:rsidR="00E2205E" w:rsidRPr="00B43D15">
        <w:rPr>
          <w:snapToGrid w:val="0"/>
          <w:color w:val="000000" w:themeColor="text1"/>
        </w:rPr>
        <w:tab/>
      </w:r>
      <w:r w:rsidR="001F0200" w:rsidRPr="00B43D15">
        <w:rPr>
          <w:snapToGrid w:val="0"/>
          <w:color w:val="000000" w:themeColor="text1"/>
        </w:rPr>
        <w:t>The text reproduced below was prepared by the experts from</w:t>
      </w:r>
      <w:r w:rsidR="00F672F8" w:rsidRPr="00B43D15">
        <w:rPr>
          <w:snapToGrid w:val="0"/>
          <w:color w:val="000000" w:themeColor="text1"/>
        </w:rPr>
        <w:t xml:space="preserve"> </w:t>
      </w:r>
      <w:r w:rsidR="00680A2C" w:rsidRPr="00B43D15">
        <w:rPr>
          <w:snapToGrid w:val="0"/>
          <w:color w:val="000000" w:themeColor="text1"/>
        </w:rPr>
        <w:t xml:space="preserve">the </w:t>
      </w:r>
      <w:r w:rsidR="00680A2C" w:rsidRPr="003E6C50">
        <w:rPr>
          <w:strike/>
          <w:color w:val="000000" w:themeColor="text1"/>
        </w:rPr>
        <w:t>International Association of the Body and Trailer Building Industry (</w:t>
      </w:r>
      <w:r w:rsidR="00F672F8" w:rsidRPr="003E6C50">
        <w:rPr>
          <w:strike/>
          <w:color w:val="000000" w:themeColor="text1"/>
        </w:rPr>
        <w:t>CLCCR</w:t>
      </w:r>
      <w:r w:rsidR="00680A2C" w:rsidRPr="003E6C50">
        <w:rPr>
          <w:strike/>
          <w:color w:val="000000" w:themeColor="text1"/>
        </w:rPr>
        <w:t>)</w:t>
      </w:r>
      <w:r w:rsidR="00F672F8" w:rsidRPr="003E6C50">
        <w:rPr>
          <w:strike/>
          <w:color w:val="000000" w:themeColor="text1"/>
        </w:rPr>
        <w:t xml:space="preserve">, </w:t>
      </w:r>
      <w:r w:rsidR="002532BE" w:rsidRPr="003E6C50">
        <w:rPr>
          <w:strike/>
          <w:color w:val="000000" w:themeColor="text1"/>
        </w:rPr>
        <w:t>the</w:t>
      </w:r>
      <w:r w:rsidR="002532BE" w:rsidRPr="00B43D15">
        <w:rPr>
          <w:color w:val="000000" w:themeColor="text1"/>
        </w:rPr>
        <w:t xml:space="preserve"> European Association of Automotive Suppliers (</w:t>
      </w:r>
      <w:r w:rsidR="00F672F8" w:rsidRPr="00B43D15">
        <w:rPr>
          <w:color w:val="000000" w:themeColor="text1"/>
        </w:rPr>
        <w:t>CLEPA</w:t>
      </w:r>
      <w:r w:rsidR="002532BE" w:rsidRPr="00B43D15">
        <w:rPr>
          <w:color w:val="000000" w:themeColor="text1"/>
        </w:rPr>
        <w:t>)</w:t>
      </w:r>
      <w:r w:rsidR="00F672F8" w:rsidRPr="00B43D15">
        <w:rPr>
          <w:color w:val="000000" w:themeColor="text1"/>
        </w:rPr>
        <w:t xml:space="preserve"> </w:t>
      </w:r>
      <w:r w:rsidR="00F672F8" w:rsidRPr="003E6C50">
        <w:rPr>
          <w:strike/>
          <w:color w:val="000000" w:themeColor="text1"/>
        </w:rPr>
        <w:t xml:space="preserve">and </w:t>
      </w:r>
      <w:r w:rsidR="00B33A31" w:rsidRPr="003E6C50">
        <w:rPr>
          <w:strike/>
          <w:color w:val="000000" w:themeColor="text1"/>
        </w:rPr>
        <w:t>International Organization of Motor Vehicle Manufacturers (</w:t>
      </w:r>
      <w:r w:rsidR="00F672F8" w:rsidRPr="003E6C50">
        <w:rPr>
          <w:strike/>
          <w:color w:val="000000" w:themeColor="text1"/>
        </w:rPr>
        <w:t>OICA</w:t>
      </w:r>
      <w:r w:rsidR="00B33A31" w:rsidRPr="003E6C50">
        <w:rPr>
          <w:strike/>
          <w:color w:val="000000" w:themeColor="text1"/>
        </w:rPr>
        <w:t>)</w:t>
      </w:r>
      <w:r w:rsidR="00F672F8" w:rsidRPr="00B43D15">
        <w:rPr>
          <w:color w:val="000000" w:themeColor="text1"/>
        </w:rPr>
        <w:t xml:space="preserve">. It proposes to </w:t>
      </w:r>
      <w:r w:rsidR="00AA68BB" w:rsidRPr="00B43D15">
        <w:rPr>
          <w:color w:val="000000" w:themeColor="text1"/>
        </w:rPr>
        <w:t xml:space="preserve">establish definitions </w:t>
      </w:r>
      <w:r w:rsidR="00B1166D" w:rsidRPr="00B43D15">
        <w:rPr>
          <w:color w:val="000000" w:themeColor="text1"/>
        </w:rPr>
        <w:t xml:space="preserve">for </w:t>
      </w:r>
      <w:r w:rsidR="00732FC5">
        <w:rPr>
          <w:color w:val="000000" w:themeColor="text1"/>
        </w:rPr>
        <w:t xml:space="preserve">“e-axle”, </w:t>
      </w:r>
      <w:r w:rsidR="005824E6" w:rsidRPr="00B43D15">
        <w:rPr>
          <w:color w:val="000000" w:themeColor="text1"/>
        </w:rPr>
        <w:t>"e</w:t>
      </w:r>
      <w:r w:rsidR="00732FC5">
        <w:rPr>
          <w:color w:val="000000" w:themeColor="text1"/>
        </w:rPr>
        <w:t xml:space="preserve">-axle </w:t>
      </w:r>
      <w:r w:rsidR="005824E6" w:rsidRPr="00B43D15">
        <w:rPr>
          <w:color w:val="000000" w:themeColor="text1"/>
        </w:rPr>
        <w:t xml:space="preserve">trailer" and </w:t>
      </w:r>
      <w:bookmarkStart w:id="0" w:name="_Hlk198904664"/>
      <w:r w:rsidR="005824E6" w:rsidRPr="00B43D15">
        <w:rPr>
          <w:color w:val="000000" w:themeColor="text1"/>
        </w:rPr>
        <w:t>“</w:t>
      </w:r>
      <w:r w:rsidR="00B1166D" w:rsidRPr="00B43D15">
        <w:rPr>
          <w:color w:val="000000" w:themeColor="text1"/>
        </w:rPr>
        <w:t>d</w:t>
      </w:r>
      <w:r w:rsidR="005824E6" w:rsidRPr="00B43D15">
        <w:rPr>
          <w:color w:val="000000" w:themeColor="text1"/>
        </w:rPr>
        <w:t>ynamo function”</w:t>
      </w:r>
      <w:bookmarkEnd w:id="0"/>
      <w:r w:rsidR="005824E6" w:rsidRPr="00B43D15">
        <w:rPr>
          <w:color w:val="000000" w:themeColor="text1"/>
        </w:rPr>
        <w:t xml:space="preserve"> </w:t>
      </w:r>
      <w:r w:rsidR="00AA68BB" w:rsidRPr="00B43D15">
        <w:rPr>
          <w:color w:val="000000" w:themeColor="text1"/>
        </w:rPr>
        <w:t xml:space="preserve">and </w:t>
      </w:r>
      <w:r w:rsidR="00B1166D" w:rsidRPr="00B43D15">
        <w:rPr>
          <w:color w:val="000000" w:themeColor="text1"/>
        </w:rPr>
        <w:t xml:space="preserve">establish </w:t>
      </w:r>
      <w:r w:rsidR="00AA68BB" w:rsidRPr="00B43D15">
        <w:rPr>
          <w:color w:val="000000" w:themeColor="text1"/>
        </w:rPr>
        <w:t xml:space="preserve">provisions </w:t>
      </w:r>
      <w:r w:rsidR="00F672F8" w:rsidRPr="00B43D15">
        <w:rPr>
          <w:color w:val="000000" w:themeColor="text1"/>
        </w:rPr>
        <w:t xml:space="preserve">for the approval </w:t>
      </w:r>
      <w:r w:rsidR="00AA68BB" w:rsidRPr="00B43D15">
        <w:rPr>
          <w:color w:val="000000" w:themeColor="text1"/>
        </w:rPr>
        <w:t xml:space="preserve">of </w:t>
      </w:r>
      <w:r w:rsidR="00732FC5">
        <w:rPr>
          <w:color w:val="000000" w:themeColor="text1"/>
        </w:rPr>
        <w:t xml:space="preserve">e-axle </w:t>
      </w:r>
      <w:r w:rsidR="00AA68BB" w:rsidRPr="00B43D15">
        <w:rPr>
          <w:color w:val="000000" w:themeColor="text1"/>
        </w:rPr>
        <w:t xml:space="preserve">trailers with regard to </w:t>
      </w:r>
      <w:r w:rsidR="00732FC5">
        <w:rPr>
          <w:color w:val="000000" w:themeColor="text1"/>
        </w:rPr>
        <w:t xml:space="preserve">their </w:t>
      </w:r>
      <w:r w:rsidR="00AA68BB" w:rsidRPr="00B43D15">
        <w:rPr>
          <w:color w:val="000000" w:themeColor="text1"/>
        </w:rPr>
        <w:t>“</w:t>
      </w:r>
      <w:r w:rsidR="00B1166D" w:rsidRPr="00B43D15">
        <w:rPr>
          <w:color w:val="000000" w:themeColor="text1"/>
        </w:rPr>
        <w:t>d</w:t>
      </w:r>
      <w:r w:rsidR="00AA68BB" w:rsidRPr="00B43D15">
        <w:rPr>
          <w:color w:val="000000" w:themeColor="text1"/>
        </w:rPr>
        <w:t>ynamo function”</w:t>
      </w:r>
      <w:r w:rsidR="00F672F8" w:rsidRPr="00B43D15">
        <w:rPr>
          <w:color w:val="000000" w:themeColor="text1"/>
        </w:rPr>
        <w:t xml:space="preserve">. </w:t>
      </w:r>
      <w:r w:rsidR="0043272C" w:rsidRPr="00B43D15">
        <w:rPr>
          <w:color w:val="000000" w:themeColor="text1"/>
        </w:rPr>
        <w:t xml:space="preserve">It is based on documents GRVA/2025/15 and </w:t>
      </w:r>
      <w:r w:rsidR="00800FFB" w:rsidRPr="00B43D15">
        <w:rPr>
          <w:color w:val="000000" w:themeColor="text1"/>
        </w:rPr>
        <w:t xml:space="preserve">GRVA-21-12. </w:t>
      </w:r>
    </w:p>
    <w:p w14:paraId="16A2BBC4" w14:textId="675C03BB" w:rsidR="004E6CD9" w:rsidRPr="00B43D15" w:rsidRDefault="00A36FCF" w:rsidP="00F672F8">
      <w:pPr>
        <w:pStyle w:val="SingleTxtG"/>
        <w:tabs>
          <w:tab w:val="left" w:pos="1701"/>
        </w:tabs>
        <w:rPr>
          <w:snapToGrid w:val="0"/>
          <w:color w:val="000000" w:themeColor="text1"/>
        </w:rPr>
      </w:pPr>
      <w:r w:rsidRPr="00B43D15">
        <w:rPr>
          <w:snapToGrid w:val="0"/>
          <w:color w:val="000000" w:themeColor="text1"/>
        </w:rPr>
        <w:t xml:space="preserve">The modifications to the existing text of </w:t>
      </w:r>
      <w:r w:rsidR="005824E6" w:rsidRPr="00B43D15">
        <w:rPr>
          <w:snapToGrid w:val="0"/>
          <w:color w:val="000000" w:themeColor="text1"/>
        </w:rPr>
        <w:t xml:space="preserve">Regulation No. 13 </w:t>
      </w:r>
      <w:r w:rsidRPr="00B43D15">
        <w:rPr>
          <w:snapToGrid w:val="0"/>
          <w:color w:val="000000" w:themeColor="text1"/>
        </w:rPr>
        <w:t xml:space="preserve">are marked in </w:t>
      </w:r>
      <w:r w:rsidRPr="00B43D15">
        <w:rPr>
          <w:b/>
          <w:bCs/>
          <w:snapToGrid w:val="0"/>
          <w:color w:val="000000" w:themeColor="text1"/>
        </w:rPr>
        <w:t>bold</w:t>
      </w:r>
      <w:r w:rsidRPr="00B43D15">
        <w:rPr>
          <w:snapToGrid w:val="0"/>
          <w:color w:val="000000" w:themeColor="text1"/>
        </w:rPr>
        <w:t xml:space="preserve"> for new characters and in </w:t>
      </w:r>
      <w:r w:rsidRPr="00B43D15">
        <w:rPr>
          <w:strike/>
          <w:snapToGrid w:val="0"/>
          <w:color w:val="000000" w:themeColor="text1"/>
        </w:rPr>
        <w:t>strikethrough</w:t>
      </w:r>
      <w:r w:rsidRPr="00B43D15">
        <w:rPr>
          <w:snapToGrid w:val="0"/>
          <w:color w:val="000000" w:themeColor="text1"/>
        </w:rPr>
        <w:t xml:space="preserve"> for deleted characters.</w:t>
      </w:r>
      <w:r w:rsidR="004E6CD9" w:rsidRPr="00B43D15">
        <w:rPr>
          <w:color w:val="000000" w:themeColor="text1"/>
        </w:rPr>
        <w:br w:type="page"/>
      </w:r>
    </w:p>
    <w:p w14:paraId="7E88CF21" w14:textId="2CF0DFCB" w:rsidR="00B91F8E" w:rsidRPr="00B43D15" w:rsidRDefault="00B91F8E" w:rsidP="007E2D33">
      <w:pPr>
        <w:pStyle w:val="HChG"/>
        <w:adjustRightInd w:val="0"/>
        <w:snapToGrid w:val="0"/>
        <w:spacing w:before="0" w:after="120" w:line="240" w:lineRule="auto"/>
        <w:ind w:left="2268"/>
        <w:rPr>
          <w:color w:val="000000" w:themeColor="text1"/>
        </w:rPr>
      </w:pPr>
      <w:r w:rsidRPr="00B43D15">
        <w:rPr>
          <w:color w:val="000000" w:themeColor="text1"/>
        </w:rPr>
        <w:lastRenderedPageBreak/>
        <w:t>Proposal</w:t>
      </w:r>
    </w:p>
    <w:p w14:paraId="1103C790" w14:textId="77777777" w:rsidR="00E922BE" w:rsidRDefault="00E922BE" w:rsidP="00E922BE">
      <w:pPr>
        <w:spacing w:after="120" w:line="240" w:lineRule="auto"/>
        <w:ind w:left="1260"/>
        <w:rPr>
          <w:bCs/>
          <w:color w:val="000000" w:themeColor="text1"/>
        </w:rPr>
      </w:pPr>
      <w:bookmarkStart w:id="1" w:name="_Hlk150272690"/>
      <w:bookmarkStart w:id="2" w:name="_Hlk150272746"/>
      <w:bookmarkStart w:id="3" w:name="_Hlk150272800"/>
    </w:p>
    <w:p w14:paraId="33B4D7D5" w14:textId="617DB093" w:rsidR="00EA45C7" w:rsidRPr="009D393C" w:rsidRDefault="00EA45C7" w:rsidP="00EA45C7">
      <w:pPr>
        <w:spacing w:after="120" w:line="240" w:lineRule="auto"/>
        <w:ind w:left="1134"/>
        <w:rPr>
          <w:bCs/>
          <w:color w:val="000000" w:themeColor="text1"/>
        </w:rPr>
      </w:pPr>
      <w:r w:rsidRPr="009D393C">
        <w:rPr>
          <w:bCs/>
          <w:i/>
          <w:iCs/>
          <w:color w:val="000000" w:themeColor="text1"/>
        </w:rPr>
        <w:t>Add a new paragraph 1.2.</w:t>
      </w:r>
      <w:r w:rsidR="009D393C" w:rsidRPr="009D393C">
        <w:rPr>
          <w:bCs/>
          <w:i/>
          <w:iCs/>
          <w:color w:val="000000" w:themeColor="text1"/>
        </w:rPr>
        <w:t>6</w:t>
      </w:r>
      <w:r w:rsidRPr="009D393C">
        <w:rPr>
          <w:bCs/>
          <w:color w:val="000000" w:themeColor="text1"/>
        </w:rPr>
        <w:t>, as follows:</w:t>
      </w:r>
    </w:p>
    <w:p w14:paraId="15BCBAD5" w14:textId="5906C038" w:rsidR="00EA45C7" w:rsidRPr="00D060C8" w:rsidRDefault="00EA45C7" w:rsidP="00EA45C7">
      <w:pPr>
        <w:pStyle w:val="SingleTxtG"/>
        <w:adjustRightInd w:val="0"/>
        <w:snapToGrid w:val="0"/>
        <w:spacing w:line="240" w:lineRule="auto"/>
        <w:ind w:left="2268" w:hanging="1134"/>
        <w:rPr>
          <w:b/>
          <w:bCs/>
        </w:rPr>
      </w:pPr>
      <w:r w:rsidRPr="00D060C8">
        <w:rPr>
          <w:b/>
          <w:bCs/>
          <w:lang w:val="en-US"/>
        </w:rPr>
        <w:t>1.2.</w:t>
      </w:r>
      <w:r w:rsidR="009D393C" w:rsidRPr="00D060C8">
        <w:rPr>
          <w:b/>
          <w:bCs/>
          <w:lang w:val="en-US"/>
        </w:rPr>
        <w:t>6</w:t>
      </w:r>
      <w:r w:rsidRPr="00D060C8">
        <w:rPr>
          <w:b/>
          <w:bCs/>
          <w:lang w:val="en-US"/>
        </w:rPr>
        <w:t xml:space="preserve">. </w:t>
      </w:r>
      <w:r w:rsidR="009D393C" w:rsidRPr="00D060C8">
        <w:rPr>
          <w:b/>
          <w:bCs/>
          <w:lang w:val="en-US"/>
        </w:rPr>
        <w:t>e-axle trailers with e-axles that provide electric propulsion</w:t>
      </w:r>
    </w:p>
    <w:p w14:paraId="7767C91B" w14:textId="77777777" w:rsidR="00EA45C7" w:rsidRDefault="00EA45C7" w:rsidP="00EA45C7">
      <w:pPr>
        <w:spacing w:after="120" w:line="240" w:lineRule="auto"/>
        <w:ind w:left="1134"/>
        <w:rPr>
          <w:bCs/>
          <w:color w:val="000000" w:themeColor="text1"/>
        </w:rPr>
      </w:pPr>
    </w:p>
    <w:p w14:paraId="383B1123" w14:textId="77777777" w:rsidR="009F3A6F" w:rsidRPr="00B43D15" w:rsidRDefault="009F3A6F" w:rsidP="009F3A6F">
      <w:pPr>
        <w:pStyle w:val="SingleTxtG"/>
        <w:adjustRightInd w:val="0"/>
        <w:snapToGrid w:val="0"/>
        <w:spacing w:line="240" w:lineRule="auto"/>
        <w:ind w:left="2268" w:hanging="1134"/>
        <w:rPr>
          <w:color w:val="000000" w:themeColor="text1"/>
          <w:lang w:val="en-US"/>
        </w:rPr>
      </w:pPr>
      <w:r w:rsidRPr="00B43D15">
        <w:rPr>
          <w:i/>
          <w:iCs/>
          <w:color w:val="000000" w:themeColor="text1"/>
          <w:lang w:val="en-US"/>
        </w:rPr>
        <w:t>Paragraph 2.2.2.4.</w:t>
      </w:r>
      <w:r w:rsidRPr="00B43D15">
        <w:rPr>
          <w:color w:val="000000" w:themeColor="text1"/>
          <w:lang w:val="en-US"/>
        </w:rPr>
        <w:t xml:space="preserve">, amend to read: </w:t>
      </w:r>
    </w:p>
    <w:p w14:paraId="4D0D3764" w14:textId="1866DA64" w:rsidR="009F3A6F" w:rsidRPr="00B43D15" w:rsidRDefault="009F3A6F" w:rsidP="009F3A6F">
      <w:pPr>
        <w:pStyle w:val="SingleTxtG"/>
        <w:adjustRightInd w:val="0"/>
        <w:snapToGrid w:val="0"/>
        <w:spacing w:line="240" w:lineRule="auto"/>
        <w:ind w:left="2268" w:hanging="1134"/>
        <w:rPr>
          <w:b/>
          <w:bCs/>
          <w:color w:val="000000" w:themeColor="text1"/>
          <w:lang w:val="en-US"/>
        </w:rPr>
      </w:pPr>
      <w:r w:rsidRPr="00B43D15">
        <w:rPr>
          <w:color w:val="000000" w:themeColor="text1"/>
          <w:lang w:val="en-US"/>
        </w:rPr>
        <w:t>2.2.2.4.</w:t>
      </w:r>
      <w:r w:rsidRPr="00B43D15">
        <w:rPr>
          <w:color w:val="000000" w:themeColor="text1"/>
          <w:lang w:val="en-US"/>
        </w:rPr>
        <w:tab/>
        <w:t xml:space="preserve">A different type of braking equipment </w:t>
      </w:r>
      <w:r w:rsidRPr="00B43D15">
        <w:rPr>
          <w:b/>
          <w:bCs/>
          <w:color w:val="000000" w:themeColor="text1"/>
          <w:lang w:val="en-US"/>
        </w:rPr>
        <w:t xml:space="preserve">[or any presence of an electric regenerative braking system and/or </w:t>
      </w:r>
      <w:r w:rsidRPr="00B43D15">
        <w:rPr>
          <w:b/>
          <w:bCs/>
          <w:color w:val="000000" w:themeColor="text1"/>
          <w:sz w:val="22"/>
          <w:szCs w:val="22"/>
          <w:lang w:val="en-US"/>
        </w:rPr>
        <w:t>any presence of an electric propulsion system</w:t>
      </w:r>
      <w:r w:rsidR="00800FFB" w:rsidRPr="00B43D15">
        <w:rPr>
          <w:b/>
          <w:bCs/>
          <w:color w:val="000000" w:themeColor="text1"/>
          <w:sz w:val="22"/>
          <w:szCs w:val="22"/>
          <w:lang w:val="en-US"/>
        </w:rPr>
        <w:t xml:space="preserve">] </w:t>
      </w:r>
      <w:r w:rsidRPr="00B43D15">
        <w:rPr>
          <w:color w:val="000000" w:themeColor="text1"/>
          <w:sz w:val="22"/>
          <w:szCs w:val="22"/>
          <w:lang w:val="en-US"/>
        </w:rPr>
        <w:t>.</w:t>
      </w:r>
      <w:r w:rsidRPr="00B43D15">
        <w:rPr>
          <w:color w:val="000000" w:themeColor="text1"/>
          <w:lang w:val="en-US"/>
        </w:rPr>
        <w:t xml:space="preserve"> </w:t>
      </w:r>
    </w:p>
    <w:p w14:paraId="7B343D1D" w14:textId="77777777" w:rsidR="00B43D15" w:rsidRDefault="00B43D15" w:rsidP="009F3A6F">
      <w:pPr>
        <w:pStyle w:val="Default"/>
        <w:snapToGrid w:val="0"/>
        <w:spacing w:after="120"/>
        <w:ind w:left="2268" w:right="1134" w:hanging="1134"/>
        <w:jc w:val="both"/>
        <w:rPr>
          <w:i/>
          <w:iCs/>
          <w:color w:val="000000" w:themeColor="text1"/>
          <w:sz w:val="20"/>
          <w:szCs w:val="20"/>
          <w:lang w:val="en-US"/>
        </w:rPr>
      </w:pPr>
    </w:p>
    <w:p w14:paraId="671655EB" w14:textId="7D321D50" w:rsidR="009F3A6F" w:rsidRPr="00B43D15" w:rsidRDefault="009F3A6F" w:rsidP="009F3A6F">
      <w:pPr>
        <w:pStyle w:val="Default"/>
        <w:snapToGrid w:val="0"/>
        <w:spacing w:after="120"/>
        <w:ind w:left="2268" w:right="1134" w:hanging="1134"/>
        <w:jc w:val="both"/>
        <w:rPr>
          <w:color w:val="000000" w:themeColor="text1"/>
          <w:sz w:val="20"/>
          <w:szCs w:val="20"/>
          <w:lang w:val="en-US"/>
        </w:rPr>
      </w:pPr>
      <w:r w:rsidRPr="00B43D15">
        <w:rPr>
          <w:i/>
          <w:iCs/>
          <w:color w:val="000000" w:themeColor="text1"/>
          <w:sz w:val="20"/>
          <w:szCs w:val="20"/>
          <w:lang w:val="en-US"/>
        </w:rPr>
        <w:t>Add new Paragraph 2.</w:t>
      </w:r>
      <w:r w:rsidR="00A430A6" w:rsidRPr="00B43D15">
        <w:rPr>
          <w:i/>
          <w:iCs/>
          <w:color w:val="000000" w:themeColor="text1"/>
          <w:sz w:val="20"/>
          <w:szCs w:val="20"/>
          <w:lang w:val="en-US"/>
        </w:rPr>
        <w:t>5</w:t>
      </w:r>
      <w:r w:rsidR="009D393C">
        <w:rPr>
          <w:i/>
          <w:iCs/>
          <w:color w:val="000000" w:themeColor="text1"/>
          <w:sz w:val="20"/>
          <w:szCs w:val="20"/>
          <w:lang w:val="en-US"/>
        </w:rPr>
        <w:t>7</w:t>
      </w:r>
      <w:r w:rsidRPr="00B43D15">
        <w:rPr>
          <w:i/>
          <w:iCs/>
          <w:color w:val="000000" w:themeColor="text1"/>
          <w:sz w:val="20"/>
          <w:szCs w:val="20"/>
          <w:lang w:val="en-US"/>
        </w:rPr>
        <w:t>.</w:t>
      </w:r>
      <w:r w:rsidR="009D393C">
        <w:rPr>
          <w:i/>
          <w:iCs/>
          <w:color w:val="000000" w:themeColor="text1"/>
          <w:sz w:val="20"/>
          <w:szCs w:val="20"/>
          <w:lang w:val="en-US"/>
        </w:rPr>
        <w:t xml:space="preserve"> to 1.59</w:t>
      </w:r>
      <w:r w:rsidRPr="00B43D15">
        <w:rPr>
          <w:i/>
          <w:iCs/>
          <w:color w:val="000000" w:themeColor="text1"/>
          <w:sz w:val="20"/>
          <w:szCs w:val="20"/>
          <w:lang w:val="en-US"/>
        </w:rPr>
        <w:t xml:space="preserve">, </w:t>
      </w:r>
      <w:r w:rsidRPr="00B43D15">
        <w:rPr>
          <w:color w:val="000000" w:themeColor="text1"/>
          <w:sz w:val="20"/>
          <w:szCs w:val="20"/>
          <w:lang w:val="en-US"/>
        </w:rPr>
        <w:t xml:space="preserve">to read: </w:t>
      </w:r>
    </w:p>
    <w:p w14:paraId="0AA28015" w14:textId="155B0BF1" w:rsidR="00C10587" w:rsidRPr="00D060C8" w:rsidRDefault="009D393C" w:rsidP="009F3A6F">
      <w:pPr>
        <w:adjustRightInd w:val="0"/>
        <w:snapToGrid w:val="0"/>
        <w:spacing w:after="120" w:line="240" w:lineRule="auto"/>
        <w:ind w:left="2268" w:right="1134" w:hanging="1134"/>
        <w:jc w:val="both"/>
        <w:rPr>
          <w:b/>
          <w:bCs/>
        </w:rPr>
      </w:pPr>
      <w:r w:rsidRPr="00D060C8">
        <w:rPr>
          <w:b/>
          <w:bCs/>
        </w:rPr>
        <w:t>2.57</w:t>
      </w:r>
      <w:r w:rsidRPr="00D060C8">
        <w:rPr>
          <w:b/>
          <w:bCs/>
        </w:rPr>
        <w:tab/>
      </w:r>
      <w:r w:rsidR="00C10587" w:rsidRPr="00D060C8">
        <w:rPr>
          <w:b/>
          <w:bCs/>
        </w:rPr>
        <w:t>“</w:t>
      </w:r>
      <w:r w:rsidR="00C10587" w:rsidRPr="00D060C8">
        <w:rPr>
          <w:b/>
          <w:bCs/>
          <w:i/>
          <w:iCs/>
        </w:rPr>
        <w:t>e-axle</w:t>
      </w:r>
      <w:r w:rsidR="00C10587" w:rsidRPr="00D060C8">
        <w:rPr>
          <w:b/>
          <w:bCs/>
        </w:rPr>
        <w:t>” means an axle mounted to a vehicle of category O3 and O4, generating electrical energy and/or providing electrical propulsion.</w:t>
      </w:r>
    </w:p>
    <w:p w14:paraId="1B48D244" w14:textId="00D0818C" w:rsidR="009D393C" w:rsidRPr="00D060C8" w:rsidRDefault="00C10587" w:rsidP="009F3A6F">
      <w:pPr>
        <w:adjustRightInd w:val="0"/>
        <w:snapToGrid w:val="0"/>
        <w:spacing w:after="120" w:line="240" w:lineRule="auto"/>
        <w:ind w:left="2268" w:right="1134" w:hanging="1134"/>
        <w:jc w:val="both"/>
        <w:rPr>
          <w:b/>
          <w:bCs/>
        </w:rPr>
      </w:pPr>
      <w:r w:rsidRPr="00D060C8">
        <w:rPr>
          <w:b/>
          <w:bCs/>
        </w:rPr>
        <w:t>2.58</w:t>
      </w:r>
      <w:r w:rsidRPr="00D060C8">
        <w:rPr>
          <w:b/>
          <w:bCs/>
        </w:rPr>
        <w:tab/>
      </w:r>
      <w:r w:rsidR="009D393C" w:rsidRPr="00D060C8">
        <w:rPr>
          <w:b/>
          <w:bCs/>
        </w:rPr>
        <w:t>"</w:t>
      </w:r>
      <w:r w:rsidR="009D393C" w:rsidRPr="00D060C8">
        <w:rPr>
          <w:b/>
          <w:bCs/>
          <w:i/>
          <w:iCs/>
        </w:rPr>
        <w:t>e-axle trailer</w:t>
      </w:r>
      <w:r w:rsidR="009D393C" w:rsidRPr="00D060C8">
        <w:rPr>
          <w:b/>
          <w:bCs/>
        </w:rPr>
        <w:t>" means a trailer of category O3 and O4 that is equipped with at least one e-axle</w:t>
      </w:r>
    </w:p>
    <w:p w14:paraId="5EEB0996" w14:textId="09C83DC4" w:rsidR="009F3A6F" w:rsidRPr="00D060C8" w:rsidRDefault="009F3A6F" w:rsidP="009F3A6F">
      <w:pPr>
        <w:adjustRightInd w:val="0"/>
        <w:snapToGrid w:val="0"/>
        <w:spacing w:after="120" w:line="240" w:lineRule="auto"/>
        <w:ind w:left="2268" w:right="1134" w:hanging="1134"/>
        <w:jc w:val="both"/>
        <w:rPr>
          <w:b/>
          <w:bCs/>
        </w:rPr>
      </w:pPr>
      <w:r w:rsidRPr="00D060C8">
        <w:rPr>
          <w:b/>
          <w:bCs/>
        </w:rPr>
        <w:t>2.</w:t>
      </w:r>
      <w:r w:rsidR="00A430A6" w:rsidRPr="00D060C8">
        <w:rPr>
          <w:b/>
          <w:bCs/>
        </w:rPr>
        <w:t>5</w:t>
      </w:r>
      <w:r w:rsidR="001F1027" w:rsidRPr="00D060C8">
        <w:rPr>
          <w:b/>
          <w:bCs/>
        </w:rPr>
        <w:t>9</w:t>
      </w:r>
      <w:r w:rsidR="00A430A6" w:rsidRPr="00D060C8">
        <w:rPr>
          <w:b/>
          <w:bCs/>
        </w:rPr>
        <w:t>.</w:t>
      </w:r>
      <w:r w:rsidRPr="00D060C8">
        <w:rPr>
          <w:b/>
          <w:bCs/>
        </w:rPr>
        <w:tab/>
        <w:t>“</w:t>
      </w:r>
      <w:r w:rsidRPr="00D060C8">
        <w:rPr>
          <w:b/>
          <w:bCs/>
          <w:i/>
          <w:iCs/>
        </w:rPr>
        <w:t>Dynamo function</w:t>
      </w:r>
      <w:r w:rsidRPr="00D060C8">
        <w:rPr>
          <w:b/>
          <w:bCs/>
        </w:rPr>
        <w:t>” of a</w:t>
      </w:r>
      <w:r w:rsidR="009D393C" w:rsidRPr="00D060C8">
        <w:rPr>
          <w:b/>
          <w:bCs/>
        </w:rPr>
        <w:t>n e-axle</w:t>
      </w:r>
      <w:r w:rsidRPr="00D060C8">
        <w:rPr>
          <w:b/>
          <w:bCs/>
        </w:rPr>
        <w:t xml:space="preserve"> trailer means the capability of a trailer to provide for the conversion of vehicle kinetic energy into electrical energy</w:t>
      </w:r>
      <w:r w:rsidR="009D393C" w:rsidRPr="00D060C8">
        <w:rPr>
          <w:b/>
          <w:bCs/>
        </w:rPr>
        <w:t xml:space="preserve"> </w:t>
      </w:r>
      <w:r w:rsidR="009D393C" w:rsidRPr="00D060C8">
        <w:rPr>
          <w:b/>
          <w:bCs/>
          <w:lang w:val="en-US"/>
        </w:rPr>
        <w:t>without being directly controlled by the driver and without affecting the forces developed by parts of the braking system</w:t>
      </w:r>
      <w:r w:rsidR="00D060C8">
        <w:rPr>
          <w:rStyle w:val="FootnoteReference"/>
          <w:b/>
          <w:bCs/>
          <w:lang w:val="en-US"/>
        </w:rPr>
        <w:footnoteReference w:id="2"/>
      </w:r>
      <w:r w:rsidRPr="00D060C8">
        <w:rPr>
          <w:b/>
          <w:bCs/>
        </w:rPr>
        <w:t>.</w:t>
      </w:r>
    </w:p>
    <w:p w14:paraId="384A826E" w14:textId="77777777" w:rsidR="00C10587" w:rsidRDefault="00C10587" w:rsidP="009F3A6F">
      <w:pPr>
        <w:adjustRightInd w:val="0"/>
        <w:snapToGrid w:val="0"/>
        <w:spacing w:after="120" w:line="240" w:lineRule="auto"/>
        <w:ind w:left="2268" w:right="1134" w:hanging="1134"/>
        <w:jc w:val="both"/>
        <w:rPr>
          <w:i/>
          <w:iCs/>
          <w:color w:val="000000" w:themeColor="text1"/>
        </w:rPr>
      </w:pPr>
    </w:p>
    <w:p w14:paraId="7B39A528" w14:textId="52A8FEF9" w:rsidR="009F3A6F" w:rsidRPr="00B43D15" w:rsidRDefault="009F3A6F" w:rsidP="009F3A6F">
      <w:pPr>
        <w:adjustRightInd w:val="0"/>
        <w:snapToGrid w:val="0"/>
        <w:spacing w:after="120" w:line="240" w:lineRule="auto"/>
        <w:ind w:left="2268" w:right="1134" w:hanging="1134"/>
        <w:jc w:val="both"/>
        <w:rPr>
          <w:color w:val="000000" w:themeColor="text1"/>
        </w:rPr>
      </w:pPr>
      <w:r w:rsidRPr="00B43D15">
        <w:rPr>
          <w:i/>
          <w:iCs/>
          <w:color w:val="000000" w:themeColor="text1"/>
        </w:rPr>
        <w:t>Insert new paragraph 5.2.2.26.,</w:t>
      </w:r>
      <w:r w:rsidRPr="00B43D15">
        <w:rPr>
          <w:color w:val="000000" w:themeColor="text1"/>
        </w:rPr>
        <w:t xml:space="preserve"> to read: </w:t>
      </w:r>
    </w:p>
    <w:p w14:paraId="6D81E5FE" w14:textId="7C32167B" w:rsidR="009F3A6F" w:rsidRPr="00B43D15" w:rsidRDefault="009F3A6F" w:rsidP="009F3A6F">
      <w:pPr>
        <w:adjustRightInd w:val="0"/>
        <w:snapToGrid w:val="0"/>
        <w:spacing w:after="120" w:line="240" w:lineRule="auto"/>
        <w:ind w:left="2268" w:right="1134" w:hanging="1134"/>
        <w:jc w:val="both"/>
        <w:rPr>
          <w:b/>
          <w:bCs/>
          <w:color w:val="000000" w:themeColor="text1"/>
        </w:rPr>
      </w:pPr>
      <w:bookmarkStart w:id="4" w:name="_Hlk198910257"/>
      <w:r w:rsidRPr="00B43D15">
        <w:rPr>
          <w:b/>
          <w:bCs/>
          <w:color w:val="000000" w:themeColor="text1"/>
        </w:rPr>
        <w:t xml:space="preserve">5.2.2.26. </w:t>
      </w:r>
      <w:r w:rsidRPr="00B43D15">
        <w:rPr>
          <w:b/>
          <w:bCs/>
          <w:color w:val="000000" w:themeColor="text1"/>
        </w:rPr>
        <w:tab/>
        <w:t xml:space="preserve">Special additional requirements for dynamo function </w:t>
      </w:r>
      <w:r w:rsidRPr="00D060C8">
        <w:rPr>
          <w:b/>
          <w:bCs/>
        </w:rPr>
        <w:t xml:space="preserve">of </w:t>
      </w:r>
      <w:r w:rsidR="00280523" w:rsidRPr="00D060C8">
        <w:rPr>
          <w:b/>
          <w:bCs/>
        </w:rPr>
        <w:t xml:space="preserve">e-axle </w:t>
      </w:r>
      <w:r w:rsidRPr="00D060C8">
        <w:rPr>
          <w:b/>
          <w:bCs/>
        </w:rPr>
        <w:t>trailers</w:t>
      </w:r>
    </w:p>
    <w:bookmarkEnd w:id="4"/>
    <w:p w14:paraId="2B6121DC" w14:textId="77777777" w:rsidR="009F3A6F" w:rsidRPr="00B43D15" w:rsidRDefault="009F3A6F" w:rsidP="009F3A6F">
      <w:pPr>
        <w:adjustRightInd w:val="0"/>
        <w:snapToGrid w:val="0"/>
        <w:spacing w:after="120" w:line="240" w:lineRule="auto"/>
        <w:ind w:left="2268" w:right="1134" w:hanging="1134"/>
        <w:jc w:val="both"/>
        <w:rPr>
          <w:b/>
          <w:bCs/>
          <w:color w:val="000000" w:themeColor="text1"/>
        </w:rPr>
      </w:pPr>
      <w:r w:rsidRPr="00B43D15">
        <w:rPr>
          <w:b/>
          <w:bCs/>
          <w:color w:val="000000" w:themeColor="text1"/>
        </w:rPr>
        <w:t xml:space="preserve">5.2.2.26.1. </w:t>
      </w:r>
      <w:r w:rsidRPr="00B43D15">
        <w:rPr>
          <w:b/>
          <w:bCs/>
          <w:color w:val="000000" w:themeColor="text1"/>
        </w:rPr>
        <w:tab/>
        <w:t>The dynamo function shall not provide a retardation power of more than 20kW for the complete trailer.</w:t>
      </w:r>
    </w:p>
    <w:p w14:paraId="485CADA4" w14:textId="03EFD5BF" w:rsidR="009F3A6F" w:rsidRPr="00D060C8" w:rsidRDefault="009F3A6F" w:rsidP="009F3A6F">
      <w:pPr>
        <w:adjustRightInd w:val="0"/>
        <w:snapToGrid w:val="0"/>
        <w:spacing w:after="120" w:line="240" w:lineRule="auto"/>
        <w:ind w:left="2268" w:right="1134" w:hanging="1134"/>
        <w:jc w:val="both"/>
        <w:rPr>
          <w:b/>
          <w:bCs/>
        </w:rPr>
      </w:pPr>
      <w:r w:rsidRPr="00B43D15">
        <w:rPr>
          <w:b/>
          <w:bCs/>
          <w:color w:val="000000" w:themeColor="text1"/>
        </w:rPr>
        <w:t xml:space="preserve">5.2.2.26.2. </w:t>
      </w:r>
      <w:r w:rsidRPr="00B43D15">
        <w:rPr>
          <w:b/>
          <w:bCs/>
          <w:color w:val="000000" w:themeColor="text1"/>
        </w:rPr>
        <w:tab/>
        <w:t xml:space="preserve">In case the dynamo function has the capability to generate a braking rate exceeding 0.04 per wheel, it shall be controlled such that it does not cause wheel locking at speeds above 15 </w:t>
      </w:r>
      <w:r w:rsidRPr="00D060C8">
        <w:rPr>
          <w:b/>
          <w:bCs/>
        </w:rPr>
        <w:t xml:space="preserve">km/h. </w:t>
      </w:r>
      <w:r w:rsidR="00783D7E" w:rsidRPr="00D060C8">
        <w:rPr>
          <w:b/>
          <w:bCs/>
        </w:rPr>
        <w:t>If a physical test is required, it shall be conducted in compliance with par. 5.2.2.26.2.</w:t>
      </w:r>
    </w:p>
    <w:p w14:paraId="5743EB8E" w14:textId="77777777" w:rsidR="00C10587" w:rsidRDefault="009F3A6F" w:rsidP="009F3A6F">
      <w:pPr>
        <w:adjustRightInd w:val="0"/>
        <w:snapToGrid w:val="0"/>
        <w:spacing w:after="120" w:line="240" w:lineRule="auto"/>
        <w:ind w:left="2268" w:right="1134" w:hanging="1134"/>
        <w:jc w:val="both"/>
        <w:rPr>
          <w:b/>
          <w:bCs/>
          <w:color w:val="000000" w:themeColor="text1"/>
        </w:rPr>
      </w:pPr>
      <w:r w:rsidRPr="00B43D15">
        <w:rPr>
          <w:b/>
          <w:bCs/>
          <w:color w:val="000000" w:themeColor="text1"/>
        </w:rPr>
        <w:t xml:space="preserve">5.2.2.26.3. </w:t>
      </w:r>
      <w:r w:rsidRPr="00B43D15">
        <w:rPr>
          <w:b/>
          <w:bCs/>
          <w:color w:val="000000" w:themeColor="text1"/>
        </w:rPr>
        <w:tab/>
        <w:t>The operation of the dynamo function shall be assessed according to Annex 18.</w:t>
      </w:r>
    </w:p>
    <w:p w14:paraId="267E59AD" w14:textId="4D82CB4B" w:rsidR="009F3A6F" w:rsidRDefault="00250400" w:rsidP="00250400">
      <w:pPr>
        <w:adjustRightInd w:val="0"/>
        <w:snapToGrid w:val="0"/>
        <w:spacing w:after="120" w:line="240" w:lineRule="auto"/>
        <w:ind w:left="2268" w:right="1134" w:hanging="1134"/>
        <w:jc w:val="both"/>
        <w:rPr>
          <w:b/>
          <w:bCs/>
          <w:color w:val="000000" w:themeColor="text1"/>
        </w:rPr>
      </w:pPr>
      <w:r>
        <w:rPr>
          <w:b/>
          <w:bCs/>
          <w:color w:val="000000" w:themeColor="text1"/>
        </w:rPr>
        <w:t>5.2.2.26.4</w:t>
      </w:r>
      <w:r>
        <w:rPr>
          <w:b/>
          <w:bCs/>
          <w:color w:val="000000" w:themeColor="text1"/>
        </w:rPr>
        <w:tab/>
      </w:r>
      <w:r w:rsidR="009F3A6F" w:rsidRPr="00250400">
        <w:rPr>
          <w:b/>
          <w:bCs/>
          <w:color w:val="000000" w:themeColor="text1"/>
        </w:rPr>
        <w:t>It shall also be demonstrated that the vehicle still complies with requirements of Annex 13 and 21 affected by the dynamo function.</w:t>
      </w:r>
    </w:p>
    <w:p w14:paraId="54076F87" w14:textId="77777777" w:rsidR="00783D7E" w:rsidRDefault="00250400" w:rsidP="00250400">
      <w:pPr>
        <w:adjustRightInd w:val="0"/>
        <w:snapToGrid w:val="0"/>
        <w:spacing w:after="120" w:line="240" w:lineRule="auto"/>
        <w:ind w:left="2268" w:right="1134" w:hanging="1134"/>
        <w:jc w:val="both"/>
        <w:rPr>
          <w:b/>
          <w:bCs/>
          <w:color w:val="000000" w:themeColor="text1"/>
        </w:rPr>
      </w:pPr>
      <w:r>
        <w:rPr>
          <w:b/>
          <w:bCs/>
          <w:color w:val="000000" w:themeColor="text1"/>
        </w:rPr>
        <w:t>5.2.2.26.5</w:t>
      </w:r>
      <w:r>
        <w:rPr>
          <w:b/>
          <w:bCs/>
          <w:color w:val="000000" w:themeColor="text1"/>
        </w:rPr>
        <w:tab/>
      </w:r>
      <w:r w:rsidRPr="00D060C8">
        <w:rPr>
          <w:b/>
          <w:bCs/>
        </w:rPr>
        <w:t xml:space="preserve">If controls referred to in par. 5.2.2.26.2 </w:t>
      </w:r>
      <w:r w:rsidR="00783D7E" w:rsidRPr="00D060C8">
        <w:rPr>
          <w:b/>
          <w:bCs/>
        </w:rPr>
        <w:t xml:space="preserve">imply a physical test, </w:t>
      </w:r>
      <w:r w:rsidR="009F3A6F" w:rsidRPr="00D060C8">
        <w:rPr>
          <w:b/>
          <w:bCs/>
        </w:rPr>
        <w:t xml:space="preserve">a comparison </w:t>
      </w:r>
      <w:r w:rsidR="009F3A6F" w:rsidRPr="00250400">
        <w:rPr>
          <w:b/>
          <w:bCs/>
          <w:color w:val="000000" w:themeColor="text1"/>
        </w:rPr>
        <w:t xml:space="preserve">shall be conducted under worst case conditions for the dynamo function, with and </w:t>
      </w:r>
      <w:r w:rsidR="009F3A6F" w:rsidRPr="00D060C8">
        <w:rPr>
          <w:b/>
          <w:bCs/>
        </w:rPr>
        <w:t xml:space="preserve">without the </w:t>
      </w:r>
      <w:r w:rsidR="00783D7E" w:rsidRPr="00D060C8">
        <w:rPr>
          <w:b/>
          <w:bCs/>
        </w:rPr>
        <w:t xml:space="preserve">e-axle </w:t>
      </w:r>
      <w:r w:rsidR="009F3A6F" w:rsidRPr="00D060C8">
        <w:rPr>
          <w:b/>
          <w:bCs/>
        </w:rPr>
        <w:t xml:space="preserve">trailer </w:t>
      </w:r>
      <w:r w:rsidR="009F3A6F" w:rsidRPr="00250400">
        <w:rPr>
          <w:b/>
          <w:bCs/>
          <w:color w:val="000000" w:themeColor="text1"/>
        </w:rPr>
        <w:t xml:space="preserve">dynamo function active, to demonstrate the dynamo function </w:t>
      </w:r>
      <w:r w:rsidR="007862CF" w:rsidRPr="00250400">
        <w:rPr>
          <w:b/>
          <w:bCs/>
          <w:color w:val="000000" w:themeColor="text1"/>
        </w:rPr>
        <w:t xml:space="preserve">prevents locked wheel(s) and </w:t>
      </w:r>
      <w:r w:rsidR="009F3A6F" w:rsidRPr="00250400">
        <w:rPr>
          <w:b/>
          <w:bCs/>
          <w:color w:val="000000" w:themeColor="text1"/>
        </w:rPr>
        <w:t>has no critical impact on the vehicle behaviour</w:t>
      </w:r>
      <w:r w:rsidR="00783D7E">
        <w:rPr>
          <w:b/>
          <w:bCs/>
          <w:color w:val="000000" w:themeColor="text1"/>
        </w:rPr>
        <w:t xml:space="preserve">. </w:t>
      </w:r>
    </w:p>
    <w:p w14:paraId="5C6534CD" w14:textId="47CF2A8D" w:rsidR="007862CF" w:rsidRPr="00783D7E" w:rsidRDefault="007862CF" w:rsidP="00783D7E">
      <w:pPr>
        <w:adjustRightInd w:val="0"/>
        <w:snapToGrid w:val="0"/>
        <w:spacing w:after="120" w:line="240" w:lineRule="auto"/>
        <w:ind w:left="2268" w:right="1134"/>
        <w:jc w:val="both"/>
        <w:rPr>
          <w:b/>
          <w:bCs/>
          <w:color w:val="000000" w:themeColor="text1"/>
        </w:rPr>
      </w:pPr>
      <w:r w:rsidRPr="00783D7E">
        <w:rPr>
          <w:b/>
          <w:bCs/>
          <w:color w:val="000000" w:themeColor="text1"/>
        </w:rPr>
        <w:t>The verification test has to be conducted with an adhesion factor between tyre and road surface that is lower than the calculated brake rate of the dynamo function to enforce wheel locking without applying any brake.</w:t>
      </w:r>
    </w:p>
    <w:p w14:paraId="1E7C23CA" w14:textId="77777777" w:rsidR="009F3A6F" w:rsidRPr="00B43D15" w:rsidRDefault="009F3A6F" w:rsidP="009F3A6F">
      <w:pPr>
        <w:pStyle w:val="Default"/>
        <w:snapToGrid w:val="0"/>
        <w:spacing w:after="120"/>
        <w:ind w:left="2268" w:right="1134" w:hanging="1134"/>
        <w:jc w:val="both"/>
        <w:rPr>
          <w:i/>
          <w:iCs/>
          <w:color w:val="000000" w:themeColor="text1"/>
          <w:sz w:val="20"/>
          <w:szCs w:val="20"/>
          <w:lang w:val="en-US"/>
        </w:rPr>
      </w:pPr>
      <w:bookmarkStart w:id="5" w:name="_Toc381019128"/>
      <w:bookmarkStart w:id="6" w:name="_Toc381088939"/>
    </w:p>
    <w:p w14:paraId="1B75B7CE" w14:textId="77777777" w:rsidR="009F3A6F" w:rsidRPr="00B43D15" w:rsidRDefault="009F3A6F" w:rsidP="009F3A6F">
      <w:pPr>
        <w:adjustRightInd w:val="0"/>
        <w:snapToGrid w:val="0"/>
        <w:spacing w:after="120" w:line="240" w:lineRule="auto"/>
        <w:ind w:left="2268" w:right="1134" w:hanging="1134"/>
        <w:rPr>
          <w:color w:val="000000" w:themeColor="text1"/>
        </w:rPr>
      </w:pPr>
      <w:r w:rsidRPr="00B43D15">
        <w:rPr>
          <w:i/>
          <w:iCs/>
          <w:color w:val="000000" w:themeColor="text1"/>
        </w:rPr>
        <w:t>Annex 4, insert new paragraph 1.7.1.3.</w:t>
      </w:r>
      <w:r w:rsidRPr="00B43D15">
        <w:rPr>
          <w:color w:val="000000" w:themeColor="text1"/>
        </w:rPr>
        <w:t xml:space="preserve"> to read: </w:t>
      </w:r>
    </w:p>
    <w:p w14:paraId="0E190EE3" w14:textId="2E539749" w:rsidR="009F3A6F" w:rsidRPr="00B43D15" w:rsidRDefault="009F3A6F" w:rsidP="00991E47">
      <w:pPr>
        <w:adjustRightInd w:val="0"/>
        <w:snapToGrid w:val="0"/>
        <w:spacing w:after="120" w:line="240" w:lineRule="auto"/>
        <w:ind w:left="2268" w:right="1134" w:hanging="1134"/>
        <w:jc w:val="both"/>
        <w:rPr>
          <w:b/>
          <w:bCs/>
          <w:color w:val="000000" w:themeColor="text1"/>
        </w:rPr>
      </w:pPr>
      <w:r w:rsidRPr="00B43D15">
        <w:rPr>
          <w:b/>
          <w:bCs/>
          <w:color w:val="000000" w:themeColor="text1"/>
        </w:rPr>
        <w:t>“1.7.1.3.</w:t>
      </w:r>
      <w:r w:rsidRPr="00B43D15">
        <w:rPr>
          <w:b/>
          <w:bCs/>
          <w:color w:val="000000" w:themeColor="text1"/>
        </w:rPr>
        <w:tab/>
        <w:t>In case of trailers equipped with an electric regenerative braking system / dynamo function the</w:t>
      </w:r>
      <w:r w:rsidR="00D628FA" w:rsidRPr="00B43D15">
        <w:rPr>
          <w:b/>
          <w:bCs/>
          <w:color w:val="000000" w:themeColor="text1"/>
        </w:rPr>
        <w:t xml:space="preserve"> electric</w:t>
      </w:r>
      <w:r w:rsidRPr="00B43D15">
        <w:rPr>
          <w:b/>
          <w:bCs/>
          <w:color w:val="000000" w:themeColor="text1"/>
        </w:rPr>
        <w:t xml:space="preserve"> regenerative braking system / dynamo function shall be switched off during the brake applications.”</w:t>
      </w:r>
    </w:p>
    <w:p w14:paraId="2A576875" w14:textId="77777777" w:rsidR="00EA45C7" w:rsidRDefault="00EA45C7" w:rsidP="009F3A6F">
      <w:pPr>
        <w:adjustRightInd w:val="0"/>
        <w:snapToGrid w:val="0"/>
        <w:spacing w:after="120" w:line="240" w:lineRule="auto"/>
        <w:ind w:left="2268" w:right="1134" w:hanging="1134"/>
        <w:rPr>
          <w:i/>
          <w:iCs/>
          <w:color w:val="000000" w:themeColor="text1"/>
        </w:rPr>
      </w:pPr>
    </w:p>
    <w:p w14:paraId="6E7862EF" w14:textId="77777777" w:rsidR="00732FC5" w:rsidRDefault="00732FC5" w:rsidP="009F3A6F">
      <w:pPr>
        <w:adjustRightInd w:val="0"/>
        <w:snapToGrid w:val="0"/>
        <w:spacing w:after="120" w:line="240" w:lineRule="auto"/>
        <w:ind w:left="2268" w:right="1134" w:hanging="1134"/>
        <w:rPr>
          <w:i/>
          <w:iCs/>
          <w:color w:val="000000" w:themeColor="text1"/>
        </w:rPr>
      </w:pPr>
    </w:p>
    <w:p w14:paraId="725CE504" w14:textId="1E197C32" w:rsidR="009F3A6F" w:rsidRPr="00B43D15" w:rsidRDefault="009F3A6F" w:rsidP="009F3A6F">
      <w:pPr>
        <w:adjustRightInd w:val="0"/>
        <w:snapToGrid w:val="0"/>
        <w:spacing w:after="120" w:line="240" w:lineRule="auto"/>
        <w:ind w:left="2268" w:right="1134" w:hanging="1134"/>
        <w:rPr>
          <w:color w:val="000000" w:themeColor="text1"/>
        </w:rPr>
      </w:pPr>
      <w:r w:rsidRPr="00B43D15">
        <w:rPr>
          <w:i/>
          <w:iCs/>
          <w:color w:val="000000" w:themeColor="text1"/>
        </w:rPr>
        <w:t>Annex 4, insert new paragraph 3.1.2.</w:t>
      </w:r>
      <w:r w:rsidR="00CE6335" w:rsidRPr="00B43D15">
        <w:rPr>
          <w:i/>
          <w:iCs/>
          <w:color w:val="000000" w:themeColor="text1"/>
        </w:rPr>
        <w:t>5</w:t>
      </w:r>
      <w:r w:rsidRPr="00B43D15">
        <w:rPr>
          <w:i/>
          <w:iCs/>
          <w:color w:val="000000" w:themeColor="text1"/>
        </w:rPr>
        <w:t>.</w:t>
      </w:r>
      <w:r w:rsidRPr="00B43D15">
        <w:rPr>
          <w:color w:val="000000" w:themeColor="text1"/>
        </w:rPr>
        <w:t xml:space="preserve"> to read:</w:t>
      </w:r>
    </w:p>
    <w:p w14:paraId="70CAC063" w14:textId="00F8D588" w:rsidR="009F3A6F" w:rsidRPr="00B43D15" w:rsidRDefault="009F3A6F" w:rsidP="00991E47">
      <w:pPr>
        <w:adjustRightInd w:val="0"/>
        <w:snapToGrid w:val="0"/>
        <w:spacing w:after="120" w:line="240" w:lineRule="auto"/>
        <w:ind w:left="2268" w:right="1134" w:hanging="1134"/>
        <w:jc w:val="both"/>
        <w:rPr>
          <w:b/>
          <w:bCs/>
          <w:color w:val="000000" w:themeColor="text1"/>
        </w:rPr>
      </w:pPr>
      <w:r w:rsidRPr="00B43D15">
        <w:rPr>
          <w:b/>
          <w:bCs/>
          <w:color w:val="000000" w:themeColor="text1"/>
        </w:rPr>
        <w:t>“3.1.2.</w:t>
      </w:r>
      <w:r w:rsidR="00CE6335" w:rsidRPr="00B43D15">
        <w:rPr>
          <w:b/>
          <w:bCs/>
          <w:color w:val="000000" w:themeColor="text1"/>
        </w:rPr>
        <w:t>5</w:t>
      </w:r>
      <w:r w:rsidRPr="00B43D15">
        <w:rPr>
          <w:b/>
          <w:bCs/>
          <w:color w:val="000000" w:themeColor="text1"/>
        </w:rPr>
        <w:t>.</w:t>
      </w:r>
      <w:r w:rsidRPr="00B43D15">
        <w:rPr>
          <w:b/>
          <w:bCs/>
          <w:color w:val="000000" w:themeColor="text1"/>
        </w:rPr>
        <w:tab/>
        <w:t>In case of trailers equipped with an electric regenerative braking system / dynamo function the</w:t>
      </w:r>
      <w:r w:rsidR="00D628FA" w:rsidRPr="00B43D15">
        <w:rPr>
          <w:b/>
          <w:bCs/>
          <w:color w:val="000000" w:themeColor="text1"/>
        </w:rPr>
        <w:t xml:space="preserve"> electric</w:t>
      </w:r>
      <w:r w:rsidRPr="00B43D15">
        <w:rPr>
          <w:b/>
          <w:bCs/>
          <w:color w:val="000000" w:themeColor="text1"/>
        </w:rPr>
        <w:t xml:space="preserve"> regenerative braking system / dynamo function shall be switched off during the brake test.”</w:t>
      </w:r>
    </w:p>
    <w:p w14:paraId="1F06A72E" w14:textId="77777777" w:rsidR="00B43D15" w:rsidRDefault="00B43D15" w:rsidP="009F3A6F">
      <w:pPr>
        <w:adjustRightInd w:val="0"/>
        <w:snapToGrid w:val="0"/>
        <w:spacing w:after="120" w:line="240" w:lineRule="auto"/>
        <w:ind w:left="2268" w:right="1134" w:hanging="1134"/>
        <w:rPr>
          <w:i/>
          <w:iCs/>
          <w:color w:val="000000" w:themeColor="text1"/>
        </w:rPr>
      </w:pPr>
    </w:p>
    <w:p w14:paraId="2D439292" w14:textId="694F373A" w:rsidR="009F3A6F" w:rsidRPr="00B43D15" w:rsidRDefault="009F3A6F" w:rsidP="009F3A6F">
      <w:pPr>
        <w:adjustRightInd w:val="0"/>
        <w:snapToGrid w:val="0"/>
        <w:spacing w:after="120" w:line="240" w:lineRule="auto"/>
        <w:ind w:left="2268" w:right="1134" w:hanging="1134"/>
        <w:rPr>
          <w:color w:val="000000" w:themeColor="text1"/>
        </w:rPr>
      </w:pPr>
      <w:r w:rsidRPr="00B43D15">
        <w:rPr>
          <w:i/>
          <w:iCs/>
          <w:color w:val="000000" w:themeColor="text1"/>
        </w:rPr>
        <w:t>Annex 4, insert new paragraph 3.1.3.5.</w:t>
      </w:r>
      <w:r w:rsidRPr="00B43D15">
        <w:rPr>
          <w:color w:val="000000" w:themeColor="text1"/>
        </w:rPr>
        <w:t xml:space="preserve"> to read:</w:t>
      </w:r>
    </w:p>
    <w:p w14:paraId="145AC794" w14:textId="217EB82F" w:rsidR="009F3A6F" w:rsidRPr="00B43D15" w:rsidRDefault="009F3A6F" w:rsidP="00991E47">
      <w:pPr>
        <w:adjustRightInd w:val="0"/>
        <w:snapToGrid w:val="0"/>
        <w:spacing w:after="120" w:line="240" w:lineRule="auto"/>
        <w:ind w:left="2268" w:right="1134" w:hanging="1134"/>
        <w:jc w:val="both"/>
        <w:rPr>
          <w:b/>
          <w:bCs/>
          <w:color w:val="000000" w:themeColor="text1"/>
        </w:rPr>
      </w:pPr>
      <w:r w:rsidRPr="00B43D15">
        <w:rPr>
          <w:b/>
          <w:bCs/>
          <w:color w:val="000000" w:themeColor="text1"/>
        </w:rPr>
        <w:t>“3.1.3.5.</w:t>
      </w:r>
      <w:r w:rsidRPr="00B43D15">
        <w:rPr>
          <w:b/>
          <w:bCs/>
          <w:color w:val="000000" w:themeColor="text1"/>
        </w:rPr>
        <w:tab/>
        <w:t>If the trailer is equipped with an electric regenerative braking system / dynamo function the</w:t>
      </w:r>
      <w:r w:rsidR="00D628FA" w:rsidRPr="00B43D15">
        <w:rPr>
          <w:b/>
          <w:bCs/>
          <w:color w:val="000000" w:themeColor="text1"/>
        </w:rPr>
        <w:t xml:space="preserve"> electric</w:t>
      </w:r>
      <w:r w:rsidRPr="00B43D15">
        <w:rPr>
          <w:b/>
          <w:bCs/>
          <w:color w:val="000000" w:themeColor="text1"/>
        </w:rPr>
        <w:t xml:space="preserve"> regenerative braking system / dynamo function shall be switched off during the brake test.”</w:t>
      </w:r>
    </w:p>
    <w:p w14:paraId="1F39229A" w14:textId="77777777" w:rsidR="009F3A6F" w:rsidRPr="00B43D15" w:rsidRDefault="009F3A6F" w:rsidP="009F3A6F">
      <w:pPr>
        <w:pStyle w:val="Default"/>
        <w:snapToGrid w:val="0"/>
        <w:spacing w:after="120"/>
        <w:ind w:left="2268" w:right="1134" w:hanging="1134"/>
        <w:jc w:val="both"/>
        <w:rPr>
          <w:i/>
          <w:iCs/>
          <w:color w:val="000000" w:themeColor="text1"/>
          <w:sz w:val="20"/>
          <w:szCs w:val="20"/>
          <w:lang w:val="en-GB"/>
        </w:rPr>
      </w:pPr>
    </w:p>
    <w:p w14:paraId="6DF1235E" w14:textId="77777777" w:rsidR="009F3A6F" w:rsidRPr="00B43D15" w:rsidRDefault="009F3A6F" w:rsidP="009F3A6F">
      <w:pPr>
        <w:pStyle w:val="Default"/>
        <w:snapToGrid w:val="0"/>
        <w:spacing w:after="120"/>
        <w:ind w:left="2268" w:right="1134" w:hanging="1134"/>
        <w:jc w:val="both"/>
        <w:rPr>
          <w:i/>
          <w:iCs/>
          <w:color w:val="000000" w:themeColor="text1"/>
          <w:sz w:val="20"/>
          <w:szCs w:val="20"/>
          <w:lang w:val="en-US"/>
        </w:rPr>
      </w:pPr>
      <w:r w:rsidRPr="00B43D15">
        <w:rPr>
          <w:i/>
          <w:iCs/>
          <w:color w:val="000000" w:themeColor="text1"/>
          <w:sz w:val="20"/>
          <w:szCs w:val="20"/>
          <w:lang w:val="en-US"/>
        </w:rPr>
        <w:t>Annex 19 - Appendix 5</w:t>
      </w:r>
      <w:bookmarkEnd w:id="5"/>
      <w:bookmarkEnd w:id="6"/>
      <w:r w:rsidRPr="00B43D15">
        <w:rPr>
          <w:i/>
          <w:iCs/>
          <w:color w:val="000000" w:themeColor="text1"/>
          <w:sz w:val="20"/>
          <w:szCs w:val="20"/>
          <w:lang w:val="en-US"/>
        </w:rPr>
        <w:t xml:space="preserve"> Paragraph 2.2. amend to read:  </w:t>
      </w:r>
    </w:p>
    <w:p w14:paraId="56E6BA8B" w14:textId="77777777" w:rsidR="009F3A6F" w:rsidRPr="00B43D15" w:rsidRDefault="009F3A6F" w:rsidP="009F3A6F">
      <w:pPr>
        <w:pStyle w:val="SingleTxtG"/>
        <w:spacing w:after="60" w:line="220" w:lineRule="atLeast"/>
        <w:ind w:left="2268" w:hanging="1134"/>
        <w:rPr>
          <w:color w:val="000000" w:themeColor="text1"/>
        </w:rPr>
      </w:pPr>
      <w:r w:rsidRPr="00B43D15">
        <w:rPr>
          <w:color w:val="000000" w:themeColor="text1"/>
        </w:rPr>
        <w:t>2.2.</w:t>
      </w:r>
      <w:r w:rsidRPr="00B43D15">
        <w:rPr>
          <w:color w:val="000000" w:themeColor="text1"/>
        </w:rPr>
        <w:tab/>
        <w:t>Schematic diagrams of the system configurations installed on the trailers defined in item 2.1. above with consideration given to the following parameters:</w:t>
      </w:r>
    </w:p>
    <w:p w14:paraId="6C8F47D3" w14:textId="77777777" w:rsidR="009F3A6F" w:rsidRPr="00B43D15" w:rsidRDefault="009F3A6F" w:rsidP="009F3A6F">
      <w:pPr>
        <w:pStyle w:val="SingleTxtG"/>
        <w:ind w:left="2268" w:hanging="1134"/>
        <w:rPr>
          <w:color w:val="000000" w:themeColor="text1"/>
        </w:rPr>
      </w:pPr>
      <w:r w:rsidRPr="00B43D15">
        <w:rPr>
          <w:color w:val="000000" w:themeColor="text1"/>
        </w:rPr>
        <w:tab/>
        <w:t>Sensor locations</w:t>
      </w:r>
    </w:p>
    <w:p w14:paraId="4FC367FB" w14:textId="77777777" w:rsidR="009F3A6F" w:rsidRPr="00B43D15" w:rsidRDefault="009F3A6F" w:rsidP="009F3A6F">
      <w:pPr>
        <w:pStyle w:val="SingleTxtG"/>
        <w:ind w:left="2268" w:hanging="1134"/>
        <w:rPr>
          <w:color w:val="000000" w:themeColor="text1"/>
        </w:rPr>
      </w:pPr>
      <w:r w:rsidRPr="00B43D15">
        <w:rPr>
          <w:color w:val="000000" w:themeColor="text1"/>
        </w:rPr>
        <w:tab/>
        <w:t>Modulator locations</w:t>
      </w:r>
    </w:p>
    <w:p w14:paraId="1678EB9E" w14:textId="77777777" w:rsidR="009F3A6F" w:rsidRPr="00B43D15" w:rsidRDefault="009F3A6F" w:rsidP="009F3A6F">
      <w:pPr>
        <w:pStyle w:val="SingleTxtG"/>
        <w:ind w:left="2268" w:hanging="1134"/>
        <w:rPr>
          <w:color w:val="000000" w:themeColor="text1"/>
        </w:rPr>
      </w:pPr>
      <w:r w:rsidRPr="00B43D15">
        <w:rPr>
          <w:color w:val="000000" w:themeColor="text1"/>
        </w:rPr>
        <w:tab/>
        <w:t>Lift axles</w:t>
      </w:r>
    </w:p>
    <w:p w14:paraId="37F3C14C" w14:textId="77777777" w:rsidR="009F3A6F" w:rsidRPr="00B43D15" w:rsidRDefault="009F3A6F" w:rsidP="009F3A6F">
      <w:pPr>
        <w:pStyle w:val="SingleTxtG"/>
        <w:ind w:left="2268" w:hanging="1134"/>
        <w:rPr>
          <w:color w:val="000000" w:themeColor="text1"/>
        </w:rPr>
      </w:pPr>
      <w:r w:rsidRPr="00B43D15">
        <w:rPr>
          <w:color w:val="000000" w:themeColor="text1"/>
        </w:rPr>
        <w:tab/>
        <w:t>Steering axles</w:t>
      </w:r>
    </w:p>
    <w:p w14:paraId="1D4B6398" w14:textId="33DF6D89" w:rsidR="009F3A6F" w:rsidRPr="00D060C8" w:rsidRDefault="009F3A6F" w:rsidP="009F3A6F">
      <w:pPr>
        <w:pStyle w:val="SingleTxtG"/>
        <w:ind w:left="2268" w:hanging="1134"/>
        <w:rPr>
          <w:b/>
          <w:bCs/>
        </w:rPr>
      </w:pPr>
      <w:r w:rsidRPr="00B43D15">
        <w:rPr>
          <w:color w:val="000000" w:themeColor="text1"/>
        </w:rPr>
        <w:tab/>
      </w:r>
      <w:r w:rsidR="00783D7E" w:rsidRPr="00D060C8">
        <w:rPr>
          <w:b/>
          <w:bCs/>
        </w:rPr>
        <w:t>e-</w:t>
      </w:r>
      <w:r w:rsidR="00640BE5" w:rsidRPr="00D060C8">
        <w:rPr>
          <w:b/>
          <w:bCs/>
        </w:rPr>
        <w:t>A</w:t>
      </w:r>
      <w:r w:rsidR="00783D7E" w:rsidRPr="00D060C8">
        <w:rPr>
          <w:b/>
          <w:bCs/>
        </w:rPr>
        <w:t>xles</w:t>
      </w:r>
    </w:p>
    <w:p w14:paraId="70386FAB" w14:textId="77777777" w:rsidR="009F3A6F" w:rsidRPr="00B43D15" w:rsidRDefault="009F3A6F" w:rsidP="009F3A6F">
      <w:pPr>
        <w:pStyle w:val="SingleTxtG"/>
        <w:ind w:left="2268" w:hanging="1134"/>
        <w:rPr>
          <w:color w:val="000000" w:themeColor="text1"/>
        </w:rPr>
      </w:pPr>
      <w:r w:rsidRPr="00B43D15">
        <w:rPr>
          <w:color w:val="000000" w:themeColor="text1"/>
        </w:rPr>
        <w:tab/>
        <w:t>Tube: type - bore size(s) and lengths</w:t>
      </w:r>
    </w:p>
    <w:p w14:paraId="4020EED4" w14:textId="77777777" w:rsidR="009F3A6F" w:rsidRPr="00B43D15" w:rsidRDefault="009F3A6F" w:rsidP="009F3A6F">
      <w:pPr>
        <w:pStyle w:val="SingleTxtG"/>
        <w:ind w:left="2268" w:hanging="1134"/>
        <w:rPr>
          <w:color w:val="000000" w:themeColor="text1"/>
        </w:rPr>
      </w:pPr>
    </w:p>
    <w:p w14:paraId="4A7710A9" w14:textId="77777777" w:rsidR="009F3A6F" w:rsidRPr="00B43D15" w:rsidRDefault="009F3A6F" w:rsidP="009F3A6F">
      <w:pPr>
        <w:pStyle w:val="Default"/>
        <w:snapToGrid w:val="0"/>
        <w:spacing w:after="120"/>
        <w:ind w:left="2268" w:right="1134" w:hanging="1134"/>
        <w:jc w:val="both"/>
        <w:rPr>
          <w:i/>
          <w:iCs/>
          <w:color w:val="000000" w:themeColor="text1"/>
          <w:sz w:val="20"/>
          <w:szCs w:val="20"/>
          <w:lang w:val="en-US"/>
        </w:rPr>
      </w:pPr>
      <w:r w:rsidRPr="00B43D15">
        <w:rPr>
          <w:i/>
          <w:iCs/>
          <w:color w:val="000000" w:themeColor="text1"/>
          <w:sz w:val="20"/>
          <w:szCs w:val="20"/>
          <w:lang w:val="en-US"/>
        </w:rPr>
        <w:t xml:space="preserve">Annex 19 - Appendix 7 Paragraph 2.2. amend to read:  </w:t>
      </w:r>
    </w:p>
    <w:p w14:paraId="54C6EE79" w14:textId="77777777" w:rsidR="009F3A6F" w:rsidRPr="00B43D15" w:rsidRDefault="009F3A6F" w:rsidP="009F3A6F">
      <w:pPr>
        <w:pStyle w:val="SingleTxtG"/>
        <w:spacing w:after="60" w:line="220" w:lineRule="atLeast"/>
        <w:ind w:left="2268" w:hanging="1134"/>
        <w:rPr>
          <w:color w:val="000000" w:themeColor="text1"/>
        </w:rPr>
      </w:pPr>
      <w:r w:rsidRPr="00B43D15">
        <w:rPr>
          <w:color w:val="000000" w:themeColor="text1"/>
        </w:rPr>
        <w:t>2.2.</w:t>
      </w:r>
      <w:r w:rsidRPr="00B43D15">
        <w:rPr>
          <w:color w:val="000000" w:themeColor="text1"/>
        </w:rPr>
        <w:tab/>
        <w:t>Schematic diagrams of the respective configurations installed on the trailers defined in item 2.1. above with consideration given to the following:</w:t>
      </w:r>
    </w:p>
    <w:p w14:paraId="6EB771F2" w14:textId="77777777" w:rsidR="009F3A6F" w:rsidRPr="00B43D15" w:rsidRDefault="009F3A6F" w:rsidP="009F3A6F">
      <w:pPr>
        <w:keepNext/>
        <w:keepLines/>
        <w:tabs>
          <w:tab w:val="left" w:pos="1418"/>
          <w:tab w:val="left" w:pos="1985"/>
        </w:tabs>
        <w:autoSpaceDE w:val="0"/>
        <w:autoSpaceDN w:val="0"/>
        <w:adjustRightInd w:val="0"/>
        <w:spacing w:after="120"/>
        <w:ind w:left="2835" w:hanging="567"/>
        <w:jc w:val="both"/>
        <w:rPr>
          <w:color w:val="000000" w:themeColor="text1"/>
        </w:rPr>
      </w:pPr>
      <w:r w:rsidRPr="00B43D15">
        <w:rPr>
          <w:color w:val="000000" w:themeColor="text1"/>
        </w:rPr>
        <w:t>(a)</w:t>
      </w:r>
      <w:r w:rsidRPr="00B43D15">
        <w:rPr>
          <w:color w:val="000000" w:themeColor="text1"/>
        </w:rPr>
        <w:tab/>
        <w:t>Lift axles;</w:t>
      </w:r>
    </w:p>
    <w:p w14:paraId="0E9B3087" w14:textId="77777777" w:rsidR="009F3A6F" w:rsidRPr="00B43D15" w:rsidRDefault="009F3A6F" w:rsidP="009F3A6F">
      <w:pPr>
        <w:tabs>
          <w:tab w:val="left" w:pos="1418"/>
          <w:tab w:val="left" w:pos="1985"/>
        </w:tabs>
        <w:autoSpaceDE w:val="0"/>
        <w:autoSpaceDN w:val="0"/>
        <w:adjustRightInd w:val="0"/>
        <w:spacing w:after="120"/>
        <w:ind w:left="2835" w:hanging="567"/>
        <w:jc w:val="both"/>
        <w:rPr>
          <w:color w:val="000000" w:themeColor="text1"/>
        </w:rPr>
      </w:pPr>
      <w:r w:rsidRPr="00B43D15">
        <w:rPr>
          <w:color w:val="000000" w:themeColor="text1"/>
        </w:rPr>
        <w:t>(b)</w:t>
      </w:r>
      <w:r w:rsidRPr="00B43D15">
        <w:rPr>
          <w:color w:val="000000" w:themeColor="text1"/>
        </w:rPr>
        <w:tab/>
        <w:t>Steering axles;</w:t>
      </w:r>
    </w:p>
    <w:p w14:paraId="72A155D3" w14:textId="77777777" w:rsidR="009F3A6F" w:rsidRPr="00B43D15" w:rsidRDefault="009F3A6F" w:rsidP="009F3A6F">
      <w:pPr>
        <w:tabs>
          <w:tab w:val="left" w:pos="1418"/>
          <w:tab w:val="left" w:pos="1985"/>
        </w:tabs>
        <w:autoSpaceDE w:val="0"/>
        <w:autoSpaceDN w:val="0"/>
        <w:adjustRightInd w:val="0"/>
        <w:spacing w:after="120"/>
        <w:ind w:left="2835" w:hanging="567"/>
        <w:jc w:val="both"/>
        <w:rPr>
          <w:color w:val="000000" w:themeColor="text1"/>
        </w:rPr>
      </w:pPr>
      <w:r w:rsidRPr="00B43D15">
        <w:rPr>
          <w:color w:val="000000" w:themeColor="text1"/>
        </w:rPr>
        <w:t>(c)</w:t>
      </w:r>
      <w:r w:rsidRPr="00B43D15">
        <w:rPr>
          <w:color w:val="000000" w:themeColor="text1"/>
        </w:rPr>
        <w:tab/>
        <w:t>Anti-lock braking configurations;</w:t>
      </w:r>
    </w:p>
    <w:p w14:paraId="326674FE" w14:textId="75C0FFFC" w:rsidR="009F3A6F" w:rsidRPr="00D060C8" w:rsidRDefault="009F3A6F" w:rsidP="009F3A6F">
      <w:pPr>
        <w:tabs>
          <w:tab w:val="left" w:pos="1418"/>
          <w:tab w:val="left" w:pos="1985"/>
        </w:tabs>
        <w:autoSpaceDE w:val="0"/>
        <w:autoSpaceDN w:val="0"/>
        <w:adjustRightInd w:val="0"/>
        <w:spacing w:after="120"/>
        <w:ind w:left="2835" w:hanging="567"/>
        <w:jc w:val="both"/>
        <w:rPr>
          <w:b/>
          <w:bCs/>
        </w:rPr>
      </w:pPr>
      <w:r w:rsidRPr="00B43D15">
        <w:rPr>
          <w:b/>
          <w:bCs/>
          <w:color w:val="000000" w:themeColor="text1"/>
        </w:rPr>
        <w:t>(d)</w:t>
      </w:r>
      <w:r w:rsidRPr="00B43D15">
        <w:rPr>
          <w:b/>
          <w:bCs/>
          <w:color w:val="000000" w:themeColor="text1"/>
        </w:rPr>
        <w:tab/>
      </w:r>
      <w:r w:rsidR="00640BE5" w:rsidRPr="00D060C8">
        <w:rPr>
          <w:b/>
          <w:bCs/>
        </w:rPr>
        <w:t>e-</w:t>
      </w:r>
      <w:r w:rsidRPr="00D060C8">
        <w:rPr>
          <w:b/>
          <w:bCs/>
        </w:rPr>
        <w:t>Axles.</w:t>
      </w:r>
    </w:p>
    <w:p w14:paraId="2F27D289" w14:textId="77777777" w:rsidR="002E4584" w:rsidRPr="00B43D15" w:rsidRDefault="002E4584" w:rsidP="00E922BE">
      <w:pPr>
        <w:spacing w:after="120" w:line="240" w:lineRule="auto"/>
        <w:ind w:left="1260"/>
        <w:rPr>
          <w:bCs/>
          <w:color w:val="000000" w:themeColor="text1"/>
        </w:rPr>
      </w:pPr>
    </w:p>
    <w:bookmarkEnd w:id="1"/>
    <w:bookmarkEnd w:id="2"/>
    <w:bookmarkEnd w:id="3"/>
    <w:p w14:paraId="4844C544" w14:textId="79CC3711" w:rsidR="001004CC" w:rsidRPr="00B43D15" w:rsidRDefault="001004CC" w:rsidP="001004CC">
      <w:pPr>
        <w:spacing w:before="60"/>
        <w:jc w:val="center"/>
        <w:rPr>
          <w:color w:val="000000" w:themeColor="text1"/>
        </w:rPr>
      </w:pPr>
      <w:r w:rsidRPr="00B43D15">
        <w:rPr>
          <w:color w:val="000000" w:themeColor="text1"/>
          <w:u w:val="single"/>
        </w:rPr>
        <w:tab/>
      </w:r>
      <w:r w:rsidRPr="00B43D15">
        <w:rPr>
          <w:color w:val="000000" w:themeColor="text1"/>
          <w:u w:val="single"/>
        </w:rPr>
        <w:tab/>
      </w:r>
      <w:r w:rsidR="00020CA9" w:rsidRPr="00B43D15">
        <w:rPr>
          <w:color w:val="000000" w:themeColor="text1"/>
          <w:u w:val="single"/>
        </w:rPr>
        <w:tab/>
      </w:r>
    </w:p>
    <w:p w14:paraId="6295087F" w14:textId="3582DA46" w:rsidR="005D61D8" w:rsidRPr="00B43D15" w:rsidRDefault="005D61D8" w:rsidP="001004CC">
      <w:pPr>
        <w:pStyle w:val="para"/>
        <w:ind w:right="521"/>
        <w:rPr>
          <w:rFonts w:asciiTheme="majorBidi" w:hAnsiTheme="majorBidi"/>
          <w:color w:val="000000" w:themeColor="text1"/>
          <w:u w:val="single"/>
        </w:rPr>
      </w:pPr>
    </w:p>
    <w:sectPr w:rsidR="005D61D8" w:rsidRPr="00B43D15" w:rsidSect="00CE679B">
      <w:footerReference w:type="even" r:id="rId10"/>
      <w:footerReference w:type="default" r:id="rId11"/>
      <w:headerReference w:type="first" r:id="rId12"/>
      <w:footerReference w:type="first" r:id="rId13"/>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2D92" w14:textId="77777777" w:rsidR="00465F23" w:rsidRDefault="00465F23"/>
  </w:endnote>
  <w:endnote w:type="continuationSeparator" w:id="0">
    <w:p w14:paraId="77743D99" w14:textId="77777777" w:rsidR="00465F23" w:rsidRDefault="00465F23"/>
  </w:endnote>
  <w:endnote w:type="continuationNotice" w:id="1">
    <w:p w14:paraId="6A627263" w14:textId="77777777" w:rsidR="00465F23" w:rsidRDefault="00465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1AF51427" w:rsidR="001373C9" w:rsidRDefault="001373C9">
    <w:pPr>
      <w:pStyle w:val="Footer"/>
    </w:pPr>
    <w:r>
      <w:fldChar w:fldCharType="begin"/>
    </w:r>
    <w:r>
      <w:instrText xml:space="preserve"> PAGE  \* MERGEFORMAT </w:instrText>
    </w:r>
    <w:r>
      <w:fldChar w:fldCharType="separate"/>
    </w:r>
    <w:r w:rsidR="002B03DF" w:rsidRPr="002B03DF">
      <w:rPr>
        <w:b/>
        <w:noProof/>
        <w:sz w:val="18"/>
      </w:rPr>
      <w:t>4</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E3B" w14:textId="21E89AF5" w:rsidR="001373C9" w:rsidRDefault="001373C9" w:rsidP="00244B62">
    <w:pPr>
      <w:pStyle w:val="Footer"/>
      <w:jc w:val="right"/>
    </w:pPr>
    <w:r>
      <w:fldChar w:fldCharType="begin"/>
    </w:r>
    <w:r>
      <w:instrText xml:space="preserve"> PAGE  \* MERGEFORMAT </w:instrText>
    </w:r>
    <w:r>
      <w:fldChar w:fldCharType="separate"/>
    </w:r>
    <w:r w:rsidR="00E836AA" w:rsidRPr="00E836AA">
      <w:rPr>
        <w:b/>
        <w:noProof/>
        <w:sz w:val="18"/>
      </w:rPr>
      <w:t>8</w:t>
    </w:r>
    <w:r>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10EC" w14:textId="682B1FB8" w:rsidR="00B4429E" w:rsidRDefault="00710B7E" w:rsidP="00710B7E">
    <w:pPr>
      <w:pStyle w:val="Footer"/>
      <w:ind w:right="1134"/>
      <w:rPr>
        <w:rFonts w:asciiTheme="majorBidi" w:hAnsiTheme="majorBidi" w:cstheme="majorBidi"/>
        <w:sz w:val="20"/>
      </w:rPr>
    </w:pPr>
    <w:r w:rsidRPr="00710B7E">
      <w:rPr>
        <w:rFonts w:asciiTheme="majorBidi" w:hAnsiTheme="majorBidi" w:cstheme="majorBidi"/>
        <w:noProof/>
        <w:sz w:val="20"/>
        <w:lang w:val="en-US"/>
      </w:rPr>
      <w:drawing>
        <wp:anchor distT="0" distB="0" distL="114300" distR="114300" simplePos="0" relativeHeight="251659264" behindDoc="0" locked="1" layoutInCell="1" allowOverlap="1" wp14:anchorId="596CCEED" wp14:editId="3E4B4851">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C47E" w14:textId="77777777" w:rsidR="00465F23" w:rsidRPr="000B175B" w:rsidRDefault="00465F23" w:rsidP="000B175B">
      <w:pPr>
        <w:tabs>
          <w:tab w:val="right" w:pos="2155"/>
        </w:tabs>
        <w:spacing w:after="80"/>
        <w:ind w:left="680"/>
        <w:rPr>
          <w:u w:val="single"/>
        </w:rPr>
      </w:pPr>
      <w:r>
        <w:rPr>
          <w:u w:val="single"/>
        </w:rPr>
        <w:tab/>
      </w:r>
    </w:p>
  </w:footnote>
  <w:footnote w:type="continuationSeparator" w:id="0">
    <w:p w14:paraId="3507266C" w14:textId="77777777" w:rsidR="00465F23" w:rsidRPr="00FC68B7" w:rsidRDefault="00465F23" w:rsidP="00FC68B7">
      <w:pPr>
        <w:tabs>
          <w:tab w:val="left" w:pos="2155"/>
        </w:tabs>
        <w:spacing w:after="80"/>
        <w:ind w:left="680"/>
        <w:rPr>
          <w:u w:val="single"/>
        </w:rPr>
      </w:pPr>
      <w:r>
        <w:rPr>
          <w:u w:val="single"/>
        </w:rPr>
        <w:tab/>
      </w:r>
    </w:p>
  </w:footnote>
  <w:footnote w:type="continuationNotice" w:id="1">
    <w:p w14:paraId="0638559D" w14:textId="77777777" w:rsidR="00465F23" w:rsidRDefault="00465F23"/>
  </w:footnote>
  <w:footnote w:id="2">
    <w:p w14:paraId="61F63BFA" w14:textId="043796D0" w:rsidR="00D060C8" w:rsidRPr="00D060C8" w:rsidRDefault="00D060C8">
      <w:pPr>
        <w:pStyle w:val="FootnoteText"/>
        <w:rPr>
          <w:lang w:val="en-ZA"/>
        </w:rPr>
      </w:pPr>
      <w:r>
        <w:rPr>
          <w:rStyle w:val="FootnoteReference"/>
        </w:rPr>
        <w:footnoteRef/>
      </w:r>
      <w:r>
        <w:t xml:space="preserve"> </w:t>
      </w:r>
      <w:r w:rsidRPr="00D060C8">
        <w:rPr>
          <w:b/>
          <w:bCs/>
          <w:i/>
          <w:iCs/>
          <w:lang w:val="en-US"/>
        </w:rPr>
        <w:t>A dynamo function is not part of the braking system and not considered a brake.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B2090" w:rsidRPr="00B43D15" w14:paraId="44458476" w14:textId="77777777" w:rsidTr="00CD187A">
      <w:tc>
        <w:tcPr>
          <w:tcW w:w="4814" w:type="dxa"/>
        </w:tcPr>
        <w:p w14:paraId="1DCAF1CB" w14:textId="77777777" w:rsidR="003B2090" w:rsidRPr="00B43D15" w:rsidRDefault="003B2090" w:rsidP="003B2090">
          <w:pPr>
            <w:suppressAutoHyphens w:val="0"/>
            <w:adjustRightInd w:val="0"/>
            <w:snapToGrid w:val="0"/>
            <w:spacing w:line="240" w:lineRule="auto"/>
            <w:rPr>
              <w:rFonts w:eastAsiaTheme="minorHAnsi"/>
              <w:color w:val="000000" w:themeColor="text1"/>
              <w:sz w:val="22"/>
              <w:szCs w:val="22"/>
            </w:rPr>
          </w:pPr>
          <w:r w:rsidRPr="00B43D15">
            <w:rPr>
              <w:rFonts w:eastAsiaTheme="minorHAnsi"/>
              <w:color w:val="000000" w:themeColor="text1"/>
              <w:sz w:val="22"/>
              <w:szCs w:val="22"/>
            </w:rPr>
            <w:t>Submitted by the experts from CLEPA</w:t>
          </w:r>
        </w:p>
        <w:p w14:paraId="0DAACA1F" w14:textId="77777777" w:rsidR="003B2090" w:rsidRPr="00B43D15" w:rsidRDefault="003B2090" w:rsidP="003B2090">
          <w:pPr>
            <w:suppressAutoHyphens w:val="0"/>
            <w:adjustRightInd w:val="0"/>
            <w:snapToGrid w:val="0"/>
            <w:spacing w:line="240" w:lineRule="auto"/>
            <w:jc w:val="right"/>
            <w:rPr>
              <w:rFonts w:eastAsiaTheme="minorHAnsi"/>
              <w:color w:val="000000" w:themeColor="text1"/>
              <w:sz w:val="22"/>
              <w:szCs w:val="22"/>
            </w:rPr>
          </w:pPr>
        </w:p>
      </w:tc>
      <w:tc>
        <w:tcPr>
          <w:tcW w:w="4815" w:type="dxa"/>
        </w:tcPr>
        <w:p w14:paraId="6C18C4C7" w14:textId="1E54DD72" w:rsidR="003B2090" w:rsidRPr="00B43D15" w:rsidRDefault="003B2090" w:rsidP="003B2090">
          <w:pPr>
            <w:suppressAutoHyphens w:val="0"/>
            <w:adjustRightInd w:val="0"/>
            <w:snapToGrid w:val="0"/>
            <w:spacing w:line="240" w:lineRule="auto"/>
            <w:jc w:val="right"/>
            <w:rPr>
              <w:rFonts w:eastAsiaTheme="minorHAnsi"/>
              <w:color w:val="000000" w:themeColor="text1"/>
              <w:sz w:val="22"/>
              <w:szCs w:val="22"/>
            </w:rPr>
          </w:pPr>
          <w:r w:rsidRPr="00B43D15">
            <w:rPr>
              <w:rFonts w:eastAsiaTheme="minorHAnsi"/>
              <w:color w:val="000000" w:themeColor="text1"/>
              <w:sz w:val="22"/>
              <w:szCs w:val="22"/>
              <w:u w:val="single"/>
            </w:rPr>
            <w:t>Informal document</w:t>
          </w:r>
          <w:r w:rsidRPr="00B43D15">
            <w:rPr>
              <w:rFonts w:eastAsiaTheme="minorHAnsi"/>
              <w:color w:val="000000" w:themeColor="text1"/>
              <w:sz w:val="22"/>
              <w:szCs w:val="22"/>
            </w:rPr>
            <w:t xml:space="preserve"> </w:t>
          </w:r>
          <w:r w:rsidRPr="00B43D15">
            <w:rPr>
              <w:rFonts w:eastAsiaTheme="minorHAnsi"/>
              <w:b/>
              <w:bCs/>
              <w:color w:val="000000" w:themeColor="text1"/>
              <w:sz w:val="22"/>
              <w:szCs w:val="22"/>
            </w:rPr>
            <w:t>GRVA-22-</w:t>
          </w:r>
          <w:r>
            <w:rPr>
              <w:rFonts w:eastAsiaTheme="minorHAnsi"/>
              <w:b/>
              <w:bCs/>
              <w:color w:val="000000" w:themeColor="text1"/>
              <w:sz w:val="22"/>
              <w:szCs w:val="22"/>
            </w:rPr>
            <w:t>2</w:t>
          </w:r>
          <w:r>
            <w:rPr>
              <w:rFonts w:eastAsiaTheme="minorHAnsi"/>
              <w:b/>
              <w:bCs/>
              <w:color w:val="000000" w:themeColor="text1"/>
              <w:sz w:val="22"/>
              <w:szCs w:val="22"/>
            </w:rPr>
            <w:t>6</w:t>
          </w:r>
        </w:p>
        <w:p w14:paraId="0D41E501" w14:textId="77777777" w:rsidR="003B2090" w:rsidRPr="00B43D15" w:rsidRDefault="003B2090" w:rsidP="003B2090">
          <w:pPr>
            <w:suppressAutoHyphens w:val="0"/>
            <w:adjustRightInd w:val="0"/>
            <w:snapToGrid w:val="0"/>
            <w:spacing w:line="240" w:lineRule="auto"/>
            <w:jc w:val="right"/>
            <w:rPr>
              <w:rFonts w:eastAsiaTheme="minorHAnsi"/>
              <w:color w:val="000000" w:themeColor="text1"/>
              <w:sz w:val="22"/>
              <w:szCs w:val="22"/>
            </w:rPr>
          </w:pPr>
          <w:r w:rsidRPr="00B43D15">
            <w:rPr>
              <w:rFonts w:eastAsiaTheme="minorHAnsi"/>
              <w:color w:val="000000" w:themeColor="text1"/>
              <w:sz w:val="22"/>
              <w:szCs w:val="22"/>
            </w:rPr>
            <w:t>22nd GRVA, 24 June 2025</w:t>
          </w:r>
        </w:p>
        <w:p w14:paraId="33FB219E" w14:textId="77777777" w:rsidR="003B2090" w:rsidRPr="00B43D15" w:rsidRDefault="003B2090" w:rsidP="003B2090">
          <w:pPr>
            <w:suppressAutoHyphens w:val="0"/>
            <w:adjustRightInd w:val="0"/>
            <w:snapToGrid w:val="0"/>
            <w:spacing w:line="240" w:lineRule="auto"/>
            <w:jc w:val="right"/>
            <w:rPr>
              <w:rFonts w:eastAsiaTheme="minorHAnsi"/>
              <w:color w:val="000000" w:themeColor="text1"/>
              <w:sz w:val="22"/>
              <w:szCs w:val="22"/>
            </w:rPr>
          </w:pPr>
          <w:r w:rsidRPr="00A564E4">
            <w:rPr>
              <w:rFonts w:eastAsiaTheme="minorHAnsi"/>
              <w:i/>
              <w:iCs/>
            </w:rPr>
            <w:t xml:space="preserve">For </w:t>
          </w:r>
          <w:r>
            <w:rPr>
              <w:rFonts w:eastAsiaTheme="minorHAnsi"/>
              <w:i/>
              <w:iCs/>
            </w:rPr>
            <w:t>review</w:t>
          </w:r>
          <w:r w:rsidRPr="00A564E4">
            <w:rPr>
              <w:rFonts w:eastAsiaTheme="minorHAnsi"/>
              <w:i/>
              <w:iCs/>
            </w:rPr>
            <w:t xml:space="preserve"> at the Bangkok meeting, </w:t>
          </w:r>
          <w:r>
            <w:rPr>
              <w:rFonts w:eastAsiaTheme="minorHAnsi"/>
              <w:i/>
              <w:iCs/>
            </w:rPr>
            <w:br/>
          </w:r>
          <w:r w:rsidRPr="00A564E4">
            <w:rPr>
              <w:rFonts w:eastAsiaTheme="minorHAnsi"/>
              <w:i/>
              <w:iCs/>
            </w:rPr>
            <w:t xml:space="preserve">hosted during the Road Safety week, </w:t>
          </w:r>
          <w:r w:rsidRPr="00A564E4">
            <w:rPr>
              <w:rFonts w:eastAsiaTheme="minorHAnsi"/>
              <w:i/>
              <w:iCs/>
            </w:rPr>
            <w:br/>
            <w:t>2-5 June 2025 (ESCAP/UNCC)</w:t>
          </w:r>
          <w:r w:rsidRPr="00A564E4">
            <w:rPr>
              <w:rFonts w:eastAsiaTheme="minorHAnsi"/>
              <w:i/>
              <w:iCs/>
            </w:rPr>
            <w:br/>
          </w:r>
          <w:r w:rsidRPr="00A564E4">
            <w:rPr>
              <w:rFonts w:eastAsiaTheme="minorHAnsi"/>
              <w:b/>
              <w:bCs/>
            </w:rPr>
            <w:t>Provisional agenda item</w:t>
          </w:r>
          <w:r>
            <w:rPr>
              <w:rFonts w:eastAsiaTheme="minorHAnsi"/>
              <w:b/>
              <w:bCs/>
            </w:rPr>
            <w:t xml:space="preserve"> 8(c)</w:t>
          </w:r>
        </w:p>
      </w:tc>
    </w:tr>
  </w:tbl>
  <w:p w14:paraId="49C07EF6" w14:textId="11DCD2A0" w:rsidR="002B03DF" w:rsidRPr="002B03DF" w:rsidRDefault="002B03DF" w:rsidP="002B03DF">
    <w:pPr>
      <w:suppressAutoHyphens w:val="0"/>
      <w:spacing w:after="200" w:line="276" w:lineRule="auto"/>
      <w:jc w:val="right"/>
      <w:rPr>
        <w:rFonts w:eastAsiaTheme="minorHAns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776"/>
        </w:tabs>
        <w:ind w:left="1776"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6"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7" w15:restartNumberingAfterBreak="0">
    <w:nsid w:val="40124411"/>
    <w:multiLevelType w:val="hybridMultilevel"/>
    <w:tmpl w:val="E22090B0"/>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8" w15:restartNumberingAfterBreak="0">
    <w:nsid w:val="4259134A"/>
    <w:multiLevelType w:val="hybridMultilevel"/>
    <w:tmpl w:val="99AE33F0"/>
    <w:lvl w:ilvl="0" w:tplc="07AE2194">
      <w:start w:val="1"/>
      <w:numFmt w:val="decimal"/>
      <w:lvlText w:val="(%1)"/>
      <w:lvlJc w:val="left"/>
      <w:pPr>
        <w:ind w:left="2628" w:hanging="360"/>
      </w:pPr>
      <w:rPr>
        <w:rFonts w:hint="default"/>
        <w:b/>
        <w:color w:val="FF0000"/>
      </w:rPr>
    </w:lvl>
    <w:lvl w:ilvl="1" w:tplc="20000019" w:tentative="1">
      <w:start w:val="1"/>
      <w:numFmt w:val="lowerLetter"/>
      <w:lvlText w:val="%2."/>
      <w:lvlJc w:val="left"/>
      <w:pPr>
        <w:ind w:left="3348" w:hanging="360"/>
      </w:pPr>
    </w:lvl>
    <w:lvl w:ilvl="2" w:tplc="2000001B" w:tentative="1">
      <w:start w:val="1"/>
      <w:numFmt w:val="lowerRoman"/>
      <w:lvlText w:val="%3."/>
      <w:lvlJc w:val="right"/>
      <w:pPr>
        <w:ind w:left="4068" w:hanging="180"/>
      </w:pPr>
    </w:lvl>
    <w:lvl w:ilvl="3" w:tplc="2000000F" w:tentative="1">
      <w:start w:val="1"/>
      <w:numFmt w:val="decimal"/>
      <w:lvlText w:val="%4."/>
      <w:lvlJc w:val="left"/>
      <w:pPr>
        <w:ind w:left="4788" w:hanging="360"/>
      </w:pPr>
    </w:lvl>
    <w:lvl w:ilvl="4" w:tplc="20000019" w:tentative="1">
      <w:start w:val="1"/>
      <w:numFmt w:val="lowerLetter"/>
      <w:lvlText w:val="%5."/>
      <w:lvlJc w:val="left"/>
      <w:pPr>
        <w:ind w:left="5508" w:hanging="360"/>
      </w:pPr>
    </w:lvl>
    <w:lvl w:ilvl="5" w:tplc="2000001B" w:tentative="1">
      <w:start w:val="1"/>
      <w:numFmt w:val="lowerRoman"/>
      <w:lvlText w:val="%6."/>
      <w:lvlJc w:val="right"/>
      <w:pPr>
        <w:ind w:left="6228" w:hanging="180"/>
      </w:pPr>
    </w:lvl>
    <w:lvl w:ilvl="6" w:tplc="2000000F" w:tentative="1">
      <w:start w:val="1"/>
      <w:numFmt w:val="decimal"/>
      <w:lvlText w:val="%7."/>
      <w:lvlJc w:val="left"/>
      <w:pPr>
        <w:ind w:left="6948" w:hanging="360"/>
      </w:pPr>
    </w:lvl>
    <w:lvl w:ilvl="7" w:tplc="20000019" w:tentative="1">
      <w:start w:val="1"/>
      <w:numFmt w:val="lowerLetter"/>
      <w:lvlText w:val="%8."/>
      <w:lvlJc w:val="left"/>
      <w:pPr>
        <w:ind w:left="7668" w:hanging="360"/>
      </w:pPr>
    </w:lvl>
    <w:lvl w:ilvl="8" w:tplc="2000001B" w:tentative="1">
      <w:start w:val="1"/>
      <w:numFmt w:val="lowerRoman"/>
      <w:lvlText w:val="%9."/>
      <w:lvlJc w:val="right"/>
      <w:pPr>
        <w:ind w:left="8388" w:hanging="180"/>
      </w:pPr>
    </w:lvl>
  </w:abstractNum>
  <w:abstractNum w:abstractNumId="19"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num w:numId="1" w16cid:durableId="1653949187">
    <w:abstractNumId w:val="1"/>
  </w:num>
  <w:num w:numId="2" w16cid:durableId="1382631739">
    <w:abstractNumId w:val="0"/>
  </w:num>
  <w:num w:numId="3" w16cid:durableId="888958095">
    <w:abstractNumId w:val="2"/>
  </w:num>
  <w:num w:numId="4" w16cid:durableId="775490718">
    <w:abstractNumId w:val="3"/>
  </w:num>
  <w:num w:numId="5" w16cid:durableId="1671179311">
    <w:abstractNumId w:val="8"/>
  </w:num>
  <w:num w:numId="6" w16cid:durableId="374889009">
    <w:abstractNumId w:val="9"/>
  </w:num>
  <w:num w:numId="7" w16cid:durableId="1818957640">
    <w:abstractNumId w:val="7"/>
  </w:num>
  <w:num w:numId="8" w16cid:durableId="1695495973">
    <w:abstractNumId w:val="6"/>
  </w:num>
  <w:num w:numId="9" w16cid:durableId="226956112">
    <w:abstractNumId w:val="5"/>
  </w:num>
  <w:num w:numId="10" w16cid:durableId="1011879038">
    <w:abstractNumId w:val="4"/>
  </w:num>
  <w:num w:numId="11" w16cid:durableId="360670959">
    <w:abstractNumId w:val="20"/>
  </w:num>
  <w:num w:numId="12" w16cid:durableId="363210280">
    <w:abstractNumId w:val="14"/>
  </w:num>
  <w:num w:numId="13" w16cid:durableId="3870166">
    <w:abstractNumId w:val="12"/>
  </w:num>
  <w:num w:numId="14" w16cid:durableId="193663121">
    <w:abstractNumId w:val="21"/>
  </w:num>
  <w:num w:numId="15" w16cid:durableId="288896961">
    <w:abstractNumId w:val="22"/>
  </w:num>
  <w:num w:numId="16" w16cid:durableId="660474522">
    <w:abstractNumId w:val="19"/>
  </w:num>
  <w:num w:numId="17" w16cid:durableId="1649942746">
    <w:abstractNumId w:val="16"/>
  </w:num>
  <w:num w:numId="18" w16cid:durableId="44448909">
    <w:abstractNumId w:val="23"/>
  </w:num>
  <w:num w:numId="19" w16cid:durableId="2043244649">
    <w:abstractNumId w:val="15"/>
  </w:num>
  <w:num w:numId="20" w16cid:durableId="966164294">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08105969">
    <w:abstractNumId w:val="13"/>
  </w:num>
  <w:num w:numId="22" w16cid:durableId="273752282">
    <w:abstractNumId w:val="11"/>
  </w:num>
  <w:num w:numId="23" w16cid:durableId="445782475">
    <w:abstractNumId w:val="17"/>
  </w:num>
  <w:num w:numId="24" w16cid:durableId="191562854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TT" w:vendorID="64" w:dllVersion="0"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it-IT" w:vendorID="64" w:dllVersion="0" w:nlCheck="1" w:checkStyle="0"/>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en-IN" w:vendorID="64" w:dllVersion="6" w:nlCheck="1" w:checkStyle="1"/>
  <w:activeWritingStyle w:appName="MSWord" w:lang="en-IN" w:vendorID="64" w:dllVersion="0" w:nlCheck="1" w:checkStyle="0"/>
  <w:activeWritingStyle w:appName="MSWord" w:lang="de-DE"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09B3"/>
    <w:rsid w:val="00000EA5"/>
    <w:rsid w:val="0000561F"/>
    <w:rsid w:val="0000693F"/>
    <w:rsid w:val="00007F70"/>
    <w:rsid w:val="00010BFF"/>
    <w:rsid w:val="00011435"/>
    <w:rsid w:val="00013CF3"/>
    <w:rsid w:val="0001409C"/>
    <w:rsid w:val="00015970"/>
    <w:rsid w:val="000163B0"/>
    <w:rsid w:val="00020749"/>
    <w:rsid w:val="00020CA9"/>
    <w:rsid w:val="00021139"/>
    <w:rsid w:val="000231DE"/>
    <w:rsid w:val="00027A4E"/>
    <w:rsid w:val="00031F3E"/>
    <w:rsid w:val="00032E80"/>
    <w:rsid w:val="00034E9C"/>
    <w:rsid w:val="0003521E"/>
    <w:rsid w:val="0004122D"/>
    <w:rsid w:val="0004409F"/>
    <w:rsid w:val="00044F32"/>
    <w:rsid w:val="00044F74"/>
    <w:rsid w:val="000450F6"/>
    <w:rsid w:val="00046B1F"/>
    <w:rsid w:val="00050F6B"/>
    <w:rsid w:val="000518E6"/>
    <w:rsid w:val="00052635"/>
    <w:rsid w:val="000531FA"/>
    <w:rsid w:val="00053F55"/>
    <w:rsid w:val="00055843"/>
    <w:rsid w:val="000559B9"/>
    <w:rsid w:val="00055B2C"/>
    <w:rsid w:val="00056918"/>
    <w:rsid w:val="00057AE0"/>
    <w:rsid w:val="00057E97"/>
    <w:rsid w:val="00063F6F"/>
    <w:rsid w:val="000646F4"/>
    <w:rsid w:val="000649A9"/>
    <w:rsid w:val="00067A1F"/>
    <w:rsid w:val="00072C8C"/>
    <w:rsid w:val="00073371"/>
    <w:rsid w:val="000733B5"/>
    <w:rsid w:val="000766FF"/>
    <w:rsid w:val="00081815"/>
    <w:rsid w:val="00082C8A"/>
    <w:rsid w:val="00084FBD"/>
    <w:rsid w:val="00087892"/>
    <w:rsid w:val="00087F31"/>
    <w:rsid w:val="00091CB0"/>
    <w:rsid w:val="000931C0"/>
    <w:rsid w:val="000944F0"/>
    <w:rsid w:val="000A0BEC"/>
    <w:rsid w:val="000A312F"/>
    <w:rsid w:val="000A6499"/>
    <w:rsid w:val="000B0595"/>
    <w:rsid w:val="000B175B"/>
    <w:rsid w:val="000B1DF1"/>
    <w:rsid w:val="000B2BA4"/>
    <w:rsid w:val="000B2F02"/>
    <w:rsid w:val="000B3A0F"/>
    <w:rsid w:val="000B4EF7"/>
    <w:rsid w:val="000C1C1F"/>
    <w:rsid w:val="000C2C03"/>
    <w:rsid w:val="000C2D2E"/>
    <w:rsid w:val="000D56EA"/>
    <w:rsid w:val="000D5C12"/>
    <w:rsid w:val="000D6F43"/>
    <w:rsid w:val="000E0415"/>
    <w:rsid w:val="000E37CD"/>
    <w:rsid w:val="000E3B1C"/>
    <w:rsid w:val="000E4D5E"/>
    <w:rsid w:val="000E5416"/>
    <w:rsid w:val="000E574E"/>
    <w:rsid w:val="000E7EA5"/>
    <w:rsid w:val="000F0F2D"/>
    <w:rsid w:val="000F3A93"/>
    <w:rsid w:val="000F58EC"/>
    <w:rsid w:val="000F6672"/>
    <w:rsid w:val="000F71A0"/>
    <w:rsid w:val="001004CC"/>
    <w:rsid w:val="001029E4"/>
    <w:rsid w:val="00104A10"/>
    <w:rsid w:val="00107548"/>
    <w:rsid w:val="001103AA"/>
    <w:rsid w:val="00111108"/>
    <w:rsid w:val="0011149E"/>
    <w:rsid w:val="001129E4"/>
    <w:rsid w:val="001132C7"/>
    <w:rsid w:val="0011332D"/>
    <w:rsid w:val="0011666B"/>
    <w:rsid w:val="001207D2"/>
    <w:rsid w:val="0012518D"/>
    <w:rsid w:val="00126B8D"/>
    <w:rsid w:val="0013415F"/>
    <w:rsid w:val="001373C9"/>
    <w:rsid w:val="001406BB"/>
    <w:rsid w:val="001411DF"/>
    <w:rsid w:val="00143572"/>
    <w:rsid w:val="00146452"/>
    <w:rsid w:val="0015220F"/>
    <w:rsid w:val="001522E3"/>
    <w:rsid w:val="0015497E"/>
    <w:rsid w:val="0015567A"/>
    <w:rsid w:val="001572B8"/>
    <w:rsid w:val="0016231A"/>
    <w:rsid w:val="00162F0F"/>
    <w:rsid w:val="0016422E"/>
    <w:rsid w:val="00165052"/>
    <w:rsid w:val="001656C2"/>
    <w:rsid w:val="00165F3A"/>
    <w:rsid w:val="001661E4"/>
    <w:rsid w:val="0017184A"/>
    <w:rsid w:val="00172128"/>
    <w:rsid w:val="001721BD"/>
    <w:rsid w:val="00176195"/>
    <w:rsid w:val="00177B8A"/>
    <w:rsid w:val="00182290"/>
    <w:rsid w:val="00182934"/>
    <w:rsid w:val="0018395F"/>
    <w:rsid w:val="00184A31"/>
    <w:rsid w:val="001850C4"/>
    <w:rsid w:val="0018698C"/>
    <w:rsid w:val="001869D2"/>
    <w:rsid w:val="001929E4"/>
    <w:rsid w:val="00194A3E"/>
    <w:rsid w:val="00194ADE"/>
    <w:rsid w:val="00195C04"/>
    <w:rsid w:val="00196542"/>
    <w:rsid w:val="001A142C"/>
    <w:rsid w:val="001A3955"/>
    <w:rsid w:val="001A5484"/>
    <w:rsid w:val="001A5ED5"/>
    <w:rsid w:val="001A5EF3"/>
    <w:rsid w:val="001B2A44"/>
    <w:rsid w:val="001B3FEB"/>
    <w:rsid w:val="001B4B04"/>
    <w:rsid w:val="001C0CC0"/>
    <w:rsid w:val="001C1933"/>
    <w:rsid w:val="001C1CCF"/>
    <w:rsid w:val="001C5018"/>
    <w:rsid w:val="001C6460"/>
    <w:rsid w:val="001C6663"/>
    <w:rsid w:val="001C745A"/>
    <w:rsid w:val="001C7649"/>
    <w:rsid w:val="001C7895"/>
    <w:rsid w:val="001D0C8C"/>
    <w:rsid w:val="001D0D73"/>
    <w:rsid w:val="001D1419"/>
    <w:rsid w:val="001D15B0"/>
    <w:rsid w:val="001D26DF"/>
    <w:rsid w:val="001D3A03"/>
    <w:rsid w:val="001D58C9"/>
    <w:rsid w:val="001E0AAE"/>
    <w:rsid w:val="001E35CD"/>
    <w:rsid w:val="001E6622"/>
    <w:rsid w:val="001E7B67"/>
    <w:rsid w:val="001E7B91"/>
    <w:rsid w:val="001F0200"/>
    <w:rsid w:val="001F1027"/>
    <w:rsid w:val="001F1CC3"/>
    <w:rsid w:val="001F1E5E"/>
    <w:rsid w:val="001F3741"/>
    <w:rsid w:val="001F3936"/>
    <w:rsid w:val="001F3A9B"/>
    <w:rsid w:val="0020236B"/>
    <w:rsid w:val="00202DA8"/>
    <w:rsid w:val="00203D58"/>
    <w:rsid w:val="00207531"/>
    <w:rsid w:val="00211E0B"/>
    <w:rsid w:val="0021347B"/>
    <w:rsid w:val="0021382F"/>
    <w:rsid w:val="00215080"/>
    <w:rsid w:val="00217546"/>
    <w:rsid w:val="00220BFE"/>
    <w:rsid w:val="0022278B"/>
    <w:rsid w:val="00236C43"/>
    <w:rsid w:val="00240C8D"/>
    <w:rsid w:val="002440B4"/>
    <w:rsid w:val="00244B62"/>
    <w:rsid w:val="002471CE"/>
    <w:rsid w:val="00247448"/>
    <w:rsid w:val="0024772E"/>
    <w:rsid w:val="00247F8D"/>
    <w:rsid w:val="00250400"/>
    <w:rsid w:val="002532BE"/>
    <w:rsid w:val="0025517A"/>
    <w:rsid w:val="002563F7"/>
    <w:rsid w:val="002624D1"/>
    <w:rsid w:val="00262CC9"/>
    <w:rsid w:val="00266FAF"/>
    <w:rsid w:val="0026758A"/>
    <w:rsid w:val="00267F5F"/>
    <w:rsid w:val="00270F51"/>
    <w:rsid w:val="0027314D"/>
    <w:rsid w:val="00276332"/>
    <w:rsid w:val="00280523"/>
    <w:rsid w:val="0028396F"/>
    <w:rsid w:val="00283F5B"/>
    <w:rsid w:val="00284202"/>
    <w:rsid w:val="002852B0"/>
    <w:rsid w:val="00286032"/>
    <w:rsid w:val="00286B4D"/>
    <w:rsid w:val="00290281"/>
    <w:rsid w:val="00291B34"/>
    <w:rsid w:val="00296B5D"/>
    <w:rsid w:val="002A09F3"/>
    <w:rsid w:val="002A598C"/>
    <w:rsid w:val="002B03DF"/>
    <w:rsid w:val="002B19E4"/>
    <w:rsid w:val="002B5B9E"/>
    <w:rsid w:val="002B5DFC"/>
    <w:rsid w:val="002B619C"/>
    <w:rsid w:val="002C17EE"/>
    <w:rsid w:val="002C27BE"/>
    <w:rsid w:val="002C7965"/>
    <w:rsid w:val="002D4643"/>
    <w:rsid w:val="002D6FAB"/>
    <w:rsid w:val="002E0D38"/>
    <w:rsid w:val="002E35F4"/>
    <w:rsid w:val="002E4584"/>
    <w:rsid w:val="002E4AF3"/>
    <w:rsid w:val="002E5681"/>
    <w:rsid w:val="002E5B03"/>
    <w:rsid w:val="002E5F07"/>
    <w:rsid w:val="002E76AB"/>
    <w:rsid w:val="002F175C"/>
    <w:rsid w:val="002F45DB"/>
    <w:rsid w:val="002F4E90"/>
    <w:rsid w:val="002F5A62"/>
    <w:rsid w:val="002F7DE0"/>
    <w:rsid w:val="0030212B"/>
    <w:rsid w:val="003025C4"/>
    <w:rsid w:val="00302E18"/>
    <w:rsid w:val="00304201"/>
    <w:rsid w:val="00304323"/>
    <w:rsid w:val="0030436E"/>
    <w:rsid w:val="00306FDD"/>
    <w:rsid w:val="00307223"/>
    <w:rsid w:val="00310650"/>
    <w:rsid w:val="0031068E"/>
    <w:rsid w:val="00312DDF"/>
    <w:rsid w:val="0031347B"/>
    <w:rsid w:val="00313CB2"/>
    <w:rsid w:val="00314622"/>
    <w:rsid w:val="003156AB"/>
    <w:rsid w:val="003207FC"/>
    <w:rsid w:val="003229D8"/>
    <w:rsid w:val="00325C70"/>
    <w:rsid w:val="00325F13"/>
    <w:rsid w:val="00326A91"/>
    <w:rsid w:val="00327F25"/>
    <w:rsid w:val="00331D7D"/>
    <w:rsid w:val="00331F22"/>
    <w:rsid w:val="00333C2F"/>
    <w:rsid w:val="00336B91"/>
    <w:rsid w:val="003370BA"/>
    <w:rsid w:val="00344649"/>
    <w:rsid w:val="0035122C"/>
    <w:rsid w:val="00352709"/>
    <w:rsid w:val="00357666"/>
    <w:rsid w:val="00357AE9"/>
    <w:rsid w:val="003611B0"/>
    <w:rsid w:val="003619B5"/>
    <w:rsid w:val="00361AC3"/>
    <w:rsid w:val="003637C8"/>
    <w:rsid w:val="0036458E"/>
    <w:rsid w:val="003648E8"/>
    <w:rsid w:val="00364B70"/>
    <w:rsid w:val="00365477"/>
    <w:rsid w:val="00365763"/>
    <w:rsid w:val="00366D6D"/>
    <w:rsid w:val="00371178"/>
    <w:rsid w:val="003760D4"/>
    <w:rsid w:val="00380FE4"/>
    <w:rsid w:val="00382335"/>
    <w:rsid w:val="00382677"/>
    <w:rsid w:val="003829CD"/>
    <w:rsid w:val="003839F4"/>
    <w:rsid w:val="00385170"/>
    <w:rsid w:val="00385241"/>
    <w:rsid w:val="00385558"/>
    <w:rsid w:val="003863D8"/>
    <w:rsid w:val="00390025"/>
    <w:rsid w:val="00392E47"/>
    <w:rsid w:val="00393204"/>
    <w:rsid w:val="00393237"/>
    <w:rsid w:val="0039508E"/>
    <w:rsid w:val="003A027E"/>
    <w:rsid w:val="003A641A"/>
    <w:rsid w:val="003A6810"/>
    <w:rsid w:val="003B18E2"/>
    <w:rsid w:val="003B1950"/>
    <w:rsid w:val="003B1F6F"/>
    <w:rsid w:val="003B2090"/>
    <w:rsid w:val="003B2942"/>
    <w:rsid w:val="003B3CB9"/>
    <w:rsid w:val="003B3EF4"/>
    <w:rsid w:val="003C2CC4"/>
    <w:rsid w:val="003C47DE"/>
    <w:rsid w:val="003C534D"/>
    <w:rsid w:val="003C7EDA"/>
    <w:rsid w:val="003D09DC"/>
    <w:rsid w:val="003D1180"/>
    <w:rsid w:val="003D4B23"/>
    <w:rsid w:val="003D5AD6"/>
    <w:rsid w:val="003D76F5"/>
    <w:rsid w:val="003E130E"/>
    <w:rsid w:val="003E1895"/>
    <w:rsid w:val="003E4501"/>
    <w:rsid w:val="003E6C50"/>
    <w:rsid w:val="003E70A7"/>
    <w:rsid w:val="003E726E"/>
    <w:rsid w:val="003F444C"/>
    <w:rsid w:val="003F67A7"/>
    <w:rsid w:val="003F7B1C"/>
    <w:rsid w:val="004004B2"/>
    <w:rsid w:val="00401B0C"/>
    <w:rsid w:val="00404016"/>
    <w:rsid w:val="00404283"/>
    <w:rsid w:val="00404330"/>
    <w:rsid w:val="00405D7F"/>
    <w:rsid w:val="00410C89"/>
    <w:rsid w:val="00410FE2"/>
    <w:rsid w:val="00413320"/>
    <w:rsid w:val="00413815"/>
    <w:rsid w:val="00414BC4"/>
    <w:rsid w:val="004157A9"/>
    <w:rsid w:val="0041781E"/>
    <w:rsid w:val="0041797D"/>
    <w:rsid w:val="00422E03"/>
    <w:rsid w:val="004236E2"/>
    <w:rsid w:val="00423B1B"/>
    <w:rsid w:val="00425D06"/>
    <w:rsid w:val="00426B9B"/>
    <w:rsid w:val="00431F61"/>
    <w:rsid w:val="00432093"/>
    <w:rsid w:val="004325CB"/>
    <w:rsid w:val="0043272C"/>
    <w:rsid w:val="00433AE7"/>
    <w:rsid w:val="00435E35"/>
    <w:rsid w:val="004365E1"/>
    <w:rsid w:val="0044174D"/>
    <w:rsid w:val="00442A83"/>
    <w:rsid w:val="00442DE9"/>
    <w:rsid w:val="00444CDE"/>
    <w:rsid w:val="00445B47"/>
    <w:rsid w:val="0044769A"/>
    <w:rsid w:val="00447EBB"/>
    <w:rsid w:val="00451CA2"/>
    <w:rsid w:val="004546C1"/>
    <w:rsid w:val="0045495B"/>
    <w:rsid w:val="004561E5"/>
    <w:rsid w:val="004572EA"/>
    <w:rsid w:val="004612B2"/>
    <w:rsid w:val="00465F23"/>
    <w:rsid w:val="00466432"/>
    <w:rsid w:val="0047030A"/>
    <w:rsid w:val="00470C36"/>
    <w:rsid w:val="00471A29"/>
    <w:rsid w:val="004724AB"/>
    <w:rsid w:val="0047469B"/>
    <w:rsid w:val="00476209"/>
    <w:rsid w:val="00477329"/>
    <w:rsid w:val="00477E5B"/>
    <w:rsid w:val="00481335"/>
    <w:rsid w:val="0048397A"/>
    <w:rsid w:val="00485CBB"/>
    <w:rsid w:val="004866B7"/>
    <w:rsid w:val="00486877"/>
    <w:rsid w:val="004871B5"/>
    <w:rsid w:val="004931A5"/>
    <w:rsid w:val="00493389"/>
    <w:rsid w:val="00493F84"/>
    <w:rsid w:val="00497A64"/>
    <w:rsid w:val="004A46BA"/>
    <w:rsid w:val="004A5973"/>
    <w:rsid w:val="004A5CEB"/>
    <w:rsid w:val="004A6ED7"/>
    <w:rsid w:val="004A7C8D"/>
    <w:rsid w:val="004B581C"/>
    <w:rsid w:val="004B7D36"/>
    <w:rsid w:val="004C0DEB"/>
    <w:rsid w:val="004C154E"/>
    <w:rsid w:val="004C1F6B"/>
    <w:rsid w:val="004C2461"/>
    <w:rsid w:val="004C4433"/>
    <w:rsid w:val="004C7462"/>
    <w:rsid w:val="004D02D0"/>
    <w:rsid w:val="004D615B"/>
    <w:rsid w:val="004E103D"/>
    <w:rsid w:val="004E2BDB"/>
    <w:rsid w:val="004E56C4"/>
    <w:rsid w:val="004E5709"/>
    <w:rsid w:val="004E6022"/>
    <w:rsid w:val="004E6CD9"/>
    <w:rsid w:val="004E77B2"/>
    <w:rsid w:val="004F098C"/>
    <w:rsid w:val="00504B2D"/>
    <w:rsid w:val="005054CD"/>
    <w:rsid w:val="0050607A"/>
    <w:rsid w:val="00510195"/>
    <w:rsid w:val="005122B4"/>
    <w:rsid w:val="00513472"/>
    <w:rsid w:val="005141F7"/>
    <w:rsid w:val="005144EA"/>
    <w:rsid w:val="00515F5E"/>
    <w:rsid w:val="0052136D"/>
    <w:rsid w:val="005219A4"/>
    <w:rsid w:val="005248FF"/>
    <w:rsid w:val="00525596"/>
    <w:rsid w:val="005261DB"/>
    <w:rsid w:val="0052775E"/>
    <w:rsid w:val="005308FA"/>
    <w:rsid w:val="00532630"/>
    <w:rsid w:val="00534A30"/>
    <w:rsid w:val="0053794A"/>
    <w:rsid w:val="005420F2"/>
    <w:rsid w:val="0054244D"/>
    <w:rsid w:val="005426D1"/>
    <w:rsid w:val="005436C6"/>
    <w:rsid w:val="005444DC"/>
    <w:rsid w:val="00544BA7"/>
    <w:rsid w:val="00545D2C"/>
    <w:rsid w:val="00551C90"/>
    <w:rsid w:val="0055292C"/>
    <w:rsid w:val="005529B7"/>
    <w:rsid w:val="00552C3D"/>
    <w:rsid w:val="005536BD"/>
    <w:rsid w:val="005548F6"/>
    <w:rsid w:val="005551E7"/>
    <w:rsid w:val="00556536"/>
    <w:rsid w:val="00557897"/>
    <w:rsid w:val="0056209A"/>
    <w:rsid w:val="005628B6"/>
    <w:rsid w:val="0056423E"/>
    <w:rsid w:val="0056586F"/>
    <w:rsid w:val="00566A6F"/>
    <w:rsid w:val="00566E36"/>
    <w:rsid w:val="00570267"/>
    <w:rsid w:val="00570296"/>
    <w:rsid w:val="00576ECF"/>
    <w:rsid w:val="0058050F"/>
    <w:rsid w:val="005815C6"/>
    <w:rsid w:val="005824E6"/>
    <w:rsid w:val="00590107"/>
    <w:rsid w:val="00590C94"/>
    <w:rsid w:val="005941EC"/>
    <w:rsid w:val="0059724D"/>
    <w:rsid w:val="00597F29"/>
    <w:rsid w:val="005A222D"/>
    <w:rsid w:val="005A4E59"/>
    <w:rsid w:val="005A69CE"/>
    <w:rsid w:val="005B04A0"/>
    <w:rsid w:val="005B320C"/>
    <w:rsid w:val="005B3DB3"/>
    <w:rsid w:val="005B48A4"/>
    <w:rsid w:val="005B4E13"/>
    <w:rsid w:val="005C1A88"/>
    <w:rsid w:val="005C1A99"/>
    <w:rsid w:val="005C342F"/>
    <w:rsid w:val="005C4E03"/>
    <w:rsid w:val="005C7651"/>
    <w:rsid w:val="005C7D1E"/>
    <w:rsid w:val="005C7E66"/>
    <w:rsid w:val="005D386F"/>
    <w:rsid w:val="005D5CBA"/>
    <w:rsid w:val="005D61D8"/>
    <w:rsid w:val="005E09D4"/>
    <w:rsid w:val="005E0E83"/>
    <w:rsid w:val="005E2446"/>
    <w:rsid w:val="005E6809"/>
    <w:rsid w:val="005F206A"/>
    <w:rsid w:val="005F4045"/>
    <w:rsid w:val="005F4D40"/>
    <w:rsid w:val="005F5A26"/>
    <w:rsid w:val="005F7B75"/>
    <w:rsid w:val="006001EE"/>
    <w:rsid w:val="00602FB6"/>
    <w:rsid w:val="00605042"/>
    <w:rsid w:val="00606AD8"/>
    <w:rsid w:val="00610EFB"/>
    <w:rsid w:val="00611FC4"/>
    <w:rsid w:val="00612D69"/>
    <w:rsid w:val="006176FB"/>
    <w:rsid w:val="00620A11"/>
    <w:rsid w:val="0062157B"/>
    <w:rsid w:val="0062348C"/>
    <w:rsid w:val="00627C00"/>
    <w:rsid w:val="00631266"/>
    <w:rsid w:val="0063294B"/>
    <w:rsid w:val="00632E7E"/>
    <w:rsid w:val="00633954"/>
    <w:rsid w:val="00640B26"/>
    <w:rsid w:val="00640BE5"/>
    <w:rsid w:val="0064123D"/>
    <w:rsid w:val="006433EE"/>
    <w:rsid w:val="0064477D"/>
    <w:rsid w:val="00644A39"/>
    <w:rsid w:val="00647727"/>
    <w:rsid w:val="00652D0A"/>
    <w:rsid w:val="00655665"/>
    <w:rsid w:val="00655949"/>
    <w:rsid w:val="00656E1F"/>
    <w:rsid w:val="00661088"/>
    <w:rsid w:val="00662364"/>
    <w:rsid w:val="00662BB6"/>
    <w:rsid w:val="00667633"/>
    <w:rsid w:val="00671B51"/>
    <w:rsid w:val="00671B8F"/>
    <w:rsid w:val="0067362F"/>
    <w:rsid w:val="00676606"/>
    <w:rsid w:val="006772BD"/>
    <w:rsid w:val="00680A2C"/>
    <w:rsid w:val="00681C88"/>
    <w:rsid w:val="00682422"/>
    <w:rsid w:val="00683334"/>
    <w:rsid w:val="006841D6"/>
    <w:rsid w:val="00684C21"/>
    <w:rsid w:val="00685956"/>
    <w:rsid w:val="00686885"/>
    <w:rsid w:val="00687948"/>
    <w:rsid w:val="00687FE8"/>
    <w:rsid w:val="0069025B"/>
    <w:rsid w:val="00690AD5"/>
    <w:rsid w:val="0069365A"/>
    <w:rsid w:val="00694181"/>
    <w:rsid w:val="0069512A"/>
    <w:rsid w:val="006969A5"/>
    <w:rsid w:val="00696CDC"/>
    <w:rsid w:val="006A1CFD"/>
    <w:rsid w:val="006A2530"/>
    <w:rsid w:val="006A3B40"/>
    <w:rsid w:val="006A5306"/>
    <w:rsid w:val="006B6E1D"/>
    <w:rsid w:val="006C3589"/>
    <w:rsid w:val="006C46C4"/>
    <w:rsid w:val="006C4776"/>
    <w:rsid w:val="006C533A"/>
    <w:rsid w:val="006C5D2F"/>
    <w:rsid w:val="006D140B"/>
    <w:rsid w:val="006D1700"/>
    <w:rsid w:val="006D2108"/>
    <w:rsid w:val="006D3334"/>
    <w:rsid w:val="006D37AF"/>
    <w:rsid w:val="006D51D0"/>
    <w:rsid w:val="006D5FB9"/>
    <w:rsid w:val="006D658E"/>
    <w:rsid w:val="006E1A85"/>
    <w:rsid w:val="006E291A"/>
    <w:rsid w:val="006E2981"/>
    <w:rsid w:val="006E530E"/>
    <w:rsid w:val="006E564B"/>
    <w:rsid w:val="006E7191"/>
    <w:rsid w:val="006F0053"/>
    <w:rsid w:val="006F3603"/>
    <w:rsid w:val="006F6666"/>
    <w:rsid w:val="006F7487"/>
    <w:rsid w:val="006F77FD"/>
    <w:rsid w:val="007005CC"/>
    <w:rsid w:val="0070337D"/>
    <w:rsid w:val="00703577"/>
    <w:rsid w:val="00703697"/>
    <w:rsid w:val="00703725"/>
    <w:rsid w:val="007053AC"/>
    <w:rsid w:val="00705894"/>
    <w:rsid w:val="00707AE7"/>
    <w:rsid w:val="007104D3"/>
    <w:rsid w:val="00710B46"/>
    <w:rsid w:val="00710B7E"/>
    <w:rsid w:val="00711196"/>
    <w:rsid w:val="00711DFF"/>
    <w:rsid w:val="0071416B"/>
    <w:rsid w:val="00714A6E"/>
    <w:rsid w:val="00715499"/>
    <w:rsid w:val="00716BAD"/>
    <w:rsid w:val="00720536"/>
    <w:rsid w:val="00720B03"/>
    <w:rsid w:val="00721E78"/>
    <w:rsid w:val="007220BA"/>
    <w:rsid w:val="00725824"/>
    <w:rsid w:val="0072632A"/>
    <w:rsid w:val="0072654E"/>
    <w:rsid w:val="007269EA"/>
    <w:rsid w:val="00730CAC"/>
    <w:rsid w:val="00731FBA"/>
    <w:rsid w:val="007327D5"/>
    <w:rsid w:val="00732FC5"/>
    <w:rsid w:val="00733B81"/>
    <w:rsid w:val="00734FED"/>
    <w:rsid w:val="00736C66"/>
    <w:rsid w:val="007374C7"/>
    <w:rsid w:val="0073798C"/>
    <w:rsid w:val="00741DAB"/>
    <w:rsid w:val="00742EFD"/>
    <w:rsid w:val="00744A64"/>
    <w:rsid w:val="00744E1D"/>
    <w:rsid w:val="00751F2D"/>
    <w:rsid w:val="007571DD"/>
    <w:rsid w:val="007572BF"/>
    <w:rsid w:val="00761B1A"/>
    <w:rsid w:val="00761F78"/>
    <w:rsid w:val="007629C8"/>
    <w:rsid w:val="0076499B"/>
    <w:rsid w:val="00765FE0"/>
    <w:rsid w:val="00766478"/>
    <w:rsid w:val="00766920"/>
    <w:rsid w:val="0077047D"/>
    <w:rsid w:val="007808D3"/>
    <w:rsid w:val="0078112B"/>
    <w:rsid w:val="00783D7E"/>
    <w:rsid w:val="0078436A"/>
    <w:rsid w:val="007856CF"/>
    <w:rsid w:val="007862CF"/>
    <w:rsid w:val="00786C10"/>
    <w:rsid w:val="007941A9"/>
    <w:rsid w:val="007A28B3"/>
    <w:rsid w:val="007A3646"/>
    <w:rsid w:val="007A7669"/>
    <w:rsid w:val="007A789B"/>
    <w:rsid w:val="007B6BA5"/>
    <w:rsid w:val="007B7F20"/>
    <w:rsid w:val="007C3390"/>
    <w:rsid w:val="007C3FC8"/>
    <w:rsid w:val="007C4F4B"/>
    <w:rsid w:val="007C5F20"/>
    <w:rsid w:val="007C733C"/>
    <w:rsid w:val="007C7944"/>
    <w:rsid w:val="007D0510"/>
    <w:rsid w:val="007D45C4"/>
    <w:rsid w:val="007D7231"/>
    <w:rsid w:val="007E01E9"/>
    <w:rsid w:val="007E129A"/>
    <w:rsid w:val="007E1CC2"/>
    <w:rsid w:val="007E2005"/>
    <w:rsid w:val="007E2D33"/>
    <w:rsid w:val="007E4540"/>
    <w:rsid w:val="007E568F"/>
    <w:rsid w:val="007E63F3"/>
    <w:rsid w:val="007F00DD"/>
    <w:rsid w:val="007F255D"/>
    <w:rsid w:val="007F3821"/>
    <w:rsid w:val="007F52B8"/>
    <w:rsid w:val="007F6611"/>
    <w:rsid w:val="00800FFB"/>
    <w:rsid w:val="00803A40"/>
    <w:rsid w:val="00805276"/>
    <w:rsid w:val="008057EE"/>
    <w:rsid w:val="0080733D"/>
    <w:rsid w:val="00810A6A"/>
    <w:rsid w:val="00811920"/>
    <w:rsid w:val="0081592B"/>
    <w:rsid w:val="00815AD0"/>
    <w:rsid w:val="00815EDB"/>
    <w:rsid w:val="00816FE2"/>
    <w:rsid w:val="0082239C"/>
    <w:rsid w:val="008242D7"/>
    <w:rsid w:val="008257B1"/>
    <w:rsid w:val="00832334"/>
    <w:rsid w:val="00832BB6"/>
    <w:rsid w:val="0083685C"/>
    <w:rsid w:val="00841690"/>
    <w:rsid w:val="00841840"/>
    <w:rsid w:val="00843767"/>
    <w:rsid w:val="0084410C"/>
    <w:rsid w:val="008521F2"/>
    <w:rsid w:val="00852532"/>
    <w:rsid w:val="00857041"/>
    <w:rsid w:val="008679D9"/>
    <w:rsid w:val="00870586"/>
    <w:rsid w:val="00871BE6"/>
    <w:rsid w:val="0087205C"/>
    <w:rsid w:val="0087369D"/>
    <w:rsid w:val="00875003"/>
    <w:rsid w:val="008752E1"/>
    <w:rsid w:val="0088071A"/>
    <w:rsid w:val="00881990"/>
    <w:rsid w:val="00882CCD"/>
    <w:rsid w:val="0088344D"/>
    <w:rsid w:val="00883522"/>
    <w:rsid w:val="008878DE"/>
    <w:rsid w:val="00891F15"/>
    <w:rsid w:val="008922CA"/>
    <w:rsid w:val="00892739"/>
    <w:rsid w:val="00893C31"/>
    <w:rsid w:val="00896110"/>
    <w:rsid w:val="00896988"/>
    <w:rsid w:val="008979B1"/>
    <w:rsid w:val="008A1ED5"/>
    <w:rsid w:val="008A35D5"/>
    <w:rsid w:val="008A3F0F"/>
    <w:rsid w:val="008A6B25"/>
    <w:rsid w:val="008A6C4F"/>
    <w:rsid w:val="008B2335"/>
    <w:rsid w:val="008B2E36"/>
    <w:rsid w:val="008B3AC3"/>
    <w:rsid w:val="008B60AE"/>
    <w:rsid w:val="008C0614"/>
    <w:rsid w:val="008C1D2D"/>
    <w:rsid w:val="008C3D75"/>
    <w:rsid w:val="008C6A46"/>
    <w:rsid w:val="008D06D2"/>
    <w:rsid w:val="008D0E8A"/>
    <w:rsid w:val="008D4655"/>
    <w:rsid w:val="008D6E6B"/>
    <w:rsid w:val="008E01D4"/>
    <w:rsid w:val="008E0678"/>
    <w:rsid w:val="008E2A2B"/>
    <w:rsid w:val="008E72A2"/>
    <w:rsid w:val="008F31D2"/>
    <w:rsid w:val="008F3236"/>
    <w:rsid w:val="008F6AB2"/>
    <w:rsid w:val="00900152"/>
    <w:rsid w:val="00900DFC"/>
    <w:rsid w:val="00906AFB"/>
    <w:rsid w:val="0091318A"/>
    <w:rsid w:val="009143FD"/>
    <w:rsid w:val="00915EF6"/>
    <w:rsid w:val="009178DB"/>
    <w:rsid w:val="00917C48"/>
    <w:rsid w:val="00921B9F"/>
    <w:rsid w:val="009223CA"/>
    <w:rsid w:val="00922987"/>
    <w:rsid w:val="00923BBF"/>
    <w:rsid w:val="0092523C"/>
    <w:rsid w:val="0092555B"/>
    <w:rsid w:val="00925604"/>
    <w:rsid w:val="00930560"/>
    <w:rsid w:val="00930779"/>
    <w:rsid w:val="00930F85"/>
    <w:rsid w:val="009311E7"/>
    <w:rsid w:val="00933912"/>
    <w:rsid w:val="0093745E"/>
    <w:rsid w:val="00940F93"/>
    <w:rsid w:val="00941ABE"/>
    <w:rsid w:val="009429EE"/>
    <w:rsid w:val="00943CF0"/>
    <w:rsid w:val="009444B5"/>
    <w:rsid w:val="0094467E"/>
    <w:rsid w:val="009448C3"/>
    <w:rsid w:val="009456C7"/>
    <w:rsid w:val="00945F3F"/>
    <w:rsid w:val="00950CAA"/>
    <w:rsid w:val="009523A3"/>
    <w:rsid w:val="00953DD1"/>
    <w:rsid w:val="00954000"/>
    <w:rsid w:val="00955913"/>
    <w:rsid w:val="0096356B"/>
    <w:rsid w:val="00964B00"/>
    <w:rsid w:val="00971086"/>
    <w:rsid w:val="00973463"/>
    <w:rsid w:val="00974A0C"/>
    <w:rsid w:val="00975C12"/>
    <w:rsid w:val="009760F3"/>
    <w:rsid w:val="00976CFB"/>
    <w:rsid w:val="00980239"/>
    <w:rsid w:val="0098714D"/>
    <w:rsid w:val="009873AF"/>
    <w:rsid w:val="009908C6"/>
    <w:rsid w:val="00991608"/>
    <w:rsid w:val="00991BCC"/>
    <w:rsid w:val="00991E47"/>
    <w:rsid w:val="00993C33"/>
    <w:rsid w:val="009940B2"/>
    <w:rsid w:val="009967FC"/>
    <w:rsid w:val="009A007C"/>
    <w:rsid w:val="009A0830"/>
    <w:rsid w:val="009A0E8D"/>
    <w:rsid w:val="009A3168"/>
    <w:rsid w:val="009A5164"/>
    <w:rsid w:val="009A6772"/>
    <w:rsid w:val="009B26E7"/>
    <w:rsid w:val="009B283B"/>
    <w:rsid w:val="009B5B02"/>
    <w:rsid w:val="009B64BB"/>
    <w:rsid w:val="009C0D49"/>
    <w:rsid w:val="009C300D"/>
    <w:rsid w:val="009C46BD"/>
    <w:rsid w:val="009C7CDB"/>
    <w:rsid w:val="009D2100"/>
    <w:rsid w:val="009D393C"/>
    <w:rsid w:val="009E29DB"/>
    <w:rsid w:val="009E2A25"/>
    <w:rsid w:val="009E38A4"/>
    <w:rsid w:val="009E45DD"/>
    <w:rsid w:val="009E70C6"/>
    <w:rsid w:val="009F0384"/>
    <w:rsid w:val="009F1104"/>
    <w:rsid w:val="009F24C5"/>
    <w:rsid w:val="009F3A6F"/>
    <w:rsid w:val="009F3CDF"/>
    <w:rsid w:val="009F4CC5"/>
    <w:rsid w:val="009F5D57"/>
    <w:rsid w:val="00A00697"/>
    <w:rsid w:val="00A00768"/>
    <w:rsid w:val="00A00A3F"/>
    <w:rsid w:val="00A01136"/>
    <w:rsid w:val="00A01489"/>
    <w:rsid w:val="00A03327"/>
    <w:rsid w:val="00A03E19"/>
    <w:rsid w:val="00A052E0"/>
    <w:rsid w:val="00A062D2"/>
    <w:rsid w:val="00A10940"/>
    <w:rsid w:val="00A12A75"/>
    <w:rsid w:val="00A130B1"/>
    <w:rsid w:val="00A14BCA"/>
    <w:rsid w:val="00A153F6"/>
    <w:rsid w:val="00A16878"/>
    <w:rsid w:val="00A16D61"/>
    <w:rsid w:val="00A177E3"/>
    <w:rsid w:val="00A17933"/>
    <w:rsid w:val="00A2253E"/>
    <w:rsid w:val="00A231BD"/>
    <w:rsid w:val="00A271CD"/>
    <w:rsid w:val="00A3026E"/>
    <w:rsid w:val="00A30B5B"/>
    <w:rsid w:val="00A312EA"/>
    <w:rsid w:val="00A338F1"/>
    <w:rsid w:val="00A3484D"/>
    <w:rsid w:val="00A349BA"/>
    <w:rsid w:val="00A34B8B"/>
    <w:rsid w:val="00A34F40"/>
    <w:rsid w:val="00A35BE0"/>
    <w:rsid w:val="00A36FCF"/>
    <w:rsid w:val="00A430A6"/>
    <w:rsid w:val="00A4537E"/>
    <w:rsid w:val="00A45D77"/>
    <w:rsid w:val="00A51AD3"/>
    <w:rsid w:val="00A521DD"/>
    <w:rsid w:val="00A535A2"/>
    <w:rsid w:val="00A540A1"/>
    <w:rsid w:val="00A546DB"/>
    <w:rsid w:val="00A553C8"/>
    <w:rsid w:val="00A5572C"/>
    <w:rsid w:val="00A6129C"/>
    <w:rsid w:val="00A62C39"/>
    <w:rsid w:val="00A72710"/>
    <w:rsid w:val="00A72F22"/>
    <w:rsid w:val="00A7360F"/>
    <w:rsid w:val="00A748A6"/>
    <w:rsid w:val="00A769F4"/>
    <w:rsid w:val="00A776B4"/>
    <w:rsid w:val="00A84102"/>
    <w:rsid w:val="00A84BFB"/>
    <w:rsid w:val="00A856E2"/>
    <w:rsid w:val="00A867C6"/>
    <w:rsid w:val="00A8787A"/>
    <w:rsid w:val="00A87F2D"/>
    <w:rsid w:val="00A9133E"/>
    <w:rsid w:val="00A92C1C"/>
    <w:rsid w:val="00A94361"/>
    <w:rsid w:val="00A97781"/>
    <w:rsid w:val="00AA060A"/>
    <w:rsid w:val="00AA293C"/>
    <w:rsid w:val="00AA428B"/>
    <w:rsid w:val="00AA4D44"/>
    <w:rsid w:val="00AA6657"/>
    <w:rsid w:val="00AA68BB"/>
    <w:rsid w:val="00AA6D4C"/>
    <w:rsid w:val="00AB14FE"/>
    <w:rsid w:val="00AB2E17"/>
    <w:rsid w:val="00AB347B"/>
    <w:rsid w:val="00AB477C"/>
    <w:rsid w:val="00AB582C"/>
    <w:rsid w:val="00AC1177"/>
    <w:rsid w:val="00AC4A1B"/>
    <w:rsid w:val="00AC5A5D"/>
    <w:rsid w:val="00AC5DEC"/>
    <w:rsid w:val="00AC7D2D"/>
    <w:rsid w:val="00AD1C0F"/>
    <w:rsid w:val="00AD4029"/>
    <w:rsid w:val="00AD4880"/>
    <w:rsid w:val="00AE0018"/>
    <w:rsid w:val="00AE15BF"/>
    <w:rsid w:val="00AE47BC"/>
    <w:rsid w:val="00AE5CD0"/>
    <w:rsid w:val="00AE7CB0"/>
    <w:rsid w:val="00AF0F7E"/>
    <w:rsid w:val="00AF16D4"/>
    <w:rsid w:val="00AF401A"/>
    <w:rsid w:val="00AF4E3A"/>
    <w:rsid w:val="00AF68A2"/>
    <w:rsid w:val="00B00E68"/>
    <w:rsid w:val="00B01C8A"/>
    <w:rsid w:val="00B03115"/>
    <w:rsid w:val="00B104CC"/>
    <w:rsid w:val="00B1166D"/>
    <w:rsid w:val="00B15A01"/>
    <w:rsid w:val="00B20827"/>
    <w:rsid w:val="00B212BB"/>
    <w:rsid w:val="00B22A38"/>
    <w:rsid w:val="00B22CD3"/>
    <w:rsid w:val="00B275BE"/>
    <w:rsid w:val="00B30179"/>
    <w:rsid w:val="00B326F8"/>
    <w:rsid w:val="00B33A31"/>
    <w:rsid w:val="00B40037"/>
    <w:rsid w:val="00B402FA"/>
    <w:rsid w:val="00B417CC"/>
    <w:rsid w:val="00B419AF"/>
    <w:rsid w:val="00B421C1"/>
    <w:rsid w:val="00B43D15"/>
    <w:rsid w:val="00B4429E"/>
    <w:rsid w:val="00B45E41"/>
    <w:rsid w:val="00B45F2F"/>
    <w:rsid w:val="00B47FA9"/>
    <w:rsid w:val="00B52E8A"/>
    <w:rsid w:val="00B53C21"/>
    <w:rsid w:val="00B53CE6"/>
    <w:rsid w:val="00B54BA3"/>
    <w:rsid w:val="00B55C71"/>
    <w:rsid w:val="00B56DBD"/>
    <w:rsid w:val="00B56E4A"/>
    <w:rsid w:val="00B56E9C"/>
    <w:rsid w:val="00B57125"/>
    <w:rsid w:val="00B57767"/>
    <w:rsid w:val="00B57773"/>
    <w:rsid w:val="00B6011F"/>
    <w:rsid w:val="00B63E26"/>
    <w:rsid w:val="00B64B1F"/>
    <w:rsid w:val="00B6553F"/>
    <w:rsid w:val="00B72186"/>
    <w:rsid w:val="00B75D79"/>
    <w:rsid w:val="00B77D05"/>
    <w:rsid w:val="00B80534"/>
    <w:rsid w:val="00B80B24"/>
    <w:rsid w:val="00B81206"/>
    <w:rsid w:val="00B81E12"/>
    <w:rsid w:val="00B8562F"/>
    <w:rsid w:val="00B8581D"/>
    <w:rsid w:val="00B91F53"/>
    <w:rsid w:val="00B91F8E"/>
    <w:rsid w:val="00B9204B"/>
    <w:rsid w:val="00B92C2D"/>
    <w:rsid w:val="00B92E8C"/>
    <w:rsid w:val="00B95EE4"/>
    <w:rsid w:val="00BA0995"/>
    <w:rsid w:val="00BA13A2"/>
    <w:rsid w:val="00BA49B0"/>
    <w:rsid w:val="00BA5275"/>
    <w:rsid w:val="00BA5CBA"/>
    <w:rsid w:val="00BB5B2E"/>
    <w:rsid w:val="00BB7327"/>
    <w:rsid w:val="00BC0844"/>
    <w:rsid w:val="00BC1F18"/>
    <w:rsid w:val="00BC2F55"/>
    <w:rsid w:val="00BC3FA0"/>
    <w:rsid w:val="00BC5834"/>
    <w:rsid w:val="00BC6FB5"/>
    <w:rsid w:val="00BC74E9"/>
    <w:rsid w:val="00BD0827"/>
    <w:rsid w:val="00BD11F9"/>
    <w:rsid w:val="00BD23E9"/>
    <w:rsid w:val="00BD55A8"/>
    <w:rsid w:val="00BE3693"/>
    <w:rsid w:val="00BF0477"/>
    <w:rsid w:val="00BF335A"/>
    <w:rsid w:val="00BF5139"/>
    <w:rsid w:val="00BF5897"/>
    <w:rsid w:val="00BF5B1D"/>
    <w:rsid w:val="00BF64FB"/>
    <w:rsid w:val="00BF68A8"/>
    <w:rsid w:val="00C014EC"/>
    <w:rsid w:val="00C051E2"/>
    <w:rsid w:val="00C10587"/>
    <w:rsid w:val="00C10BEF"/>
    <w:rsid w:val="00C11A03"/>
    <w:rsid w:val="00C15C0C"/>
    <w:rsid w:val="00C21E00"/>
    <w:rsid w:val="00C22419"/>
    <w:rsid w:val="00C22C0C"/>
    <w:rsid w:val="00C30657"/>
    <w:rsid w:val="00C3354D"/>
    <w:rsid w:val="00C40399"/>
    <w:rsid w:val="00C41519"/>
    <w:rsid w:val="00C4527F"/>
    <w:rsid w:val="00C45828"/>
    <w:rsid w:val="00C463DD"/>
    <w:rsid w:val="00C4724C"/>
    <w:rsid w:val="00C567F7"/>
    <w:rsid w:val="00C56B52"/>
    <w:rsid w:val="00C57248"/>
    <w:rsid w:val="00C573A0"/>
    <w:rsid w:val="00C578A4"/>
    <w:rsid w:val="00C601B9"/>
    <w:rsid w:val="00C629A0"/>
    <w:rsid w:val="00C6369C"/>
    <w:rsid w:val="00C64629"/>
    <w:rsid w:val="00C726B6"/>
    <w:rsid w:val="00C736F5"/>
    <w:rsid w:val="00C745C3"/>
    <w:rsid w:val="00C756CC"/>
    <w:rsid w:val="00C76E75"/>
    <w:rsid w:val="00C832B4"/>
    <w:rsid w:val="00C87BA7"/>
    <w:rsid w:val="00C9265B"/>
    <w:rsid w:val="00C96DF2"/>
    <w:rsid w:val="00CA325A"/>
    <w:rsid w:val="00CA3C5B"/>
    <w:rsid w:val="00CA3E3A"/>
    <w:rsid w:val="00CA6B13"/>
    <w:rsid w:val="00CA7309"/>
    <w:rsid w:val="00CB3E03"/>
    <w:rsid w:val="00CB711A"/>
    <w:rsid w:val="00CB78FB"/>
    <w:rsid w:val="00CC10FB"/>
    <w:rsid w:val="00CC3E16"/>
    <w:rsid w:val="00CC7D89"/>
    <w:rsid w:val="00CD1DBB"/>
    <w:rsid w:val="00CD1FD4"/>
    <w:rsid w:val="00CD4AA6"/>
    <w:rsid w:val="00CD70CC"/>
    <w:rsid w:val="00CD78B5"/>
    <w:rsid w:val="00CE0F66"/>
    <w:rsid w:val="00CE272F"/>
    <w:rsid w:val="00CE4A8F"/>
    <w:rsid w:val="00CE6335"/>
    <w:rsid w:val="00CE679B"/>
    <w:rsid w:val="00CE67C2"/>
    <w:rsid w:val="00CF0A59"/>
    <w:rsid w:val="00CF1A4B"/>
    <w:rsid w:val="00CF7AC6"/>
    <w:rsid w:val="00D016D9"/>
    <w:rsid w:val="00D023D0"/>
    <w:rsid w:val="00D02B92"/>
    <w:rsid w:val="00D04C8B"/>
    <w:rsid w:val="00D06031"/>
    <w:rsid w:val="00D060C8"/>
    <w:rsid w:val="00D06574"/>
    <w:rsid w:val="00D13433"/>
    <w:rsid w:val="00D1595D"/>
    <w:rsid w:val="00D16818"/>
    <w:rsid w:val="00D16D9C"/>
    <w:rsid w:val="00D17394"/>
    <w:rsid w:val="00D2031B"/>
    <w:rsid w:val="00D214D8"/>
    <w:rsid w:val="00D24702"/>
    <w:rsid w:val="00D248B6"/>
    <w:rsid w:val="00D25C83"/>
    <w:rsid w:val="00D25FE2"/>
    <w:rsid w:val="00D26051"/>
    <w:rsid w:val="00D26E07"/>
    <w:rsid w:val="00D3038B"/>
    <w:rsid w:val="00D30FC4"/>
    <w:rsid w:val="00D3126E"/>
    <w:rsid w:val="00D322D8"/>
    <w:rsid w:val="00D35763"/>
    <w:rsid w:val="00D360CC"/>
    <w:rsid w:val="00D40073"/>
    <w:rsid w:val="00D4197B"/>
    <w:rsid w:val="00D422AD"/>
    <w:rsid w:val="00D42AAB"/>
    <w:rsid w:val="00D42FF9"/>
    <w:rsid w:val="00D43252"/>
    <w:rsid w:val="00D44D04"/>
    <w:rsid w:val="00D46509"/>
    <w:rsid w:val="00D47EEA"/>
    <w:rsid w:val="00D51093"/>
    <w:rsid w:val="00D52E7D"/>
    <w:rsid w:val="00D543B9"/>
    <w:rsid w:val="00D57CF2"/>
    <w:rsid w:val="00D57F77"/>
    <w:rsid w:val="00D6145A"/>
    <w:rsid w:val="00D628FA"/>
    <w:rsid w:val="00D6586F"/>
    <w:rsid w:val="00D6640C"/>
    <w:rsid w:val="00D70056"/>
    <w:rsid w:val="00D74E1F"/>
    <w:rsid w:val="00D773DF"/>
    <w:rsid w:val="00D816DF"/>
    <w:rsid w:val="00D817FD"/>
    <w:rsid w:val="00D853E7"/>
    <w:rsid w:val="00D867EB"/>
    <w:rsid w:val="00D90635"/>
    <w:rsid w:val="00D913AC"/>
    <w:rsid w:val="00D92E89"/>
    <w:rsid w:val="00D95303"/>
    <w:rsid w:val="00D955EE"/>
    <w:rsid w:val="00D978C6"/>
    <w:rsid w:val="00DA0476"/>
    <w:rsid w:val="00DA13E4"/>
    <w:rsid w:val="00DA3C1C"/>
    <w:rsid w:val="00DA48E5"/>
    <w:rsid w:val="00DA52E0"/>
    <w:rsid w:val="00DA6132"/>
    <w:rsid w:val="00DA7251"/>
    <w:rsid w:val="00DB2170"/>
    <w:rsid w:val="00DB2800"/>
    <w:rsid w:val="00DB70D1"/>
    <w:rsid w:val="00DC0DFA"/>
    <w:rsid w:val="00DC15D1"/>
    <w:rsid w:val="00DC2C25"/>
    <w:rsid w:val="00DC59E9"/>
    <w:rsid w:val="00DC6D39"/>
    <w:rsid w:val="00DD0611"/>
    <w:rsid w:val="00DD3320"/>
    <w:rsid w:val="00DD4F57"/>
    <w:rsid w:val="00DD6958"/>
    <w:rsid w:val="00DF105D"/>
    <w:rsid w:val="00DF1F6A"/>
    <w:rsid w:val="00DF41AE"/>
    <w:rsid w:val="00E006A3"/>
    <w:rsid w:val="00E01BEB"/>
    <w:rsid w:val="00E03036"/>
    <w:rsid w:val="00E046DF"/>
    <w:rsid w:val="00E04F12"/>
    <w:rsid w:val="00E06D4A"/>
    <w:rsid w:val="00E11E65"/>
    <w:rsid w:val="00E1283A"/>
    <w:rsid w:val="00E144A8"/>
    <w:rsid w:val="00E2205E"/>
    <w:rsid w:val="00E22B0C"/>
    <w:rsid w:val="00E2399D"/>
    <w:rsid w:val="00E23D09"/>
    <w:rsid w:val="00E265A0"/>
    <w:rsid w:val="00E27346"/>
    <w:rsid w:val="00E27591"/>
    <w:rsid w:val="00E35CD3"/>
    <w:rsid w:val="00E36A45"/>
    <w:rsid w:val="00E40A45"/>
    <w:rsid w:val="00E40C7D"/>
    <w:rsid w:val="00E41463"/>
    <w:rsid w:val="00E428FE"/>
    <w:rsid w:val="00E43505"/>
    <w:rsid w:val="00E43A07"/>
    <w:rsid w:val="00E44172"/>
    <w:rsid w:val="00E450F5"/>
    <w:rsid w:val="00E45884"/>
    <w:rsid w:val="00E4795B"/>
    <w:rsid w:val="00E524B5"/>
    <w:rsid w:val="00E52905"/>
    <w:rsid w:val="00E54749"/>
    <w:rsid w:val="00E560CA"/>
    <w:rsid w:val="00E561D4"/>
    <w:rsid w:val="00E60215"/>
    <w:rsid w:val="00E620F7"/>
    <w:rsid w:val="00E64E58"/>
    <w:rsid w:val="00E678DC"/>
    <w:rsid w:val="00E70494"/>
    <w:rsid w:val="00E71BC8"/>
    <w:rsid w:val="00E71C48"/>
    <w:rsid w:val="00E7260F"/>
    <w:rsid w:val="00E7265E"/>
    <w:rsid w:val="00E73F5D"/>
    <w:rsid w:val="00E77200"/>
    <w:rsid w:val="00E77E4E"/>
    <w:rsid w:val="00E80828"/>
    <w:rsid w:val="00E816EB"/>
    <w:rsid w:val="00E82A93"/>
    <w:rsid w:val="00E83070"/>
    <w:rsid w:val="00E836AA"/>
    <w:rsid w:val="00E83773"/>
    <w:rsid w:val="00E838BD"/>
    <w:rsid w:val="00E839A8"/>
    <w:rsid w:val="00E84DDA"/>
    <w:rsid w:val="00E8642B"/>
    <w:rsid w:val="00E87FBF"/>
    <w:rsid w:val="00E90DB8"/>
    <w:rsid w:val="00E922BE"/>
    <w:rsid w:val="00E940C1"/>
    <w:rsid w:val="00E944F7"/>
    <w:rsid w:val="00E94647"/>
    <w:rsid w:val="00E96630"/>
    <w:rsid w:val="00EA2A77"/>
    <w:rsid w:val="00EA2A8A"/>
    <w:rsid w:val="00EA45C7"/>
    <w:rsid w:val="00EA49F9"/>
    <w:rsid w:val="00EA5931"/>
    <w:rsid w:val="00EB1090"/>
    <w:rsid w:val="00EB13D3"/>
    <w:rsid w:val="00EC189B"/>
    <w:rsid w:val="00EC1EF0"/>
    <w:rsid w:val="00EC4910"/>
    <w:rsid w:val="00EC4AD2"/>
    <w:rsid w:val="00EC6D8C"/>
    <w:rsid w:val="00EC7ED5"/>
    <w:rsid w:val="00ED03BB"/>
    <w:rsid w:val="00ED7443"/>
    <w:rsid w:val="00ED7757"/>
    <w:rsid w:val="00ED7A2A"/>
    <w:rsid w:val="00EE112B"/>
    <w:rsid w:val="00EE2B61"/>
    <w:rsid w:val="00EE2D63"/>
    <w:rsid w:val="00EE6C69"/>
    <w:rsid w:val="00EE7C6B"/>
    <w:rsid w:val="00EF04EC"/>
    <w:rsid w:val="00EF0B13"/>
    <w:rsid w:val="00EF1D7F"/>
    <w:rsid w:val="00EF26C0"/>
    <w:rsid w:val="00EF2EB9"/>
    <w:rsid w:val="00EF3B36"/>
    <w:rsid w:val="00EF3CBC"/>
    <w:rsid w:val="00F00556"/>
    <w:rsid w:val="00F0726A"/>
    <w:rsid w:val="00F0738D"/>
    <w:rsid w:val="00F07589"/>
    <w:rsid w:val="00F116F9"/>
    <w:rsid w:val="00F12F4F"/>
    <w:rsid w:val="00F16022"/>
    <w:rsid w:val="00F1639F"/>
    <w:rsid w:val="00F165EE"/>
    <w:rsid w:val="00F21884"/>
    <w:rsid w:val="00F240A1"/>
    <w:rsid w:val="00F241F2"/>
    <w:rsid w:val="00F2555C"/>
    <w:rsid w:val="00F256C2"/>
    <w:rsid w:val="00F26CCA"/>
    <w:rsid w:val="00F31E5F"/>
    <w:rsid w:val="00F322F8"/>
    <w:rsid w:val="00F32B0A"/>
    <w:rsid w:val="00F35213"/>
    <w:rsid w:val="00F35DA9"/>
    <w:rsid w:val="00F3717D"/>
    <w:rsid w:val="00F40B22"/>
    <w:rsid w:val="00F40DFB"/>
    <w:rsid w:val="00F4627A"/>
    <w:rsid w:val="00F50B56"/>
    <w:rsid w:val="00F5243C"/>
    <w:rsid w:val="00F529EB"/>
    <w:rsid w:val="00F53557"/>
    <w:rsid w:val="00F5399E"/>
    <w:rsid w:val="00F548A5"/>
    <w:rsid w:val="00F6100A"/>
    <w:rsid w:val="00F6690C"/>
    <w:rsid w:val="00F66F59"/>
    <w:rsid w:val="00F672F8"/>
    <w:rsid w:val="00F70C4D"/>
    <w:rsid w:val="00F7615D"/>
    <w:rsid w:val="00F76B37"/>
    <w:rsid w:val="00F91BBA"/>
    <w:rsid w:val="00F92CAD"/>
    <w:rsid w:val="00F93781"/>
    <w:rsid w:val="00F94BB3"/>
    <w:rsid w:val="00F952CD"/>
    <w:rsid w:val="00F95493"/>
    <w:rsid w:val="00F95C8C"/>
    <w:rsid w:val="00F977DF"/>
    <w:rsid w:val="00FA1193"/>
    <w:rsid w:val="00FA4F63"/>
    <w:rsid w:val="00FB3047"/>
    <w:rsid w:val="00FB3826"/>
    <w:rsid w:val="00FB415B"/>
    <w:rsid w:val="00FB5173"/>
    <w:rsid w:val="00FB546C"/>
    <w:rsid w:val="00FB613B"/>
    <w:rsid w:val="00FB6149"/>
    <w:rsid w:val="00FB7B6C"/>
    <w:rsid w:val="00FC0172"/>
    <w:rsid w:val="00FC234D"/>
    <w:rsid w:val="00FC6329"/>
    <w:rsid w:val="00FC68B7"/>
    <w:rsid w:val="00FC7AEA"/>
    <w:rsid w:val="00FD27E7"/>
    <w:rsid w:val="00FD2962"/>
    <w:rsid w:val="00FD3B2C"/>
    <w:rsid w:val="00FD3F98"/>
    <w:rsid w:val="00FD4F8D"/>
    <w:rsid w:val="00FD79EE"/>
    <w:rsid w:val="00FE106A"/>
    <w:rsid w:val="00FE1696"/>
    <w:rsid w:val="00FE5476"/>
    <w:rsid w:val="00FE6961"/>
    <w:rsid w:val="00FE740E"/>
    <w:rsid w:val="00FE7450"/>
    <w:rsid w:val="00FF145D"/>
    <w:rsid w:val="00FF1FE4"/>
    <w:rsid w:val="00FF3DDA"/>
    <w:rsid w:val="00FF4362"/>
    <w:rsid w:val="00FF7D0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A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707AE7"/>
    <w:rPr>
      <w:sz w:val="6"/>
    </w:rPr>
  </w:style>
  <w:style w:type="paragraph" w:styleId="CommentText">
    <w:name w:val="annotation text"/>
    <w:basedOn w:val="Normal"/>
    <w:link w:val="CommentTextChar"/>
    <w:uiPriority w:val="99"/>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 w:type="character" w:customStyle="1" w:styleId="PlainTextChar">
    <w:name w:val="Plain Text Char"/>
    <w:basedOn w:val="DefaultParagraphFont"/>
    <w:link w:val="PlainText"/>
    <w:uiPriority w:val="99"/>
    <w:semiHidden/>
    <w:rsid w:val="004D615B"/>
    <w:rPr>
      <w:rFonts w:cs="Courier New"/>
      <w:lang w:eastAsia="en-US"/>
    </w:rPr>
  </w:style>
  <w:style w:type="paragraph" w:customStyle="1" w:styleId="Default">
    <w:name w:val="Default"/>
    <w:rsid w:val="00E922BE"/>
    <w:pPr>
      <w:autoSpaceDE w:val="0"/>
      <w:autoSpaceDN w:val="0"/>
      <w:adjustRightInd w:val="0"/>
    </w:pPr>
    <w:rPr>
      <w:rFonts w:eastAsiaTheme="minorHAnsi"/>
      <w:color w:val="000000"/>
      <w:sz w:val="24"/>
      <w:szCs w:val="24"/>
      <w:lang w:val="de-DE" w:eastAsia="en-US"/>
    </w:rPr>
  </w:style>
  <w:style w:type="character" w:customStyle="1" w:styleId="cf01">
    <w:name w:val="cf01"/>
    <w:basedOn w:val="DefaultParagraphFont"/>
    <w:rsid w:val="00E922BE"/>
    <w:rPr>
      <w:rFonts w:ascii="Segoe UI" w:hAnsi="Segoe UI" w:cs="Segoe UI" w:hint="default"/>
      <w:sz w:val="18"/>
      <w:szCs w:val="18"/>
    </w:rPr>
  </w:style>
  <w:style w:type="paragraph" w:customStyle="1" w:styleId="pf1">
    <w:name w:val="pf1"/>
    <w:basedOn w:val="Normal"/>
    <w:rsid w:val="00E922BE"/>
    <w:pPr>
      <w:suppressAutoHyphens w:val="0"/>
      <w:spacing w:before="100" w:beforeAutospacing="1" w:after="100" w:afterAutospacing="1" w:line="240" w:lineRule="auto"/>
    </w:pPr>
    <w:rPr>
      <w:rFonts w:eastAsia="Times New Roman"/>
      <w:sz w:val="24"/>
      <w:szCs w:val="24"/>
      <w:lang w:val="de-DE" w:eastAsia="de-DE"/>
    </w:rPr>
  </w:style>
  <w:style w:type="paragraph" w:customStyle="1" w:styleId="pf0">
    <w:name w:val="pf0"/>
    <w:basedOn w:val="Normal"/>
    <w:rsid w:val="00E922BE"/>
    <w:pPr>
      <w:suppressAutoHyphens w:val="0"/>
      <w:spacing w:before="100" w:beforeAutospacing="1" w:after="100" w:afterAutospacing="1" w:line="240" w:lineRule="auto"/>
    </w:pPr>
    <w:rPr>
      <w:rFonts w:eastAsia="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11285583">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146820474">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1114665892">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14619013">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192233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Props1.xml><?xml version="1.0" encoding="utf-8"?>
<ds:datastoreItem xmlns:ds="http://schemas.openxmlformats.org/officeDocument/2006/customXml" ds:itemID="{65336EF4-6FCA-4B47-B018-1DAEF2C71FA2}">
  <ds:schemaRefs>
    <ds:schemaRef ds:uri="http://schemas.microsoft.com/sharepoint/v3/contenttype/forms"/>
  </ds:schemaRefs>
</ds:datastoreItem>
</file>

<file path=customXml/itemProps2.xml><?xml version="1.0" encoding="utf-8"?>
<ds:datastoreItem xmlns:ds="http://schemas.openxmlformats.org/officeDocument/2006/customXml" ds:itemID="{B0430AD0-8C70-41E4-9D4D-88F32ED0E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ECE4F-526B-451D-8C88-A2443F06C368}">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3865</Characters>
  <Application>Microsoft Office Word</Application>
  <DocSecurity>0</DocSecurity>
  <Lines>143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2025-05-28T19:32:00Z</dcterms:created>
  <dcterms:modified xsi:type="dcterms:W3CDTF">2025-06-01T12:34:00Z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