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467D6B4B" w14:textId="77777777" w:rsidTr="00B20551">
        <w:trPr>
          <w:cantSplit/>
          <w:trHeight w:hRule="exact" w:val="851"/>
        </w:trPr>
        <w:tc>
          <w:tcPr>
            <w:tcW w:w="1276" w:type="dxa"/>
            <w:tcBorders>
              <w:bottom w:val="single" w:sz="4" w:space="0" w:color="auto"/>
            </w:tcBorders>
            <w:vAlign w:val="bottom"/>
          </w:tcPr>
          <w:p w14:paraId="73F3C77C" w14:textId="77777777" w:rsidR="009E6CB7" w:rsidRDefault="009E6CB7" w:rsidP="00B20551">
            <w:pPr>
              <w:spacing w:after="80"/>
            </w:pPr>
          </w:p>
        </w:tc>
        <w:tc>
          <w:tcPr>
            <w:tcW w:w="2268" w:type="dxa"/>
            <w:tcBorders>
              <w:bottom w:val="single" w:sz="4" w:space="0" w:color="auto"/>
            </w:tcBorders>
            <w:vAlign w:val="bottom"/>
          </w:tcPr>
          <w:p w14:paraId="6A38C75F"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F4573EF" w14:textId="758367C4" w:rsidR="009E6CB7" w:rsidRPr="00D47EEA" w:rsidRDefault="00101054" w:rsidP="00101054">
            <w:pPr>
              <w:jc w:val="right"/>
            </w:pPr>
            <w:r w:rsidRPr="00101054">
              <w:rPr>
                <w:sz w:val="40"/>
              </w:rPr>
              <w:t>ECE</w:t>
            </w:r>
            <w:r>
              <w:t>/TRANS/WP.29/GRSP/2025/44</w:t>
            </w:r>
          </w:p>
        </w:tc>
      </w:tr>
      <w:tr w:rsidR="009E6CB7" w14:paraId="6C51FE1F" w14:textId="77777777" w:rsidTr="00B20551">
        <w:trPr>
          <w:cantSplit/>
          <w:trHeight w:hRule="exact" w:val="2835"/>
        </w:trPr>
        <w:tc>
          <w:tcPr>
            <w:tcW w:w="1276" w:type="dxa"/>
            <w:tcBorders>
              <w:top w:val="single" w:sz="4" w:space="0" w:color="auto"/>
              <w:bottom w:val="single" w:sz="12" w:space="0" w:color="auto"/>
            </w:tcBorders>
          </w:tcPr>
          <w:p w14:paraId="548A036C" w14:textId="77777777" w:rsidR="009E6CB7" w:rsidRDefault="00686A48" w:rsidP="00B20551">
            <w:pPr>
              <w:spacing w:before="120"/>
            </w:pPr>
            <w:r>
              <w:rPr>
                <w:noProof/>
                <w:lang w:val="fr-CH" w:eastAsia="fr-CH"/>
              </w:rPr>
              <w:drawing>
                <wp:inline distT="0" distB="0" distL="0" distR="0" wp14:anchorId="21DB74CC" wp14:editId="7B1C6BC1">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4DB224A5"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2989DB1C" w14:textId="77777777" w:rsidR="009E6CB7" w:rsidRDefault="00101054" w:rsidP="00101054">
            <w:pPr>
              <w:spacing w:before="240" w:line="240" w:lineRule="exact"/>
            </w:pPr>
            <w:r>
              <w:t>Distr.: General</w:t>
            </w:r>
          </w:p>
          <w:p w14:paraId="0C50F825" w14:textId="22D32130" w:rsidR="00101054" w:rsidRDefault="00C928F2" w:rsidP="00101054">
            <w:pPr>
              <w:spacing w:line="240" w:lineRule="exact"/>
            </w:pPr>
            <w:r>
              <w:t>22 September 2025</w:t>
            </w:r>
          </w:p>
          <w:p w14:paraId="1F4AD715" w14:textId="77777777" w:rsidR="00101054" w:rsidRDefault="00101054" w:rsidP="00101054">
            <w:pPr>
              <w:spacing w:line="240" w:lineRule="exact"/>
            </w:pPr>
          </w:p>
          <w:p w14:paraId="4634A2AF" w14:textId="1529FFF2" w:rsidR="00101054" w:rsidRDefault="00101054" w:rsidP="00101054">
            <w:pPr>
              <w:spacing w:line="240" w:lineRule="exact"/>
            </w:pPr>
            <w:r>
              <w:t>Original: English</w:t>
            </w:r>
          </w:p>
        </w:tc>
      </w:tr>
    </w:tbl>
    <w:p w14:paraId="7B9B1CB2" w14:textId="77777777" w:rsidR="00DD4E89" w:rsidRPr="00371D53" w:rsidRDefault="00DD4E89" w:rsidP="00DD4E89">
      <w:pPr>
        <w:spacing w:before="120"/>
        <w:rPr>
          <w:b/>
          <w:sz w:val="28"/>
          <w:szCs w:val="28"/>
        </w:rPr>
      </w:pPr>
      <w:r w:rsidRPr="00371D53">
        <w:rPr>
          <w:b/>
          <w:sz w:val="28"/>
          <w:szCs w:val="28"/>
        </w:rPr>
        <w:t>Economic Commission for Europe</w:t>
      </w:r>
    </w:p>
    <w:p w14:paraId="08A8D7F9" w14:textId="77777777" w:rsidR="00DD4E89" w:rsidRPr="00371D53" w:rsidRDefault="00DD4E89" w:rsidP="00DD4E89">
      <w:pPr>
        <w:spacing w:before="120"/>
        <w:rPr>
          <w:sz w:val="28"/>
          <w:szCs w:val="28"/>
        </w:rPr>
      </w:pPr>
      <w:r w:rsidRPr="00371D53">
        <w:rPr>
          <w:sz w:val="28"/>
          <w:szCs w:val="28"/>
        </w:rPr>
        <w:t>Inland Transport Committee</w:t>
      </w:r>
    </w:p>
    <w:p w14:paraId="50720FF2" w14:textId="77777777" w:rsidR="00DD4E89" w:rsidRPr="00371D53" w:rsidRDefault="00DD4E89" w:rsidP="00DD4E89">
      <w:pPr>
        <w:spacing w:before="120"/>
        <w:rPr>
          <w:b/>
          <w:sz w:val="24"/>
          <w:szCs w:val="24"/>
        </w:rPr>
      </w:pPr>
      <w:r w:rsidRPr="00371D53">
        <w:rPr>
          <w:b/>
          <w:sz w:val="24"/>
          <w:szCs w:val="24"/>
        </w:rPr>
        <w:t>World Forum for Harmonization of Vehicle Regulations</w:t>
      </w:r>
    </w:p>
    <w:p w14:paraId="42DAA25D" w14:textId="77777777" w:rsidR="00DD4E89" w:rsidRPr="00371D53" w:rsidRDefault="00DD4E89" w:rsidP="00DD4E89">
      <w:pPr>
        <w:spacing w:before="120" w:after="120"/>
        <w:rPr>
          <w:b/>
          <w:bCs/>
        </w:rPr>
      </w:pPr>
      <w:r w:rsidRPr="00371D53">
        <w:rPr>
          <w:b/>
          <w:bCs/>
        </w:rPr>
        <w:t>Working Party on Passive Safety</w:t>
      </w:r>
    </w:p>
    <w:p w14:paraId="58938F64" w14:textId="77777777" w:rsidR="00DD4E89" w:rsidRPr="00371D53" w:rsidRDefault="00DD4E89" w:rsidP="00DD4E89">
      <w:pPr>
        <w:rPr>
          <w:b/>
        </w:rPr>
      </w:pPr>
      <w:r w:rsidRPr="00371D53">
        <w:rPr>
          <w:b/>
        </w:rPr>
        <w:t>Seventy-</w:t>
      </w:r>
      <w:r>
        <w:rPr>
          <w:b/>
        </w:rPr>
        <w:t>eighth</w:t>
      </w:r>
      <w:r w:rsidRPr="00371D53">
        <w:rPr>
          <w:b/>
        </w:rPr>
        <w:t xml:space="preserve"> session </w:t>
      </w:r>
    </w:p>
    <w:p w14:paraId="2FF0E5B7" w14:textId="77777777" w:rsidR="00DD4E89" w:rsidRPr="00003BAC" w:rsidRDefault="00DD4E89" w:rsidP="00DD4E89">
      <w:pPr>
        <w:spacing w:line="240" w:lineRule="auto"/>
      </w:pPr>
      <w:r w:rsidRPr="00003BAC">
        <w:t xml:space="preserve">Geneva, </w:t>
      </w:r>
      <w:r>
        <w:t>1</w:t>
      </w:r>
      <w:r w:rsidRPr="00003BAC">
        <w:t>–</w:t>
      </w:r>
      <w:r>
        <w:t>4</w:t>
      </w:r>
      <w:r w:rsidRPr="00003BAC">
        <w:t xml:space="preserve"> </w:t>
      </w:r>
      <w:r>
        <w:t xml:space="preserve">December </w:t>
      </w:r>
      <w:r w:rsidRPr="00003BAC">
        <w:t>2025</w:t>
      </w:r>
    </w:p>
    <w:p w14:paraId="47A97705" w14:textId="0A21B0D3" w:rsidR="00DD4E89" w:rsidRPr="00B16B68" w:rsidRDefault="00DD4E89" w:rsidP="00DD4E89">
      <w:pPr>
        <w:rPr>
          <w:rFonts w:asciiTheme="majorBidi" w:hAnsiTheme="majorBidi" w:cstheme="majorBidi"/>
        </w:rPr>
      </w:pPr>
      <w:r w:rsidRPr="00B16B68">
        <w:rPr>
          <w:rFonts w:asciiTheme="majorBidi" w:hAnsiTheme="majorBidi" w:cstheme="majorBidi"/>
        </w:rPr>
        <w:t xml:space="preserve">Item </w:t>
      </w:r>
      <w:r w:rsidR="008A1E35">
        <w:rPr>
          <w:rFonts w:asciiTheme="majorBidi" w:hAnsiTheme="majorBidi" w:cstheme="majorBidi"/>
        </w:rPr>
        <w:t>9</w:t>
      </w:r>
      <w:r w:rsidRPr="00B16B68">
        <w:rPr>
          <w:rFonts w:asciiTheme="majorBidi" w:hAnsiTheme="majorBidi" w:cstheme="majorBidi"/>
        </w:rPr>
        <w:t xml:space="preserve"> of the provisional agenda</w:t>
      </w:r>
    </w:p>
    <w:p w14:paraId="4B47D6FA" w14:textId="52E6CA33" w:rsidR="00DD4E89" w:rsidRPr="00B16B68" w:rsidRDefault="008A1E35" w:rsidP="00DD4E89">
      <w:r w:rsidRPr="008A1E35">
        <w:rPr>
          <w:b/>
        </w:rPr>
        <w:t>UN Regulation No. 17 (Strength of seats</w:t>
      </w:r>
      <w:r w:rsidR="003B13FC" w:rsidRPr="003B13FC">
        <w:rPr>
          <w:b/>
        </w:rPr>
        <w:t>, their anchorages and head restraints</w:t>
      </w:r>
      <w:r w:rsidRPr="008A1E35">
        <w:rPr>
          <w:b/>
        </w:rPr>
        <w:t>)</w:t>
      </w:r>
    </w:p>
    <w:p w14:paraId="1E0F1EB2" w14:textId="28E690A3" w:rsidR="00DD4E89" w:rsidRDefault="00DD4E89" w:rsidP="00DD4E89">
      <w:pPr>
        <w:pStyle w:val="HChG"/>
      </w:pPr>
      <w:r>
        <w:tab/>
      </w:r>
      <w:r>
        <w:tab/>
      </w:r>
      <w:r w:rsidRPr="0079666C">
        <w:t xml:space="preserve">Proposal for </w:t>
      </w:r>
      <w:r w:rsidR="00CC752F">
        <w:t>supplement 1 to the 12</w:t>
      </w:r>
      <w:r w:rsidR="00CC752F" w:rsidRPr="0079666C">
        <w:t xml:space="preserve"> </w:t>
      </w:r>
      <w:r w:rsidR="00CC752F">
        <w:t>s</w:t>
      </w:r>
      <w:r w:rsidR="00CC752F" w:rsidRPr="0079666C">
        <w:t xml:space="preserve">eries of </w:t>
      </w:r>
      <w:r w:rsidR="00CC752F">
        <w:t>a</w:t>
      </w:r>
      <w:r w:rsidR="00CC752F" w:rsidRPr="0079666C">
        <w:t xml:space="preserve">mendments to UN Regulation No. </w:t>
      </w:r>
      <w:r w:rsidR="00CC752F">
        <w:t>17</w:t>
      </w:r>
      <w:r w:rsidR="00CC752F" w:rsidRPr="0079666C">
        <w:t xml:space="preserve"> (</w:t>
      </w:r>
      <w:r w:rsidR="00CC752F">
        <w:t>Strength of seats</w:t>
      </w:r>
      <w:r w:rsidR="003B13FC" w:rsidRPr="003B13FC">
        <w:t>, their anchorages and head restraints</w:t>
      </w:r>
      <w:r w:rsidR="00CC752F">
        <w:t>)</w:t>
      </w:r>
    </w:p>
    <w:p w14:paraId="45195F64" w14:textId="52002D0D" w:rsidR="00DD4E89" w:rsidRDefault="00DD4E89" w:rsidP="00DD4E89">
      <w:pPr>
        <w:pStyle w:val="H1G"/>
        <w:rPr>
          <w:sz w:val="20"/>
        </w:rPr>
      </w:pPr>
      <w:r>
        <w:tab/>
      </w:r>
      <w:r>
        <w:tab/>
        <w:t xml:space="preserve">Submitted by the </w:t>
      </w:r>
      <w:r>
        <w:rPr>
          <w:spacing w:val="-4"/>
        </w:rPr>
        <w:t>expert from</w:t>
      </w:r>
      <w:r w:rsidR="00C441D3" w:rsidRPr="00494437">
        <w:rPr>
          <w:rStyle w:val="FootnoteReference"/>
          <w:sz w:val="20"/>
          <w:vertAlign w:val="baseline"/>
        </w:rPr>
        <w:t xml:space="preserve"> </w:t>
      </w:r>
      <w:r w:rsidR="00C441D3" w:rsidRPr="00646860">
        <w:rPr>
          <w:snapToGrid w:val="0"/>
        </w:rPr>
        <w:t>the European Association of Automotive Suppliers (CLEPA)</w:t>
      </w:r>
      <w:r>
        <w:rPr>
          <w:spacing w:val="-4"/>
        </w:rPr>
        <w:t xml:space="preserve"> </w:t>
      </w:r>
      <w:r w:rsidRPr="00122355">
        <w:rPr>
          <w:rStyle w:val="FootnoteReference"/>
          <w:sz w:val="20"/>
          <w:vertAlign w:val="baseline"/>
        </w:rPr>
        <w:footnoteReference w:customMarkFollows="1" w:id="2"/>
        <w:t>*</w:t>
      </w:r>
    </w:p>
    <w:p w14:paraId="796D592A" w14:textId="5CFFA44E" w:rsidR="00DD4E89" w:rsidRPr="00736C59" w:rsidRDefault="00DD4E89" w:rsidP="00DD4E89">
      <w:pPr>
        <w:pStyle w:val="SingleTxtG"/>
        <w:rPr>
          <w:lang w:val="es-ES"/>
        </w:rPr>
      </w:pPr>
      <w:r>
        <w:rPr>
          <w:rStyle w:val="FootnoteReference"/>
          <w:sz w:val="20"/>
          <w:vertAlign w:val="baseline"/>
        </w:rPr>
        <w:tab/>
      </w:r>
      <w:r w:rsidRPr="004E3F12">
        <w:rPr>
          <w:rStyle w:val="FootnoteReference"/>
          <w:sz w:val="20"/>
          <w:vertAlign w:val="baseline"/>
        </w:rPr>
        <w:t xml:space="preserve">The text reproduced below </w:t>
      </w:r>
      <w:r w:rsidR="00EE423B" w:rsidRPr="00494437">
        <w:rPr>
          <w:rStyle w:val="FootnoteReference"/>
          <w:sz w:val="20"/>
          <w:vertAlign w:val="baseline"/>
        </w:rPr>
        <w:t>was prepared by</w:t>
      </w:r>
      <w:r w:rsidR="00EE423B">
        <w:t xml:space="preserve"> </w:t>
      </w:r>
      <w:r w:rsidR="00EE423B" w:rsidRPr="00646860">
        <w:rPr>
          <w:snapToGrid w:val="0"/>
        </w:rPr>
        <w:t>CLEPA</w:t>
      </w:r>
      <w:r w:rsidR="00EE423B" w:rsidRPr="00494437">
        <w:rPr>
          <w:rStyle w:val="FootnoteReference"/>
          <w:sz w:val="20"/>
          <w:vertAlign w:val="baseline"/>
        </w:rPr>
        <w:t xml:space="preserve"> </w:t>
      </w:r>
      <w:r w:rsidR="00EE423B">
        <w:rPr>
          <w:snapToGrid w:val="0"/>
        </w:rPr>
        <w:t xml:space="preserve">to modify the current wording which creates misunderstandings and a non-harmonized application of the regulation by technical services. </w:t>
      </w:r>
      <w:r w:rsidR="00EE423B">
        <w:rPr>
          <w:rStyle w:val="FootnoteReference"/>
          <w:sz w:val="20"/>
          <w:vertAlign w:val="baseline"/>
        </w:rPr>
        <w:t>A</w:t>
      </w:r>
      <w:proofErr w:type="spellStart"/>
      <w:r w:rsidR="00EE423B" w:rsidRPr="00736C59">
        <w:rPr>
          <w:lang w:val="es-ES"/>
        </w:rPr>
        <w:t>mendments</w:t>
      </w:r>
      <w:proofErr w:type="spellEnd"/>
      <w:r w:rsidR="00EE423B" w:rsidRPr="00736C59">
        <w:rPr>
          <w:rStyle w:val="FootnoteReference"/>
          <w:sz w:val="20"/>
          <w:vertAlign w:val="baseline"/>
          <w:lang w:val="es-ES"/>
        </w:rPr>
        <w:t xml:space="preserve"> </w:t>
      </w:r>
      <w:proofErr w:type="spellStart"/>
      <w:r w:rsidR="00EE423B" w:rsidRPr="00736C59">
        <w:rPr>
          <w:rStyle w:val="FootnoteReference"/>
          <w:sz w:val="20"/>
          <w:vertAlign w:val="baseline"/>
          <w:lang w:val="es-ES"/>
        </w:rPr>
        <w:t>t</w:t>
      </w:r>
      <w:r w:rsidR="00EE423B" w:rsidRPr="00736C59">
        <w:rPr>
          <w:lang w:val="es-ES"/>
        </w:rPr>
        <w:t>o</w:t>
      </w:r>
      <w:proofErr w:type="spellEnd"/>
      <w:r w:rsidR="00EE423B" w:rsidRPr="00736C59">
        <w:rPr>
          <w:lang w:val="es-ES"/>
        </w:rPr>
        <w:t xml:space="preserve"> UN </w:t>
      </w:r>
      <w:proofErr w:type="spellStart"/>
      <w:r w:rsidR="00EE423B" w:rsidRPr="00736C59">
        <w:rPr>
          <w:lang w:val="es-ES"/>
        </w:rPr>
        <w:t>Regulation</w:t>
      </w:r>
      <w:proofErr w:type="spellEnd"/>
      <w:r w:rsidR="00EE423B" w:rsidRPr="00736C59">
        <w:rPr>
          <w:lang w:val="es-ES"/>
        </w:rPr>
        <w:t xml:space="preserve"> No. 17 </w:t>
      </w:r>
      <w:r w:rsidR="00EE423B" w:rsidRPr="00736C59">
        <w:rPr>
          <w:rStyle w:val="FootnoteReference"/>
          <w:sz w:val="20"/>
          <w:vertAlign w:val="baseline"/>
          <w:lang w:val="es-ES"/>
        </w:rPr>
        <w:t xml:space="preserve">are </w:t>
      </w:r>
      <w:proofErr w:type="spellStart"/>
      <w:r w:rsidR="00EE423B" w:rsidRPr="00736C59">
        <w:rPr>
          <w:rStyle w:val="FootnoteReference"/>
          <w:sz w:val="20"/>
          <w:vertAlign w:val="baseline"/>
          <w:lang w:val="es-ES"/>
        </w:rPr>
        <w:t>marked</w:t>
      </w:r>
      <w:proofErr w:type="spellEnd"/>
      <w:r w:rsidR="00EE423B" w:rsidRPr="00736C59">
        <w:rPr>
          <w:rStyle w:val="FootnoteReference"/>
          <w:sz w:val="20"/>
          <w:vertAlign w:val="baseline"/>
          <w:lang w:val="es-ES"/>
        </w:rPr>
        <w:t xml:space="preserve"> in </w:t>
      </w:r>
      <w:proofErr w:type="spellStart"/>
      <w:r w:rsidR="00EE423B" w:rsidRPr="00736C59">
        <w:rPr>
          <w:rStyle w:val="FootnoteReference"/>
          <w:sz w:val="20"/>
          <w:vertAlign w:val="baseline"/>
          <w:lang w:val="es-ES"/>
        </w:rPr>
        <w:t>bold</w:t>
      </w:r>
      <w:proofErr w:type="spellEnd"/>
      <w:r w:rsidR="00EE423B" w:rsidRPr="00736C59">
        <w:rPr>
          <w:rStyle w:val="FootnoteReference"/>
          <w:sz w:val="20"/>
          <w:vertAlign w:val="baseline"/>
          <w:lang w:val="es-ES"/>
        </w:rPr>
        <w:t xml:space="preserve"> </w:t>
      </w:r>
      <w:proofErr w:type="spellStart"/>
      <w:r w:rsidR="00EE423B" w:rsidRPr="00736C59">
        <w:rPr>
          <w:rStyle w:val="FootnoteReference"/>
          <w:sz w:val="20"/>
          <w:vertAlign w:val="baseline"/>
          <w:lang w:val="es-ES"/>
        </w:rPr>
        <w:t>for</w:t>
      </w:r>
      <w:proofErr w:type="spellEnd"/>
      <w:r w:rsidR="00EE423B" w:rsidRPr="00736C59">
        <w:rPr>
          <w:rStyle w:val="FootnoteReference"/>
          <w:sz w:val="20"/>
          <w:vertAlign w:val="baseline"/>
          <w:lang w:val="es-ES"/>
        </w:rPr>
        <w:t xml:space="preserve"> new and </w:t>
      </w:r>
      <w:proofErr w:type="spellStart"/>
      <w:r w:rsidR="00EE423B" w:rsidRPr="00736C59">
        <w:rPr>
          <w:rStyle w:val="FootnoteReference"/>
          <w:sz w:val="20"/>
          <w:vertAlign w:val="baseline"/>
          <w:lang w:val="es-ES"/>
        </w:rPr>
        <w:t>strikethrough</w:t>
      </w:r>
      <w:proofErr w:type="spellEnd"/>
      <w:r w:rsidR="00EE423B" w:rsidRPr="00736C59">
        <w:rPr>
          <w:rStyle w:val="FootnoteReference"/>
          <w:sz w:val="20"/>
          <w:vertAlign w:val="baseline"/>
          <w:lang w:val="es-ES"/>
        </w:rPr>
        <w:t xml:space="preserve"> </w:t>
      </w:r>
      <w:proofErr w:type="spellStart"/>
      <w:r w:rsidR="00EE423B" w:rsidRPr="00736C59">
        <w:rPr>
          <w:rStyle w:val="FootnoteReference"/>
          <w:sz w:val="20"/>
          <w:vertAlign w:val="baseline"/>
          <w:lang w:val="es-ES"/>
        </w:rPr>
        <w:t>for</w:t>
      </w:r>
      <w:proofErr w:type="spellEnd"/>
      <w:r w:rsidR="00EE423B" w:rsidRPr="00736C59">
        <w:rPr>
          <w:rStyle w:val="FootnoteReference"/>
          <w:sz w:val="20"/>
          <w:vertAlign w:val="baseline"/>
          <w:lang w:val="es-ES"/>
        </w:rPr>
        <w:t xml:space="preserve"> </w:t>
      </w:r>
      <w:proofErr w:type="spellStart"/>
      <w:r w:rsidR="00EE423B" w:rsidRPr="00736C59">
        <w:rPr>
          <w:rStyle w:val="FootnoteReference"/>
          <w:sz w:val="20"/>
          <w:vertAlign w:val="baseline"/>
          <w:lang w:val="es-ES"/>
        </w:rPr>
        <w:t>deleted</w:t>
      </w:r>
      <w:proofErr w:type="spellEnd"/>
      <w:r w:rsidR="00EE423B" w:rsidRPr="00736C59">
        <w:rPr>
          <w:rStyle w:val="FootnoteReference"/>
          <w:sz w:val="20"/>
          <w:vertAlign w:val="baseline"/>
          <w:lang w:val="es-ES"/>
        </w:rPr>
        <w:t xml:space="preserve"> </w:t>
      </w:r>
      <w:proofErr w:type="spellStart"/>
      <w:r w:rsidR="00EE423B" w:rsidRPr="00736C59">
        <w:rPr>
          <w:rStyle w:val="FootnoteReference"/>
          <w:sz w:val="20"/>
          <w:vertAlign w:val="baseline"/>
          <w:lang w:val="es-ES"/>
        </w:rPr>
        <w:t>characters</w:t>
      </w:r>
      <w:proofErr w:type="spellEnd"/>
      <w:r w:rsidR="00EE423B" w:rsidRPr="00736C59">
        <w:rPr>
          <w:rStyle w:val="FootnoteReference"/>
          <w:sz w:val="20"/>
          <w:vertAlign w:val="baseline"/>
          <w:lang w:val="es-ES"/>
        </w:rPr>
        <w:t>.</w:t>
      </w:r>
    </w:p>
    <w:p w14:paraId="7302984A" w14:textId="77777777" w:rsidR="00DD4E89" w:rsidRPr="00736C59" w:rsidRDefault="00DD4E89" w:rsidP="00DD4E89">
      <w:pPr>
        <w:rPr>
          <w:lang w:val="es-ES"/>
        </w:rPr>
      </w:pPr>
      <w:r w:rsidRPr="00736C59">
        <w:rPr>
          <w:lang w:val="es-ES"/>
        </w:rPr>
        <w:br w:type="page"/>
      </w:r>
    </w:p>
    <w:p w14:paraId="45994EC9" w14:textId="77777777" w:rsidR="00DD4E89" w:rsidRPr="004E3F12" w:rsidRDefault="00DD4E89" w:rsidP="00DD4E89">
      <w:pPr>
        <w:pStyle w:val="HChG"/>
      </w:pPr>
      <w:r w:rsidRPr="00736C59">
        <w:rPr>
          <w:lang w:val="es-ES"/>
        </w:rPr>
        <w:lastRenderedPageBreak/>
        <w:tab/>
      </w:r>
      <w:r>
        <w:t>I.</w:t>
      </w:r>
      <w:r>
        <w:tab/>
      </w:r>
      <w:r w:rsidRPr="004E3F12">
        <w:t>Proposal</w:t>
      </w:r>
    </w:p>
    <w:p w14:paraId="4C5078F0" w14:textId="77777777" w:rsidR="00327448" w:rsidRPr="00A94ED6" w:rsidRDefault="00327448" w:rsidP="003F0852">
      <w:pPr>
        <w:pStyle w:val="SingleTxtG"/>
        <w:tabs>
          <w:tab w:val="clear" w:pos="1701"/>
          <w:tab w:val="clear" w:pos="2268"/>
          <w:tab w:val="clear" w:pos="2835"/>
        </w:tabs>
        <w:ind w:left="2268" w:hanging="1134"/>
        <w:rPr>
          <w:i/>
          <w:color w:val="000000" w:themeColor="text1"/>
        </w:rPr>
      </w:pPr>
      <w:r w:rsidRPr="00A94ED6">
        <w:rPr>
          <w:i/>
          <w:color w:val="000000" w:themeColor="text1"/>
        </w:rPr>
        <w:t xml:space="preserve">Paragraph 2.13., </w:t>
      </w:r>
      <w:r w:rsidRPr="00C928F2">
        <w:rPr>
          <w:iCs/>
          <w:color w:val="000000" w:themeColor="text1"/>
        </w:rPr>
        <w:t>amend to read:</w:t>
      </w:r>
    </w:p>
    <w:p w14:paraId="463C710B" w14:textId="7E0386AD" w:rsidR="00327448" w:rsidRPr="00A94ED6" w:rsidRDefault="00133154" w:rsidP="003F0852">
      <w:pPr>
        <w:pStyle w:val="SingleTxtG"/>
        <w:tabs>
          <w:tab w:val="clear" w:pos="1701"/>
          <w:tab w:val="clear" w:pos="2268"/>
          <w:tab w:val="clear" w:pos="2835"/>
        </w:tabs>
        <w:ind w:left="2268" w:hanging="1134"/>
        <w:rPr>
          <w:iCs/>
          <w:color w:val="000000" w:themeColor="text1"/>
        </w:rPr>
      </w:pPr>
      <w:r>
        <w:rPr>
          <w:iCs/>
          <w:color w:val="000000" w:themeColor="text1"/>
        </w:rPr>
        <w:t>“</w:t>
      </w:r>
      <w:r w:rsidR="00327448" w:rsidRPr="00A94ED6">
        <w:rPr>
          <w:iCs/>
          <w:color w:val="000000" w:themeColor="text1"/>
        </w:rPr>
        <w:t>2.13.</w:t>
      </w:r>
      <w:r w:rsidR="00327448" w:rsidRPr="00A94ED6">
        <w:rPr>
          <w:iCs/>
          <w:color w:val="000000" w:themeColor="text1"/>
        </w:rPr>
        <w:tab/>
      </w:r>
      <w:r w:rsidR="00327448" w:rsidRPr="00133154">
        <w:rPr>
          <w:i/>
          <w:color w:val="000000" w:themeColor="text1"/>
        </w:rPr>
        <w:tab/>
        <w:t>"Head restraint"</w:t>
      </w:r>
      <w:r w:rsidR="00327448" w:rsidRPr="00A94ED6">
        <w:rPr>
          <w:iCs/>
          <w:color w:val="000000" w:themeColor="text1"/>
        </w:rPr>
        <w:t xml:space="preserve"> means at any designated seating position, a device that limits rearward displacement of a seated occupant's head relative to the occupant's torso and that has a height equal to or greater than 700 mm at </w:t>
      </w:r>
      <w:r w:rsidR="00327448" w:rsidRPr="00A94ED6">
        <w:rPr>
          <w:iCs/>
          <w:strike/>
          <w:color w:val="000000" w:themeColor="text1"/>
        </w:rPr>
        <w:t>any</w:t>
      </w:r>
      <w:r w:rsidR="00327448" w:rsidRPr="00A94ED6">
        <w:rPr>
          <w:iCs/>
          <w:color w:val="000000" w:themeColor="text1"/>
        </w:rPr>
        <w:t xml:space="preserve"> </w:t>
      </w:r>
      <w:r w:rsidR="00327448" w:rsidRPr="00A94ED6">
        <w:rPr>
          <w:b/>
          <w:bCs/>
          <w:iCs/>
          <w:color w:val="000000" w:themeColor="text1"/>
        </w:rPr>
        <w:t xml:space="preserve">at least one point </w:t>
      </w:r>
      <w:r w:rsidR="00327448" w:rsidRPr="00A94ED6">
        <w:rPr>
          <w:iCs/>
          <w:color w:val="000000" w:themeColor="text1"/>
        </w:rPr>
        <w:t xml:space="preserve">between two vertical longitudinal planes passing at 85 mm on either side of the </w:t>
      </w:r>
      <w:r w:rsidR="00327448" w:rsidRPr="00A94ED6">
        <w:rPr>
          <w:iCs/>
          <w:strike/>
          <w:color w:val="000000" w:themeColor="text1"/>
        </w:rPr>
        <w:t xml:space="preserve">torso line </w:t>
      </w:r>
      <w:r w:rsidR="00327448" w:rsidRPr="00A94ED6">
        <w:rPr>
          <w:b/>
          <w:bCs/>
          <w:color w:val="000000" w:themeColor="text1"/>
          <w:lang w:val="en-US"/>
        </w:rPr>
        <w:t>longitudinal</w:t>
      </w:r>
      <w:r w:rsidR="00327448" w:rsidRPr="00A94ED6">
        <w:rPr>
          <w:b/>
          <w:bCs/>
          <w:iCs/>
          <w:color w:val="000000" w:themeColor="text1"/>
          <w:lang w:val="en-US"/>
        </w:rPr>
        <w:t xml:space="preserve"> </w:t>
      </w:r>
      <w:r w:rsidR="00327448" w:rsidRPr="00A94ED6">
        <w:rPr>
          <w:b/>
          <w:bCs/>
          <w:iCs/>
          <w:color w:val="000000" w:themeColor="text1"/>
        </w:rPr>
        <w:t>median plane of the seat</w:t>
      </w:r>
      <w:r w:rsidR="00327448" w:rsidRPr="00A94ED6">
        <w:rPr>
          <w:iCs/>
          <w:color w:val="000000" w:themeColor="text1"/>
        </w:rPr>
        <w:t xml:space="preserve">, in any position of </w:t>
      </w:r>
      <w:proofErr w:type="spellStart"/>
      <w:r w:rsidR="00327448" w:rsidRPr="00A94ED6">
        <w:rPr>
          <w:iCs/>
          <w:color w:val="000000" w:themeColor="text1"/>
        </w:rPr>
        <w:t>backset</w:t>
      </w:r>
      <w:proofErr w:type="spellEnd"/>
      <w:r w:rsidR="00327448" w:rsidRPr="00A94ED6">
        <w:rPr>
          <w:iCs/>
          <w:color w:val="000000" w:themeColor="text1"/>
        </w:rPr>
        <w:t xml:space="preserve"> and height adjustment, as measured in accordance with Annex 10.”</w:t>
      </w:r>
    </w:p>
    <w:p w14:paraId="2B7470AC" w14:textId="77777777" w:rsidR="00327448" w:rsidRPr="00A94ED6" w:rsidRDefault="00327448" w:rsidP="003F0852">
      <w:pPr>
        <w:pStyle w:val="SingleTxtG"/>
        <w:tabs>
          <w:tab w:val="clear" w:pos="1701"/>
          <w:tab w:val="clear" w:pos="2268"/>
          <w:tab w:val="clear" w:pos="2835"/>
        </w:tabs>
        <w:ind w:left="2268" w:hanging="1134"/>
        <w:rPr>
          <w:i/>
          <w:color w:val="000000" w:themeColor="text1"/>
        </w:rPr>
      </w:pPr>
      <w:r w:rsidRPr="00A94ED6">
        <w:rPr>
          <w:i/>
          <w:color w:val="000000" w:themeColor="text1"/>
        </w:rPr>
        <w:t xml:space="preserve">Paragraph 5.5.1.2., </w:t>
      </w:r>
      <w:r w:rsidRPr="00C928F2">
        <w:rPr>
          <w:iCs/>
          <w:color w:val="000000" w:themeColor="text1"/>
        </w:rPr>
        <w:t>amend to read:</w:t>
      </w:r>
    </w:p>
    <w:p w14:paraId="2D13466F" w14:textId="6BA57FDB" w:rsidR="00327448" w:rsidRPr="00446466" w:rsidRDefault="00446466" w:rsidP="003F0852">
      <w:pPr>
        <w:pStyle w:val="SingleTxtG"/>
        <w:tabs>
          <w:tab w:val="clear" w:pos="1701"/>
          <w:tab w:val="clear" w:pos="2268"/>
          <w:tab w:val="clear" w:pos="2835"/>
        </w:tabs>
        <w:ind w:left="2268" w:hanging="1134"/>
        <w:rPr>
          <w:iCs/>
          <w:color w:val="000000" w:themeColor="text1"/>
        </w:rPr>
      </w:pPr>
      <w:r>
        <w:rPr>
          <w:iCs/>
          <w:color w:val="000000" w:themeColor="text1"/>
        </w:rPr>
        <w:t>“5.5.1.2.</w:t>
      </w:r>
      <w:r>
        <w:rPr>
          <w:iCs/>
          <w:color w:val="000000" w:themeColor="text1"/>
        </w:rPr>
        <w:tab/>
      </w:r>
      <w:r w:rsidR="00327448" w:rsidRPr="00A94ED6">
        <w:rPr>
          <w:iCs/>
          <w:color w:val="000000" w:themeColor="text1"/>
        </w:rPr>
        <w:t>Parts of the front and rear faces of head restraints situated in area 2, as defined in paragraph 6.8.1.2. below, shall be so padded as to prevent any direct contact of the head with the components of the structure and shall meet the requirements of paragraph 5.2.4. above applicable to the rear parts of seats situated in area 2. When paragraph 5.2.4.2. is used for front faces of head restraints the energy dissipation test shall be conducted according to Annex 12. In the case of head restraints integrated with the seat back, the front face of the head restraint is considered as the area located above a plane perpendicular to the reference</w:t>
      </w:r>
      <w:r w:rsidR="00327448" w:rsidRPr="00A94ED6">
        <w:rPr>
          <w:b/>
          <w:bCs/>
          <w:iCs/>
          <w:color w:val="000000" w:themeColor="text1"/>
        </w:rPr>
        <w:t xml:space="preserve"> </w:t>
      </w:r>
      <w:r w:rsidR="00327448" w:rsidRPr="00A94ED6">
        <w:rPr>
          <w:iCs/>
          <w:color w:val="000000" w:themeColor="text1"/>
        </w:rPr>
        <w:t xml:space="preserve">line at 540 mm from the R point and between two vertical longitudinal planes at 85 mm on either side of the </w:t>
      </w:r>
      <w:r w:rsidR="00327448" w:rsidRPr="00A94ED6">
        <w:rPr>
          <w:iCs/>
          <w:strike/>
          <w:color w:val="000000" w:themeColor="text1"/>
        </w:rPr>
        <w:t>reference line</w:t>
      </w:r>
      <w:r w:rsidR="00327448" w:rsidRPr="00A94ED6">
        <w:rPr>
          <w:b/>
          <w:bCs/>
          <w:color w:val="000000" w:themeColor="text1"/>
          <w:lang w:val="en-US"/>
        </w:rPr>
        <w:t xml:space="preserve"> longitudinal</w:t>
      </w:r>
      <w:r w:rsidR="00327448" w:rsidRPr="00A94ED6">
        <w:rPr>
          <w:b/>
          <w:bCs/>
          <w:iCs/>
          <w:color w:val="000000" w:themeColor="text1"/>
          <w:lang w:val="en-US"/>
        </w:rPr>
        <w:t xml:space="preserve"> </w:t>
      </w:r>
      <w:r w:rsidR="00327448" w:rsidRPr="00A94ED6">
        <w:rPr>
          <w:b/>
          <w:bCs/>
          <w:iCs/>
          <w:color w:val="000000" w:themeColor="text1"/>
        </w:rPr>
        <w:t>median plane of the seat.</w:t>
      </w:r>
      <w:r>
        <w:rPr>
          <w:iCs/>
          <w:color w:val="000000" w:themeColor="text1"/>
        </w:rPr>
        <w:t>”</w:t>
      </w:r>
    </w:p>
    <w:p w14:paraId="2CEA4B7A" w14:textId="77777777" w:rsidR="00327448" w:rsidRPr="00A94ED6" w:rsidRDefault="00327448" w:rsidP="003F0852">
      <w:pPr>
        <w:pStyle w:val="SingleTxtG"/>
        <w:tabs>
          <w:tab w:val="clear" w:pos="1701"/>
          <w:tab w:val="clear" w:pos="2268"/>
          <w:tab w:val="clear" w:pos="2835"/>
        </w:tabs>
        <w:ind w:left="2268" w:hanging="1134"/>
        <w:rPr>
          <w:i/>
          <w:color w:val="000000" w:themeColor="text1"/>
        </w:rPr>
      </w:pPr>
      <w:r w:rsidRPr="00A94ED6">
        <w:rPr>
          <w:i/>
          <w:color w:val="000000" w:themeColor="text1"/>
        </w:rPr>
        <w:t xml:space="preserve">Paragraph 5.6.3., </w:t>
      </w:r>
      <w:r w:rsidRPr="002F6128">
        <w:rPr>
          <w:iCs/>
          <w:color w:val="000000" w:themeColor="text1"/>
        </w:rPr>
        <w:t>amend to read:</w:t>
      </w:r>
    </w:p>
    <w:p w14:paraId="335E4A75" w14:textId="68BE439D" w:rsidR="00327448" w:rsidRDefault="008D1B89" w:rsidP="003F0852">
      <w:pPr>
        <w:pStyle w:val="SingleTxtG"/>
        <w:tabs>
          <w:tab w:val="clear" w:pos="1701"/>
          <w:tab w:val="clear" w:pos="2268"/>
          <w:tab w:val="clear" w:pos="2835"/>
        </w:tabs>
        <w:ind w:left="2268" w:hanging="1134"/>
        <w:rPr>
          <w:iCs/>
          <w:color w:val="000000" w:themeColor="text1"/>
        </w:rPr>
      </w:pPr>
      <w:r>
        <w:rPr>
          <w:iCs/>
          <w:color w:val="000000" w:themeColor="text1"/>
        </w:rPr>
        <w:t>“</w:t>
      </w:r>
      <w:r w:rsidR="00327448" w:rsidRPr="00A94ED6">
        <w:rPr>
          <w:iCs/>
          <w:color w:val="000000" w:themeColor="text1"/>
        </w:rPr>
        <w:t>5.6.3.</w:t>
      </w:r>
      <w:r w:rsidR="00327448" w:rsidRPr="00A94ED6">
        <w:rPr>
          <w:iCs/>
          <w:color w:val="000000" w:themeColor="text1"/>
        </w:rPr>
        <w:tab/>
      </w:r>
      <w:r w:rsidR="00327448" w:rsidRPr="00A94ED6">
        <w:rPr>
          <w:iCs/>
          <w:color w:val="000000" w:themeColor="text1"/>
        </w:rPr>
        <w:tab/>
        <w:t xml:space="preserve">When measured in accordance with Annex 4, the lateral width of a head restraint shall be not less than 85 mm on either side of the </w:t>
      </w:r>
      <w:r w:rsidR="00327448" w:rsidRPr="00A94ED6">
        <w:rPr>
          <w:iCs/>
          <w:strike/>
          <w:color w:val="000000" w:themeColor="text1"/>
        </w:rPr>
        <w:t>torso line</w:t>
      </w:r>
      <w:r w:rsidR="00327448" w:rsidRPr="00A94ED6">
        <w:rPr>
          <w:iCs/>
          <w:color w:val="000000" w:themeColor="text1"/>
        </w:rPr>
        <w:t xml:space="preserve"> </w:t>
      </w:r>
      <w:r w:rsidR="00327448" w:rsidRPr="00A94ED6">
        <w:rPr>
          <w:b/>
          <w:bCs/>
          <w:color w:val="000000" w:themeColor="text1"/>
          <w:lang w:val="en-US"/>
        </w:rPr>
        <w:t>longitudinal</w:t>
      </w:r>
      <w:r w:rsidR="00327448" w:rsidRPr="00A94ED6">
        <w:rPr>
          <w:b/>
          <w:bCs/>
          <w:iCs/>
          <w:color w:val="000000" w:themeColor="text1"/>
          <w:lang w:val="en-US"/>
        </w:rPr>
        <w:t xml:space="preserve"> </w:t>
      </w:r>
      <w:r w:rsidR="00327448" w:rsidRPr="00A94ED6">
        <w:rPr>
          <w:b/>
          <w:bCs/>
          <w:iCs/>
          <w:color w:val="000000" w:themeColor="text1"/>
        </w:rPr>
        <w:t>median plane of the seat</w:t>
      </w:r>
      <w:r w:rsidR="00327448" w:rsidRPr="00A94ED6">
        <w:rPr>
          <w:iCs/>
          <w:color w:val="000000" w:themeColor="text1"/>
        </w:rPr>
        <w:t xml:space="preserve"> (distances L and L').</w:t>
      </w:r>
      <w:r>
        <w:rPr>
          <w:iCs/>
          <w:color w:val="000000" w:themeColor="text1"/>
        </w:rPr>
        <w:t>”</w:t>
      </w:r>
    </w:p>
    <w:p w14:paraId="1DE9C632" w14:textId="0FEC1923" w:rsidR="00327448" w:rsidRPr="00A94ED6" w:rsidRDefault="00327448" w:rsidP="003F0852">
      <w:pPr>
        <w:pStyle w:val="SingleTxtG"/>
        <w:tabs>
          <w:tab w:val="clear" w:pos="1701"/>
          <w:tab w:val="clear" w:pos="2268"/>
          <w:tab w:val="clear" w:pos="2835"/>
        </w:tabs>
        <w:ind w:left="2268" w:hanging="1134"/>
        <w:rPr>
          <w:i/>
          <w:color w:val="000000" w:themeColor="text1"/>
        </w:rPr>
      </w:pPr>
      <w:r w:rsidRPr="00A94ED6">
        <w:rPr>
          <w:i/>
          <w:color w:val="000000" w:themeColor="text1"/>
        </w:rPr>
        <w:t xml:space="preserve">Annex 4, </w:t>
      </w:r>
      <w:r w:rsidR="008D1B89">
        <w:rPr>
          <w:i/>
          <w:color w:val="000000" w:themeColor="text1"/>
        </w:rPr>
        <w:t>p</w:t>
      </w:r>
      <w:r w:rsidRPr="00A94ED6">
        <w:rPr>
          <w:i/>
          <w:color w:val="000000" w:themeColor="text1"/>
        </w:rPr>
        <w:t xml:space="preserve">aragraph 2.4., </w:t>
      </w:r>
      <w:r w:rsidRPr="002F6128">
        <w:rPr>
          <w:iCs/>
          <w:color w:val="000000" w:themeColor="text1"/>
        </w:rPr>
        <w:t>amend to read:</w:t>
      </w:r>
    </w:p>
    <w:p w14:paraId="2C653BF7" w14:textId="7BEDAE43" w:rsidR="00327448" w:rsidRPr="00A94ED6" w:rsidRDefault="008D1B89" w:rsidP="003F0852">
      <w:pPr>
        <w:pStyle w:val="SingleTxtG"/>
        <w:tabs>
          <w:tab w:val="clear" w:pos="1701"/>
          <w:tab w:val="clear" w:pos="2268"/>
          <w:tab w:val="clear" w:pos="2835"/>
        </w:tabs>
        <w:ind w:left="2268" w:hanging="1134"/>
        <w:rPr>
          <w:iCs/>
          <w:color w:val="000000" w:themeColor="text1"/>
        </w:rPr>
      </w:pPr>
      <w:r>
        <w:rPr>
          <w:iCs/>
          <w:color w:val="000000" w:themeColor="text1"/>
        </w:rPr>
        <w:t>“</w:t>
      </w:r>
      <w:r w:rsidR="00327448" w:rsidRPr="00A94ED6">
        <w:rPr>
          <w:iCs/>
          <w:color w:val="000000" w:themeColor="text1"/>
        </w:rPr>
        <w:t xml:space="preserve">2.4. </w:t>
      </w:r>
      <w:r w:rsidR="00327448" w:rsidRPr="00A94ED6">
        <w:rPr>
          <w:iCs/>
          <w:color w:val="000000" w:themeColor="text1"/>
        </w:rPr>
        <w:tab/>
      </w:r>
      <w:r w:rsidR="00327448" w:rsidRPr="00A94ED6">
        <w:rPr>
          <w:iCs/>
          <w:color w:val="000000" w:themeColor="text1"/>
        </w:rPr>
        <w:tab/>
        <w:t xml:space="preserve">Measure the distances L and L' in the plane S1 between the vertical longitudinal planes *) passing through the </w:t>
      </w:r>
      <w:r w:rsidR="00327448" w:rsidRPr="00A94ED6">
        <w:rPr>
          <w:iCs/>
          <w:strike/>
          <w:color w:val="000000" w:themeColor="text1"/>
        </w:rPr>
        <w:t>torso line</w:t>
      </w:r>
      <w:r w:rsidR="00327448" w:rsidRPr="00A94ED6">
        <w:rPr>
          <w:iCs/>
          <w:color w:val="000000" w:themeColor="text1"/>
        </w:rPr>
        <w:t xml:space="preserve"> </w:t>
      </w:r>
      <w:r w:rsidR="00327448" w:rsidRPr="00A94ED6">
        <w:rPr>
          <w:b/>
          <w:bCs/>
          <w:color w:val="000000" w:themeColor="text1"/>
          <w:lang w:val="en-US"/>
        </w:rPr>
        <w:t>longitudinal</w:t>
      </w:r>
      <w:r w:rsidR="00327448" w:rsidRPr="00A94ED6">
        <w:rPr>
          <w:b/>
          <w:bCs/>
          <w:iCs/>
          <w:color w:val="000000" w:themeColor="text1"/>
          <w:lang w:val="en-US"/>
        </w:rPr>
        <w:t xml:space="preserve"> </w:t>
      </w:r>
      <w:r w:rsidR="00327448" w:rsidRPr="00A94ED6">
        <w:rPr>
          <w:b/>
          <w:bCs/>
          <w:iCs/>
          <w:color w:val="000000" w:themeColor="text1"/>
        </w:rPr>
        <w:t>median plane of the seat</w:t>
      </w:r>
      <w:r w:rsidR="00327448" w:rsidRPr="00A94ED6">
        <w:rPr>
          <w:iCs/>
          <w:color w:val="000000" w:themeColor="text1"/>
        </w:rPr>
        <w:t xml:space="preserve"> and the planes P and P'.</w:t>
      </w:r>
      <w:r>
        <w:rPr>
          <w:iCs/>
          <w:color w:val="000000" w:themeColor="text1"/>
        </w:rPr>
        <w:t>”</w:t>
      </w:r>
    </w:p>
    <w:p w14:paraId="7CEAD34F" w14:textId="67C32653" w:rsidR="00327448" w:rsidRPr="003F0894" w:rsidRDefault="00327448" w:rsidP="003F0852">
      <w:pPr>
        <w:pStyle w:val="SingleTxtG"/>
        <w:tabs>
          <w:tab w:val="clear" w:pos="1701"/>
          <w:tab w:val="clear" w:pos="2268"/>
          <w:tab w:val="clear" w:pos="2835"/>
        </w:tabs>
        <w:ind w:left="2268" w:hanging="1134"/>
        <w:rPr>
          <w:iCs/>
          <w:color w:val="000000" w:themeColor="text1"/>
        </w:rPr>
      </w:pPr>
      <w:r w:rsidRPr="00A94ED6">
        <w:rPr>
          <w:i/>
          <w:color w:val="000000" w:themeColor="text1"/>
        </w:rPr>
        <w:t xml:space="preserve">Annex 4, </w:t>
      </w:r>
      <w:r w:rsidR="008D1B89">
        <w:rPr>
          <w:i/>
          <w:color w:val="000000" w:themeColor="text1"/>
        </w:rPr>
        <w:t>f</w:t>
      </w:r>
      <w:r w:rsidRPr="00A94ED6">
        <w:rPr>
          <w:i/>
          <w:color w:val="000000" w:themeColor="text1"/>
        </w:rPr>
        <w:t xml:space="preserve">igure 4-1, </w:t>
      </w:r>
      <w:r w:rsidR="003F0894">
        <w:rPr>
          <w:iCs/>
          <w:color w:val="000000" w:themeColor="text1"/>
        </w:rPr>
        <w:t>delete</w:t>
      </w:r>
      <w:r w:rsidR="00AC7A8A">
        <w:rPr>
          <w:iCs/>
          <w:color w:val="000000" w:themeColor="text1"/>
        </w:rPr>
        <w:t xml:space="preserve"> the label</w:t>
      </w:r>
      <w:r w:rsidR="003F0894">
        <w:rPr>
          <w:iCs/>
          <w:color w:val="000000" w:themeColor="text1"/>
        </w:rPr>
        <w:t xml:space="preserve"> “</w:t>
      </w:r>
      <w:r w:rsidR="00A81963">
        <w:rPr>
          <w:iCs/>
          <w:color w:val="000000" w:themeColor="text1"/>
        </w:rPr>
        <w:t>Torso line”.</w:t>
      </w:r>
    </w:p>
    <w:p w14:paraId="46B33A35" w14:textId="5733146B" w:rsidR="00327448" w:rsidRPr="00A94ED6" w:rsidRDefault="00327448" w:rsidP="003F0852">
      <w:pPr>
        <w:pStyle w:val="SingleTxtG"/>
        <w:tabs>
          <w:tab w:val="clear" w:pos="1701"/>
          <w:tab w:val="clear" w:pos="2268"/>
          <w:tab w:val="clear" w:pos="2835"/>
        </w:tabs>
        <w:ind w:left="2268" w:hanging="1134"/>
        <w:rPr>
          <w:color w:val="000000" w:themeColor="text1"/>
        </w:rPr>
      </w:pPr>
      <w:r w:rsidRPr="00A94ED6">
        <w:rPr>
          <w:i/>
          <w:color w:val="000000" w:themeColor="text1"/>
        </w:rPr>
        <w:t xml:space="preserve">Annex 6, </w:t>
      </w:r>
      <w:r w:rsidR="00A81963">
        <w:rPr>
          <w:i/>
          <w:color w:val="000000" w:themeColor="text1"/>
        </w:rPr>
        <w:t>p</w:t>
      </w:r>
      <w:r w:rsidRPr="00A94ED6">
        <w:rPr>
          <w:i/>
          <w:color w:val="000000" w:themeColor="text1"/>
        </w:rPr>
        <w:t>aragraph 1.4.2.2.</w:t>
      </w:r>
      <w:r w:rsidRPr="00A94ED6">
        <w:rPr>
          <w:color w:val="000000" w:themeColor="text1"/>
        </w:rPr>
        <w:t>,</w:t>
      </w:r>
      <w:r w:rsidRPr="00A94ED6">
        <w:rPr>
          <w:i/>
          <w:color w:val="000000" w:themeColor="text1"/>
        </w:rPr>
        <w:t xml:space="preserve"> </w:t>
      </w:r>
      <w:r w:rsidRPr="00A94ED6">
        <w:rPr>
          <w:iCs/>
          <w:color w:val="000000" w:themeColor="text1"/>
        </w:rPr>
        <w:t xml:space="preserve">amend </w:t>
      </w:r>
      <w:r w:rsidRPr="00A94ED6">
        <w:rPr>
          <w:color w:val="000000" w:themeColor="text1"/>
        </w:rPr>
        <w:t>to read:</w:t>
      </w:r>
    </w:p>
    <w:p w14:paraId="64CCED93" w14:textId="5FD897ED" w:rsidR="00327448" w:rsidRPr="00A94ED6" w:rsidRDefault="00A81963" w:rsidP="003F0852">
      <w:pPr>
        <w:pStyle w:val="SingleTxtG"/>
        <w:tabs>
          <w:tab w:val="clear" w:pos="1701"/>
          <w:tab w:val="clear" w:pos="2268"/>
          <w:tab w:val="clear" w:pos="2835"/>
        </w:tabs>
        <w:ind w:left="2268" w:hanging="1134"/>
        <w:rPr>
          <w:color w:val="000000" w:themeColor="text1"/>
          <w:lang w:val="en-US"/>
        </w:rPr>
      </w:pPr>
      <w:r>
        <w:rPr>
          <w:color w:val="000000" w:themeColor="text1"/>
          <w:lang w:val="en-US"/>
        </w:rPr>
        <w:t>“</w:t>
      </w:r>
      <w:r w:rsidR="00327448" w:rsidRPr="00A94ED6">
        <w:rPr>
          <w:color w:val="000000" w:themeColor="text1"/>
          <w:lang w:val="en-US"/>
        </w:rPr>
        <w:t xml:space="preserve">1.4.2.2. </w:t>
      </w:r>
      <w:r w:rsidR="00327448" w:rsidRPr="00A94ED6">
        <w:rPr>
          <w:color w:val="000000" w:themeColor="text1"/>
          <w:lang w:val="en-US"/>
        </w:rPr>
        <w:tab/>
        <w:t xml:space="preserve">The </w:t>
      </w:r>
      <w:r w:rsidR="00327448" w:rsidRPr="00A94ED6">
        <w:rPr>
          <w:strike/>
          <w:color w:val="000000" w:themeColor="text1"/>
          <w:lang w:val="en-US"/>
        </w:rPr>
        <w:t>front and</w:t>
      </w:r>
      <w:r w:rsidR="00327448" w:rsidRPr="00A94ED6">
        <w:rPr>
          <w:color w:val="000000" w:themeColor="text1"/>
          <w:lang w:val="en-US"/>
        </w:rPr>
        <w:t xml:space="preserve"> rear zones are </w:t>
      </w:r>
      <w:r w:rsidR="00327448" w:rsidRPr="00A94ED6">
        <w:rPr>
          <w:strike/>
          <w:color w:val="000000" w:themeColor="text1"/>
          <w:lang w:val="en-US"/>
        </w:rPr>
        <w:t>respectively</w:t>
      </w:r>
      <w:r w:rsidR="00327448" w:rsidRPr="00A94ED6">
        <w:rPr>
          <w:color w:val="000000" w:themeColor="text1"/>
          <w:lang w:val="en-US"/>
        </w:rPr>
        <w:t xml:space="preserve"> bounded by the horizontal plane tangential to the </w:t>
      </w:r>
      <w:r w:rsidR="00327448" w:rsidRPr="00A94ED6">
        <w:rPr>
          <w:b/>
          <w:bCs/>
          <w:color w:val="000000" w:themeColor="text1"/>
          <w:lang w:val="en-US"/>
        </w:rPr>
        <w:t>horizontal</w:t>
      </w:r>
      <w:r w:rsidR="00327448" w:rsidRPr="00A94ED6">
        <w:rPr>
          <w:color w:val="000000" w:themeColor="text1"/>
          <w:lang w:val="en-US"/>
        </w:rPr>
        <w:t xml:space="preserve"> top of the head restraint </w:t>
      </w:r>
      <w:r w:rsidR="00327448" w:rsidRPr="00A94ED6">
        <w:rPr>
          <w:strike/>
          <w:color w:val="000000" w:themeColor="text1"/>
          <w:lang w:val="en-US"/>
        </w:rPr>
        <w:t>as determined in paragraph 6.5.</w:t>
      </w:r>
      <w:r w:rsidR="00327448" w:rsidRPr="00A94ED6">
        <w:rPr>
          <w:color w:val="000000" w:themeColor="text1"/>
          <w:lang w:val="en-US"/>
        </w:rPr>
        <w:t xml:space="preserve"> </w:t>
      </w:r>
      <w:r w:rsidR="00327448" w:rsidRPr="00A94ED6">
        <w:rPr>
          <w:b/>
          <w:bCs/>
          <w:color w:val="000000" w:themeColor="text1"/>
          <w:lang w:val="en-US"/>
        </w:rPr>
        <w:t>as shown in figure 10-4</w:t>
      </w:r>
      <w:r w:rsidR="00327448" w:rsidRPr="00A94ED6">
        <w:rPr>
          <w:color w:val="000000" w:themeColor="text1"/>
          <w:lang w:val="en-US"/>
        </w:rPr>
        <w:t xml:space="preserve"> of this Regulation.”</w:t>
      </w:r>
    </w:p>
    <w:p w14:paraId="24C316F1" w14:textId="7CFA2B42" w:rsidR="00327448" w:rsidRPr="00A94ED6" w:rsidRDefault="00327448" w:rsidP="003F0852">
      <w:pPr>
        <w:pStyle w:val="SingleTxtG"/>
        <w:tabs>
          <w:tab w:val="clear" w:pos="1701"/>
          <w:tab w:val="clear" w:pos="2268"/>
          <w:tab w:val="clear" w:pos="2835"/>
        </w:tabs>
        <w:ind w:left="2268" w:hanging="1134"/>
        <w:rPr>
          <w:color w:val="000000" w:themeColor="text1"/>
        </w:rPr>
      </w:pPr>
      <w:r w:rsidRPr="00A94ED6">
        <w:rPr>
          <w:i/>
          <w:color w:val="000000" w:themeColor="text1"/>
        </w:rPr>
        <w:t xml:space="preserve">Annex 8, </w:t>
      </w:r>
      <w:r w:rsidR="00A81963">
        <w:rPr>
          <w:i/>
          <w:color w:val="000000" w:themeColor="text1"/>
        </w:rPr>
        <w:t>p</w:t>
      </w:r>
      <w:r w:rsidRPr="00A94ED6">
        <w:rPr>
          <w:i/>
          <w:color w:val="000000" w:themeColor="text1"/>
        </w:rPr>
        <w:t xml:space="preserve">aragraph 2.3., </w:t>
      </w:r>
      <w:r w:rsidRPr="00A94ED6">
        <w:rPr>
          <w:iCs/>
          <w:color w:val="000000" w:themeColor="text1"/>
        </w:rPr>
        <w:t xml:space="preserve">amend </w:t>
      </w:r>
      <w:r w:rsidRPr="00A94ED6">
        <w:rPr>
          <w:color w:val="000000" w:themeColor="text1"/>
        </w:rPr>
        <w:t>to read:</w:t>
      </w:r>
    </w:p>
    <w:p w14:paraId="6B53DCA9" w14:textId="77777777" w:rsidR="00327448" w:rsidRDefault="00327448" w:rsidP="003F0852">
      <w:pPr>
        <w:pStyle w:val="SingleTxtG"/>
        <w:tabs>
          <w:tab w:val="clear" w:pos="1701"/>
          <w:tab w:val="clear" w:pos="2268"/>
          <w:tab w:val="clear" w:pos="2835"/>
        </w:tabs>
        <w:ind w:left="2268" w:hanging="1134"/>
        <w:rPr>
          <w:color w:val="000000" w:themeColor="text1"/>
          <w:lang w:val="en-US"/>
        </w:rPr>
      </w:pPr>
      <w:r w:rsidRPr="00A94ED6">
        <w:rPr>
          <w:color w:val="000000" w:themeColor="text1"/>
          <w:lang w:val="en-US"/>
        </w:rPr>
        <w:t xml:space="preserve">“2.3. </w:t>
      </w:r>
      <w:r w:rsidRPr="00A94ED6">
        <w:rPr>
          <w:color w:val="000000" w:themeColor="text1"/>
          <w:lang w:val="en-US"/>
        </w:rPr>
        <w:tab/>
        <w:t xml:space="preserve">The area of measurement is </w:t>
      </w:r>
      <w:r w:rsidRPr="00A94ED6">
        <w:rPr>
          <w:b/>
          <w:bCs/>
          <w:color w:val="000000" w:themeColor="text1"/>
          <w:lang w:val="en-US"/>
        </w:rPr>
        <w:t>on the front face of the head restraint</w:t>
      </w:r>
      <w:r w:rsidRPr="00A94ED6">
        <w:rPr>
          <w:color w:val="000000" w:themeColor="text1"/>
          <w:lang w:val="en-US"/>
        </w:rPr>
        <w:t xml:space="preserve">, anywhere between two vertical longitudinal planes passing at 85 mm on either side of the </w:t>
      </w:r>
      <w:r w:rsidRPr="00A94ED6">
        <w:rPr>
          <w:strike/>
          <w:color w:val="000000" w:themeColor="text1"/>
          <w:lang w:val="en-US"/>
        </w:rPr>
        <w:t>torso line</w:t>
      </w:r>
      <w:r w:rsidRPr="00A94ED6">
        <w:rPr>
          <w:color w:val="000000" w:themeColor="text1"/>
          <w:lang w:val="en-US"/>
        </w:rPr>
        <w:t xml:space="preserve"> </w:t>
      </w:r>
      <w:r w:rsidRPr="00A94ED6">
        <w:rPr>
          <w:b/>
          <w:bCs/>
          <w:color w:val="000000" w:themeColor="text1"/>
          <w:lang w:val="en-US"/>
        </w:rPr>
        <w:t>longitudinal median plane of the seat</w:t>
      </w:r>
      <w:r w:rsidRPr="00A94ED6">
        <w:rPr>
          <w:color w:val="000000" w:themeColor="text1"/>
          <w:lang w:val="en-US"/>
        </w:rPr>
        <w:t xml:space="preserve"> and above the top of the seat back at a height greater than 540 mm.”</w:t>
      </w:r>
    </w:p>
    <w:p w14:paraId="79C28C78" w14:textId="1D3F3187" w:rsidR="00327448" w:rsidRPr="00A94ED6" w:rsidRDefault="00327448" w:rsidP="003F0852">
      <w:pPr>
        <w:pStyle w:val="SingleTxtG"/>
        <w:tabs>
          <w:tab w:val="clear" w:pos="1701"/>
          <w:tab w:val="clear" w:pos="2268"/>
          <w:tab w:val="clear" w:pos="2835"/>
        </w:tabs>
        <w:ind w:left="2268" w:hanging="1134"/>
        <w:rPr>
          <w:color w:val="000000" w:themeColor="text1"/>
        </w:rPr>
      </w:pPr>
      <w:r w:rsidRPr="00A94ED6">
        <w:rPr>
          <w:i/>
          <w:color w:val="000000" w:themeColor="text1"/>
        </w:rPr>
        <w:t xml:space="preserve">Annex 11, </w:t>
      </w:r>
      <w:r w:rsidR="00A81963">
        <w:rPr>
          <w:i/>
          <w:color w:val="000000" w:themeColor="text1"/>
        </w:rPr>
        <w:t>p</w:t>
      </w:r>
      <w:r w:rsidRPr="00A94ED6">
        <w:rPr>
          <w:i/>
          <w:color w:val="000000" w:themeColor="text1"/>
        </w:rPr>
        <w:t>aragraph 2.</w:t>
      </w:r>
      <w:r w:rsidR="002F6128">
        <w:rPr>
          <w:i/>
          <w:color w:val="000000" w:themeColor="text1"/>
        </w:rPr>
        <w:t xml:space="preserve"> </w:t>
      </w:r>
      <w:r w:rsidRPr="00A94ED6">
        <w:rPr>
          <w:i/>
          <w:color w:val="000000" w:themeColor="text1"/>
        </w:rPr>
        <w:t>to 2.1</w:t>
      </w:r>
      <w:r w:rsidR="002F6128">
        <w:rPr>
          <w:i/>
          <w:color w:val="000000" w:themeColor="text1"/>
        </w:rPr>
        <w:t>.</w:t>
      </w:r>
      <w:r w:rsidRPr="00A94ED6">
        <w:rPr>
          <w:i/>
          <w:color w:val="000000" w:themeColor="text1"/>
        </w:rPr>
        <w:t xml:space="preserve">, </w:t>
      </w:r>
      <w:r w:rsidRPr="00A94ED6">
        <w:rPr>
          <w:iCs/>
          <w:color w:val="000000" w:themeColor="text1"/>
        </w:rPr>
        <w:t xml:space="preserve">amend </w:t>
      </w:r>
      <w:r w:rsidRPr="00A94ED6">
        <w:rPr>
          <w:color w:val="000000" w:themeColor="text1"/>
        </w:rPr>
        <w:t>to read:</w:t>
      </w:r>
    </w:p>
    <w:p w14:paraId="3793C3A4" w14:textId="172BFB9A" w:rsidR="00327448" w:rsidRPr="00A81963" w:rsidRDefault="00327448" w:rsidP="003F0852">
      <w:pPr>
        <w:pStyle w:val="SingleTxtG"/>
        <w:tabs>
          <w:tab w:val="clear" w:pos="1701"/>
          <w:tab w:val="clear" w:pos="2268"/>
          <w:tab w:val="clear" w:pos="2835"/>
        </w:tabs>
        <w:ind w:left="2268" w:hanging="1134"/>
        <w:rPr>
          <w:b/>
          <w:bCs/>
          <w:color w:val="000000" w:themeColor="text1"/>
          <w:lang w:val="en-US"/>
        </w:rPr>
      </w:pPr>
      <w:r w:rsidRPr="00A94ED6">
        <w:rPr>
          <w:color w:val="000000" w:themeColor="text1"/>
          <w:lang w:val="en-US"/>
        </w:rPr>
        <w:t xml:space="preserve">“2. </w:t>
      </w:r>
      <w:r w:rsidRPr="00A94ED6">
        <w:rPr>
          <w:color w:val="000000" w:themeColor="text1"/>
          <w:lang w:val="en-US"/>
        </w:rPr>
        <w:tab/>
        <w:t xml:space="preserve">Demonstrate compliance with paragraph 5.6.6. by measuring the R-point backset of the head restraint based on the usage of apparatus that facilitates the measurement of coordinates and for its dimensions is based on Figure 10-2 of Annex 10. </w:t>
      </w:r>
      <w:r w:rsidRPr="00A94ED6">
        <w:rPr>
          <w:b/>
          <w:bCs/>
          <w:color w:val="000000" w:themeColor="text1"/>
          <w:lang w:val="en-US"/>
        </w:rPr>
        <w:t>The H-Point machine itself is not placed on the seat during this measurement.</w:t>
      </w:r>
      <w:r w:rsidR="00A81963" w:rsidRPr="00A81963">
        <w:rPr>
          <w:color w:val="000000" w:themeColor="text1"/>
          <w:lang w:val="en-US"/>
        </w:rPr>
        <w:t>”</w:t>
      </w:r>
    </w:p>
    <w:p w14:paraId="3C771333" w14:textId="468DB237" w:rsidR="00327448" w:rsidRPr="00A94ED6" w:rsidRDefault="00327448" w:rsidP="003F0852">
      <w:pPr>
        <w:pStyle w:val="SingleTxtG"/>
        <w:tabs>
          <w:tab w:val="clear" w:pos="1701"/>
          <w:tab w:val="clear" w:pos="2268"/>
          <w:tab w:val="clear" w:pos="2835"/>
        </w:tabs>
        <w:ind w:left="2268" w:hanging="1134"/>
        <w:rPr>
          <w:color w:val="000000" w:themeColor="text1"/>
          <w:lang w:val="en-US"/>
        </w:rPr>
      </w:pPr>
      <w:r w:rsidRPr="00A94ED6">
        <w:rPr>
          <w:i/>
          <w:color w:val="000000" w:themeColor="text1"/>
          <w:lang w:val="en-US"/>
        </w:rPr>
        <w:t xml:space="preserve">Annex12, </w:t>
      </w:r>
      <w:r w:rsidR="00DA3C99">
        <w:rPr>
          <w:i/>
          <w:color w:val="000000" w:themeColor="text1"/>
          <w:lang w:val="en-US"/>
        </w:rPr>
        <w:t>p</w:t>
      </w:r>
      <w:r w:rsidRPr="00A94ED6">
        <w:rPr>
          <w:i/>
          <w:color w:val="000000" w:themeColor="text1"/>
          <w:lang w:val="en-US"/>
        </w:rPr>
        <w:t xml:space="preserve">aragraph 3.3.2., </w:t>
      </w:r>
      <w:r w:rsidRPr="00A94ED6">
        <w:rPr>
          <w:iCs/>
          <w:color w:val="000000" w:themeColor="text1"/>
          <w:lang w:val="en-US"/>
        </w:rPr>
        <w:t xml:space="preserve">amend </w:t>
      </w:r>
      <w:r w:rsidRPr="00A94ED6">
        <w:rPr>
          <w:color w:val="000000" w:themeColor="text1"/>
          <w:lang w:val="en-US"/>
        </w:rPr>
        <w:t>to read:</w:t>
      </w:r>
    </w:p>
    <w:p w14:paraId="3F285FD2" w14:textId="4239A1E8" w:rsidR="00327448" w:rsidRDefault="00DA3C99" w:rsidP="003F0852">
      <w:pPr>
        <w:pStyle w:val="SingleTxtG"/>
        <w:tabs>
          <w:tab w:val="clear" w:pos="1701"/>
          <w:tab w:val="clear" w:pos="2268"/>
          <w:tab w:val="clear" w:pos="2835"/>
        </w:tabs>
        <w:ind w:left="2268" w:hanging="1134"/>
        <w:rPr>
          <w:color w:val="000000" w:themeColor="text1"/>
          <w:lang w:val="en-US"/>
        </w:rPr>
      </w:pPr>
      <w:r>
        <w:rPr>
          <w:i/>
          <w:color w:val="000000" w:themeColor="text1"/>
          <w:lang w:val="en-US"/>
        </w:rPr>
        <w:t>“</w:t>
      </w:r>
      <w:r w:rsidR="00327448" w:rsidRPr="00A94ED6">
        <w:rPr>
          <w:i/>
          <w:color w:val="000000" w:themeColor="text1"/>
          <w:lang w:val="en-US"/>
        </w:rPr>
        <w:t xml:space="preserve">3.3.2. </w:t>
      </w:r>
      <w:r w:rsidR="00327448" w:rsidRPr="00A94ED6">
        <w:rPr>
          <w:i/>
          <w:color w:val="000000" w:themeColor="text1"/>
          <w:lang w:val="en-US"/>
        </w:rPr>
        <w:tab/>
      </w:r>
      <w:r w:rsidR="00327448" w:rsidRPr="00A94ED6">
        <w:rPr>
          <w:i/>
          <w:color w:val="000000" w:themeColor="text1"/>
          <w:lang w:val="en-US"/>
        </w:rPr>
        <w:tab/>
      </w:r>
      <w:r w:rsidR="00327448" w:rsidRPr="00A94ED6">
        <w:rPr>
          <w:color w:val="000000" w:themeColor="text1"/>
          <w:lang w:val="en-US"/>
        </w:rPr>
        <w:t xml:space="preserve">Impact the front surface of the seat or head restraint at any point with a height greater than 635 mm from the R-point and within a lateral distance </w:t>
      </w:r>
      <w:r w:rsidR="00327448" w:rsidRPr="00A94ED6">
        <w:rPr>
          <w:b/>
          <w:bCs/>
          <w:color w:val="000000" w:themeColor="text1"/>
          <w:lang w:val="en-US"/>
        </w:rPr>
        <w:t xml:space="preserve">of 70 mm </w:t>
      </w:r>
      <w:r w:rsidR="00327448" w:rsidRPr="00A94ED6">
        <w:rPr>
          <w:color w:val="000000" w:themeColor="text1"/>
          <w:lang w:val="en-US"/>
        </w:rPr>
        <w:t xml:space="preserve">from the </w:t>
      </w:r>
      <w:r w:rsidR="00327448" w:rsidRPr="00A94ED6">
        <w:rPr>
          <w:b/>
          <w:bCs/>
          <w:color w:val="000000" w:themeColor="text1"/>
          <w:lang w:val="en-US"/>
        </w:rPr>
        <w:t xml:space="preserve">median longitudinal plane of the seat </w:t>
      </w:r>
      <w:r w:rsidR="00327448" w:rsidRPr="00A94ED6">
        <w:rPr>
          <w:strike/>
          <w:color w:val="000000" w:themeColor="text1"/>
          <w:lang w:val="en-US"/>
        </w:rPr>
        <w:t xml:space="preserve">head restraint vertical </w:t>
      </w:r>
      <w:proofErr w:type="spellStart"/>
      <w:r w:rsidR="00327448" w:rsidRPr="00A94ED6">
        <w:rPr>
          <w:color w:val="000000" w:themeColor="text1"/>
          <w:lang w:val="en-US"/>
        </w:rPr>
        <w:t>centreline</w:t>
      </w:r>
      <w:proofErr w:type="spellEnd"/>
      <w:r w:rsidR="00327448" w:rsidRPr="00A94ED6">
        <w:rPr>
          <w:color w:val="000000" w:themeColor="text1"/>
          <w:lang w:val="en-US"/>
        </w:rPr>
        <w:t xml:space="preserve"> </w:t>
      </w:r>
      <w:r w:rsidR="00327448" w:rsidRPr="00A94ED6">
        <w:rPr>
          <w:strike/>
          <w:color w:val="000000" w:themeColor="text1"/>
          <w:lang w:val="en-US"/>
        </w:rPr>
        <w:t>of 70 mm</w:t>
      </w:r>
      <w:r w:rsidR="00327448" w:rsidRPr="00A94ED6">
        <w:rPr>
          <w:color w:val="000000" w:themeColor="text1"/>
          <w:lang w:val="en-US"/>
        </w:rPr>
        <w:t xml:space="preserve"> and measure the acceleration.</w:t>
      </w:r>
      <w:r w:rsidR="00133154">
        <w:rPr>
          <w:color w:val="000000" w:themeColor="text1"/>
          <w:lang w:val="en-US"/>
        </w:rPr>
        <w:t>”</w:t>
      </w:r>
    </w:p>
    <w:p w14:paraId="5629EDC5" w14:textId="77777777" w:rsidR="00327448" w:rsidRDefault="00327448" w:rsidP="00327448">
      <w:pPr>
        <w:pStyle w:val="HChG"/>
      </w:pPr>
      <w:r>
        <w:lastRenderedPageBreak/>
        <w:tab/>
        <w:t>II.</w:t>
      </w:r>
      <w:r>
        <w:tab/>
        <w:t>Justification</w:t>
      </w:r>
    </w:p>
    <w:p w14:paraId="2193776F" w14:textId="2054D96D" w:rsidR="00327448" w:rsidRDefault="00327448" w:rsidP="00327448">
      <w:pPr>
        <w:pStyle w:val="SingleTxtG"/>
      </w:pPr>
      <w:r>
        <w:t>1.</w:t>
      </w:r>
      <w:r>
        <w:tab/>
        <w:t xml:space="preserve">Since </w:t>
      </w:r>
      <w:r w:rsidR="00DA3C99">
        <w:t>the 10 s</w:t>
      </w:r>
      <w:r>
        <w:t xml:space="preserve">eries of amendments, some test procedures are referenced to the torso line whereas the majority is referenced to the median longitudinal plane of the seat or to the reference line. </w:t>
      </w:r>
      <w:proofErr w:type="gramStart"/>
      <w:r>
        <w:t>In order to</w:t>
      </w:r>
      <w:proofErr w:type="gramEnd"/>
      <w:r>
        <w:t xml:space="preserve"> harmonize the set ups of all tests we propose to substitute the wording torso line in test procedures by the term ‘median longitudinal plane of the seat’ in Regulation No. 17.  </w:t>
      </w:r>
    </w:p>
    <w:p w14:paraId="3159A123" w14:textId="5F65C6AA" w:rsidR="00327448" w:rsidRPr="008A7302" w:rsidRDefault="00327448" w:rsidP="00327448">
      <w:pPr>
        <w:pStyle w:val="SingleTxtG"/>
        <w:rPr>
          <w:lang w:val="en-US"/>
        </w:rPr>
      </w:pPr>
      <w:r>
        <w:rPr>
          <w:lang w:val="en-US"/>
        </w:rPr>
        <w:t>2.</w:t>
      </w:r>
      <w:r>
        <w:rPr>
          <w:lang w:val="en-US"/>
        </w:rPr>
        <w:tab/>
        <w:t xml:space="preserve">During the creation of </w:t>
      </w:r>
      <w:r w:rsidR="005762D6">
        <w:rPr>
          <w:lang w:val="en-US"/>
        </w:rPr>
        <w:t xml:space="preserve">UN </w:t>
      </w:r>
      <w:r>
        <w:rPr>
          <w:lang w:val="en-US"/>
        </w:rPr>
        <w:t>G</w:t>
      </w:r>
      <w:r w:rsidR="005762D6">
        <w:rPr>
          <w:lang w:val="en-US"/>
        </w:rPr>
        <w:t xml:space="preserve">lobal Technical Regulation No. </w:t>
      </w:r>
      <w:r>
        <w:rPr>
          <w:lang w:val="en-US"/>
        </w:rPr>
        <w:t>7 it was understood that the following principle shall be applied to decide if a head restraint is present or not in the vehicle: in the case that seat trim is present at a height over 700</w:t>
      </w:r>
      <w:r w:rsidR="00946D73">
        <w:rPr>
          <w:lang w:val="en-US"/>
        </w:rPr>
        <w:t xml:space="preserve"> </w:t>
      </w:r>
      <w:r>
        <w:rPr>
          <w:lang w:val="en-US"/>
        </w:rPr>
        <w:t xml:space="preserve">mm at </w:t>
      </w:r>
      <w:proofErr w:type="spellStart"/>
      <w:r>
        <w:rPr>
          <w:lang w:val="en-US"/>
        </w:rPr>
        <w:t>at</w:t>
      </w:r>
      <w:proofErr w:type="spellEnd"/>
      <w:r>
        <w:rPr>
          <w:lang w:val="en-US"/>
        </w:rPr>
        <w:t xml:space="preserve"> least one point within +/- 85</w:t>
      </w:r>
      <w:r w:rsidR="00946D73">
        <w:rPr>
          <w:lang w:val="en-US"/>
        </w:rPr>
        <w:t xml:space="preserve"> </w:t>
      </w:r>
      <w:r>
        <w:rPr>
          <w:lang w:val="en-US"/>
        </w:rPr>
        <w:t xml:space="preserve">mm from a longitudinal median plane of the seat, then it should be considered that a head restraint is present and that this head restraint needs to comply </w:t>
      </w:r>
      <w:r w:rsidR="00946D73">
        <w:rPr>
          <w:lang w:val="en-US"/>
        </w:rPr>
        <w:t>with</w:t>
      </w:r>
      <w:r>
        <w:rPr>
          <w:lang w:val="en-US"/>
        </w:rPr>
        <w:t xml:space="preserve"> the requirements of this regulation. The proposal to develop a </w:t>
      </w:r>
      <w:r w:rsidR="001E1F2F">
        <w:rPr>
          <w:lang w:val="en-US"/>
        </w:rPr>
        <w:t>UN G</w:t>
      </w:r>
      <w:r>
        <w:rPr>
          <w:lang w:val="en-US"/>
        </w:rPr>
        <w:t xml:space="preserve">lobal </w:t>
      </w:r>
      <w:r w:rsidR="001E1F2F">
        <w:rPr>
          <w:lang w:val="en-US"/>
        </w:rPr>
        <w:t>T</w:t>
      </w:r>
      <w:r>
        <w:rPr>
          <w:lang w:val="en-US"/>
        </w:rPr>
        <w:t xml:space="preserve">echnical </w:t>
      </w:r>
      <w:r w:rsidR="001E1F2F">
        <w:rPr>
          <w:lang w:val="en-US"/>
        </w:rPr>
        <w:t>R</w:t>
      </w:r>
      <w:r>
        <w:rPr>
          <w:lang w:val="en-US"/>
        </w:rPr>
        <w:t>egulation concerning head restraints</w:t>
      </w:r>
      <w:r w:rsidRPr="00F22287">
        <w:t xml:space="preserve"> </w:t>
      </w:r>
      <w:r w:rsidR="001E1F2F">
        <w:t>(</w:t>
      </w:r>
      <w:r>
        <w:t>ECE/TRANS/180/Add.7</w:t>
      </w:r>
      <w:r w:rsidR="001E1F2F">
        <w:t xml:space="preserve">, </w:t>
      </w:r>
      <w:r>
        <w:t>Appendix 1</w:t>
      </w:r>
      <w:r w:rsidR="001E1F2F">
        <w:t>)</w:t>
      </w:r>
      <w:r>
        <w:t xml:space="preserve"> explains this principle in paragraphs 33 and 36.</w:t>
      </w:r>
      <w:r>
        <w:rPr>
          <w:lang w:val="en-US"/>
        </w:rPr>
        <w:t xml:space="preserve"> The definition of head restraint and the wording ‘any’ gave another meaning than intended and it is therefore proposed to align to the principle explained.</w:t>
      </w:r>
    </w:p>
    <w:p w14:paraId="24931667" w14:textId="67D613B5" w:rsidR="001C6663" w:rsidRPr="00327448" w:rsidRDefault="00327448" w:rsidP="00327448">
      <w:pPr>
        <w:spacing w:before="240"/>
        <w:jc w:val="center"/>
        <w:rPr>
          <w:u w:val="single"/>
        </w:rPr>
      </w:pPr>
      <w:r>
        <w:rPr>
          <w:u w:val="single"/>
        </w:rPr>
        <w:tab/>
      </w:r>
      <w:r>
        <w:rPr>
          <w:u w:val="single"/>
        </w:rPr>
        <w:tab/>
      </w:r>
      <w:r>
        <w:rPr>
          <w:u w:val="single"/>
        </w:rPr>
        <w:tab/>
      </w:r>
    </w:p>
    <w:sectPr w:rsidR="001C6663" w:rsidRPr="00327448" w:rsidSect="00101054">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83D28" w14:textId="77777777" w:rsidR="003E75F5" w:rsidRDefault="003E75F5"/>
  </w:endnote>
  <w:endnote w:type="continuationSeparator" w:id="0">
    <w:p w14:paraId="2A740BAA" w14:textId="77777777" w:rsidR="003E75F5" w:rsidRDefault="003E75F5"/>
  </w:endnote>
  <w:endnote w:type="continuationNotice" w:id="1">
    <w:p w14:paraId="5995C331" w14:textId="77777777" w:rsidR="003E75F5" w:rsidRDefault="003E7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9C5B" w14:textId="7E640CBC" w:rsidR="00101054" w:rsidRPr="00101054" w:rsidRDefault="00101054" w:rsidP="00101054">
    <w:pPr>
      <w:pStyle w:val="Footer"/>
      <w:tabs>
        <w:tab w:val="right" w:pos="9638"/>
      </w:tabs>
      <w:rPr>
        <w:sz w:val="18"/>
      </w:rPr>
    </w:pPr>
    <w:r w:rsidRPr="00101054">
      <w:rPr>
        <w:b/>
        <w:sz w:val="18"/>
      </w:rPr>
      <w:fldChar w:fldCharType="begin"/>
    </w:r>
    <w:r w:rsidRPr="00101054">
      <w:rPr>
        <w:b/>
        <w:sz w:val="18"/>
      </w:rPr>
      <w:instrText xml:space="preserve"> PAGE  \* MERGEFORMAT </w:instrText>
    </w:r>
    <w:r w:rsidRPr="00101054">
      <w:rPr>
        <w:b/>
        <w:sz w:val="18"/>
      </w:rPr>
      <w:fldChar w:fldCharType="separate"/>
    </w:r>
    <w:r w:rsidRPr="00101054">
      <w:rPr>
        <w:b/>
        <w:noProof/>
        <w:sz w:val="18"/>
      </w:rPr>
      <w:t>2</w:t>
    </w:r>
    <w:r w:rsidRPr="0010105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C3CA" w14:textId="5C1E1F86" w:rsidR="00101054" w:rsidRPr="00101054" w:rsidRDefault="00101054" w:rsidP="00101054">
    <w:pPr>
      <w:pStyle w:val="Footer"/>
      <w:tabs>
        <w:tab w:val="right" w:pos="9638"/>
      </w:tabs>
      <w:rPr>
        <w:b/>
        <w:sz w:val="18"/>
      </w:rPr>
    </w:pPr>
    <w:r>
      <w:tab/>
    </w:r>
    <w:r w:rsidRPr="00101054">
      <w:rPr>
        <w:b/>
        <w:sz w:val="18"/>
      </w:rPr>
      <w:fldChar w:fldCharType="begin"/>
    </w:r>
    <w:r w:rsidRPr="00101054">
      <w:rPr>
        <w:b/>
        <w:sz w:val="18"/>
      </w:rPr>
      <w:instrText xml:space="preserve"> PAGE  \* MERGEFORMAT </w:instrText>
    </w:r>
    <w:r w:rsidRPr="00101054">
      <w:rPr>
        <w:b/>
        <w:sz w:val="18"/>
      </w:rPr>
      <w:fldChar w:fldCharType="separate"/>
    </w:r>
    <w:r w:rsidRPr="00101054">
      <w:rPr>
        <w:b/>
        <w:noProof/>
        <w:sz w:val="18"/>
      </w:rPr>
      <w:t>3</w:t>
    </w:r>
    <w:r w:rsidRPr="0010105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A4FD" w14:textId="6FE66819" w:rsidR="00736C59" w:rsidRDefault="00736C59" w:rsidP="00736C59">
    <w:pPr>
      <w:pStyle w:val="Footer"/>
    </w:pPr>
    <w:r w:rsidRPr="0027112F">
      <w:rPr>
        <w:noProof/>
        <w:lang w:val="en-US"/>
      </w:rPr>
      <w:drawing>
        <wp:anchor distT="0" distB="0" distL="114300" distR="114300" simplePos="0" relativeHeight="251659264" behindDoc="0" locked="1" layoutInCell="1" allowOverlap="1" wp14:anchorId="753467D0" wp14:editId="767F8395">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1C259CB4" w14:textId="4895A31D" w:rsidR="00736C59" w:rsidRPr="00736C59" w:rsidRDefault="00736C59" w:rsidP="00736C59">
    <w:pPr>
      <w:pStyle w:val="Footer"/>
      <w:ind w:right="1134"/>
      <w:rPr>
        <w:sz w:val="20"/>
      </w:rPr>
    </w:pPr>
    <w:r>
      <w:rPr>
        <w:sz w:val="20"/>
      </w:rPr>
      <w:t>GE.25-</w:t>
    </w:r>
    <w:proofErr w:type="gramStart"/>
    <w:r>
      <w:rPr>
        <w:sz w:val="20"/>
      </w:rPr>
      <w:t>15182  (</w:t>
    </w:r>
    <w:proofErr w:type="gramEnd"/>
    <w:r>
      <w:rPr>
        <w:sz w:val="20"/>
      </w:rPr>
      <w:t>E)</w:t>
    </w:r>
    <w:r>
      <w:rPr>
        <w:noProof/>
        <w:sz w:val="20"/>
      </w:rPr>
      <w:drawing>
        <wp:anchor distT="0" distB="0" distL="114300" distR="114300" simplePos="0" relativeHeight="251660288" behindDoc="0" locked="0" layoutInCell="1" allowOverlap="1" wp14:anchorId="2AE09686" wp14:editId="33E2AAE6">
          <wp:simplePos x="0" y="0"/>
          <wp:positionH relativeFrom="margin">
            <wp:posOffset>5583555</wp:posOffset>
          </wp:positionH>
          <wp:positionV relativeFrom="margin">
            <wp:posOffset>8981440</wp:posOffset>
          </wp:positionV>
          <wp:extent cx="571500" cy="571500"/>
          <wp:effectExtent l="0" t="0" r="0" b="0"/>
          <wp:wrapNone/>
          <wp:docPr id="198977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4D338" w14:textId="77777777" w:rsidR="003E75F5" w:rsidRPr="000B175B" w:rsidRDefault="003E75F5" w:rsidP="000B175B">
      <w:pPr>
        <w:tabs>
          <w:tab w:val="right" w:pos="2155"/>
        </w:tabs>
        <w:spacing w:after="80"/>
        <w:ind w:left="680"/>
        <w:rPr>
          <w:u w:val="single"/>
        </w:rPr>
      </w:pPr>
      <w:r>
        <w:rPr>
          <w:u w:val="single"/>
        </w:rPr>
        <w:tab/>
      </w:r>
    </w:p>
  </w:footnote>
  <w:footnote w:type="continuationSeparator" w:id="0">
    <w:p w14:paraId="45AF6C02" w14:textId="77777777" w:rsidR="003E75F5" w:rsidRPr="00FC68B7" w:rsidRDefault="003E75F5" w:rsidP="00FC68B7">
      <w:pPr>
        <w:tabs>
          <w:tab w:val="left" w:pos="2155"/>
        </w:tabs>
        <w:spacing w:after="80"/>
        <w:ind w:left="680"/>
        <w:rPr>
          <w:u w:val="single"/>
        </w:rPr>
      </w:pPr>
      <w:r>
        <w:rPr>
          <w:u w:val="single"/>
        </w:rPr>
        <w:tab/>
      </w:r>
    </w:p>
  </w:footnote>
  <w:footnote w:type="continuationNotice" w:id="1">
    <w:p w14:paraId="30BD1E12" w14:textId="77777777" w:rsidR="003E75F5" w:rsidRDefault="003E75F5"/>
  </w:footnote>
  <w:footnote w:id="2">
    <w:p w14:paraId="25705142" w14:textId="77777777" w:rsidR="00DD4E89" w:rsidRPr="00122355" w:rsidRDefault="00DD4E89" w:rsidP="00DD4E89">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2807" w14:textId="5A96A4B2" w:rsidR="00101054" w:rsidRPr="00101054" w:rsidRDefault="004A6013">
    <w:pPr>
      <w:pStyle w:val="Header"/>
    </w:pPr>
    <w:fldSimple w:instr=" TITLE  \* MERGEFORMAT ">
      <w:r>
        <w:t>ECE/TRANS/WP.29/GRSP/2025/44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8BF9" w14:textId="0C32FC16" w:rsidR="00101054" w:rsidRPr="00101054" w:rsidRDefault="004A6013" w:rsidP="00101054">
    <w:pPr>
      <w:pStyle w:val="Header"/>
      <w:jc w:val="right"/>
    </w:pPr>
    <w:fldSimple w:instr=" TITLE  \* MERGEFORMAT ">
      <w:r>
        <w:t>ECE/TRANS/WP.29/GRSP/2025/44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849056476">
    <w:abstractNumId w:val="1"/>
  </w:num>
  <w:num w:numId="2" w16cid:durableId="1219822093">
    <w:abstractNumId w:val="0"/>
  </w:num>
  <w:num w:numId="3" w16cid:durableId="1026950742">
    <w:abstractNumId w:val="2"/>
  </w:num>
  <w:num w:numId="4" w16cid:durableId="609623514">
    <w:abstractNumId w:val="3"/>
  </w:num>
  <w:num w:numId="5" w16cid:durableId="907610845">
    <w:abstractNumId w:val="8"/>
  </w:num>
  <w:num w:numId="6" w16cid:durableId="647590511">
    <w:abstractNumId w:val="9"/>
  </w:num>
  <w:num w:numId="7" w16cid:durableId="1538199028">
    <w:abstractNumId w:val="7"/>
  </w:num>
  <w:num w:numId="8" w16cid:durableId="351078160">
    <w:abstractNumId w:val="6"/>
  </w:num>
  <w:num w:numId="9" w16cid:durableId="939992212">
    <w:abstractNumId w:val="5"/>
  </w:num>
  <w:num w:numId="10" w16cid:durableId="1901624818">
    <w:abstractNumId w:val="4"/>
  </w:num>
  <w:num w:numId="11" w16cid:durableId="1538930042">
    <w:abstractNumId w:val="15"/>
  </w:num>
  <w:num w:numId="12" w16cid:durableId="1713311787">
    <w:abstractNumId w:val="14"/>
  </w:num>
  <w:num w:numId="13" w16cid:durableId="337193113">
    <w:abstractNumId w:val="10"/>
  </w:num>
  <w:num w:numId="14" w16cid:durableId="1526670355">
    <w:abstractNumId w:val="12"/>
  </w:num>
  <w:num w:numId="15" w16cid:durableId="1220243008">
    <w:abstractNumId w:val="16"/>
  </w:num>
  <w:num w:numId="16" w16cid:durableId="1380473973">
    <w:abstractNumId w:val="13"/>
  </w:num>
  <w:num w:numId="17" w16cid:durableId="1346715456">
    <w:abstractNumId w:val="17"/>
  </w:num>
  <w:num w:numId="18" w16cid:durableId="105128224">
    <w:abstractNumId w:val="18"/>
  </w:num>
  <w:num w:numId="19" w16cid:durableId="1229733622">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54"/>
    <w:rsid w:val="00002A7D"/>
    <w:rsid w:val="000038A8"/>
    <w:rsid w:val="00005DF3"/>
    <w:rsid w:val="00006790"/>
    <w:rsid w:val="00027624"/>
    <w:rsid w:val="00031A74"/>
    <w:rsid w:val="00050F6B"/>
    <w:rsid w:val="000678CD"/>
    <w:rsid w:val="00072C8C"/>
    <w:rsid w:val="00081CE0"/>
    <w:rsid w:val="00084D30"/>
    <w:rsid w:val="00090320"/>
    <w:rsid w:val="000931C0"/>
    <w:rsid w:val="00097003"/>
    <w:rsid w:val="000A2E09"/>
    <w:rsid w:val="000B175B"/>
    <w:rsid w:val="000B3A0F"/>
    <w:rsid w:val="000E0415"/>
    <w:rsid w:val="000F7715"/>
    <w:rsid w:val="00101054"/>
    <w:rsid w:val="00110123"/>
    <w:rsid w:val="00133154"/>
    <w:rsid w:val="00156B99"/>
    <w:rsid w:val="00166124"/>
    <w:rsid w:val="00184DDA"/>
    <w:rsid w:val="001900CD"/>
    <w:rsid w:val="001A0452"/>
    <w:rsid w:val="001B4B04"/>
    <w:rsid w:val="001B5875"/>
    <w:rsid w:val="001C4B9C"/>
    <w:rsid w:val="001C6663"/>
    <w:rsid w:val="001C7895"/>
    <w:rsid w:val="001D26DF"/>
    <w:rsid w:val="001E1F2F"/>
    <w:rsid w:val="001F1599"/>
    <w:rsid w:val="001F19C4"/>
    <w:rsid w:val="002043F0"/>
    <w:rsid w:val="00211E0B"/>
    <w:rsid w:val="00232575"/>
    <w:rsid w:val="00247258"/>
    <w:rsid w:val="0024728F"/>
    <w:rsid w:val="00257CAC"/>
    <w:rsid w:val="0027237A"/>
    <w:rsid w:val="002974E9"/>
    <w:rsid w:val="002A306B"/>
    <w:rsid w:val="002A7F94"/>
    <w:rsid w:val="002B109A"/>
    <w:rsid w:val="002C6D45"/>
    <w:rsid w:val="002D6E53"/>
    <w:rsid w:val="002F046D"/>
    <w:rsid w:val="002F3023"/>
    <w:rsid w:val="002F6128"/>
    <w:rsid w:val="00301764"/>
    <w:rsid w:val="003159D8"/>
    <w:rsid w:val="003229D8"/>
    <w:rsid w:val="00327448"/>
    <w:rsid w:val="00336C97"/>
    <w:rsid w:val="00337F88"/>
    <w:rsid w:val="00342432"/>
    <w:rsid w:val="0035223F"/>
    <w:rsid w:val="00352D4B"/>
    <w:rsid w:val="0035638C"/>
    <w:rsid w:val="003A46BB"/>
    <w:rsid w:val="003A4EC7"/>
    <w:rsid w:val="003A7295"/>
    <w:rsid w:val="003B13FC"/>
    <w:rsid w:val="003B1F60"/>
    <w:rsid w:val="003C2CC4"/>
    <w:rsid w:val="003D4B23"/>
    <w:rsid w:val="003E278A"/>
    <w:rsid w:val="003E75F5"/>
    <w:rsid w:val="003F0852"/>
    <w:rsid w:val="003F0894"/>
    <w:rsid w:val="00413520"/>
    <w:rsid w:val="004325CB"/>
    <w:rsid w:val="00440A07"/>
    <w:rsid w:val="00446466"/>
    <w:rsid w:val="00462880"/>
    <w:rsid w:val="00476F24"/>
    <w:rsid w:val="004A5D33"/>
    <w:rsid w:val="004A6013"/>
    <w:rsid w:val="004C55B0"/>
    <w:rsid w:val="004E7C4F"/>
    <w:rsid w:val="004F6BA0"/>
    <w:rsid w:val="00503BEA"/>
    <w:rsid w:val="00533616"/>
    <w:rsid w:val="00535ABA"/>
    <w:rsid w:val="0053768B"/>
    <w:rsid w:val="005420F2"/>
    <w:rsid w:val="0054285C"/>
    <w:rsid w:val="005762D6"/>
    <w:rsid w:val="00584173"/>
    <w:rsid w:val="00595520"/>
    <w:rsid w:val="005A44B9"/>
    <w:rsid w:val="005B1BA0"/>
    <w:rsid w:val="005B3DB3"/>
    <w:rsid w:val="005C0268"/>
    <w:rsid w:val="005D15CA"/>
    <w:rsid w:val="005F08DF"/>
    <w:rsid w:val="005F3066"/>
    <w:rsid w:val="005F3E61"/>
    <w:rsid w:val="005F5925"/>
    <w:rsid w:val="00604DDD"/>
    <w:rsid w:val="006107D6"/>
    <w:rsid w:val="006115CC"/>
    <w:rsid w:val="00611FC4"/>
    <w:rsid w:val="006176FB"/>
    <w:rsid w:val="00630FCB"/>
    <w:rsid w:val="00640B26"/>
    <w:rsid w:val="0065766B"/>
    <w:rsid w:val="006770B2"/>
    <w:rsid w:val="00686A48"/>
    <w:rsid w:val="0068763C"/>
    <w:rsid w:val="006940E1"/>
    <w:rsid w:val="006A3C72"/>
    <w:rsid w:val="006A7392"/>
    <w:rsid w:val="006B03A1"/>
    <w:rsid w:val="006B67D9"/>
    <w:rsid w:val="006C5535"/>
    <w:rsid w:val="006D0589"/>
    <w:rsid w:val="006D3CF7"/>
    <w:rsid w:val="006E564B"/>
    <w:rsid w:val="006E7154"/>
    <w:rsid w:val="007003CD"/>
    <w:rsid w:val="0070701E"/>
    <w:rsid w:val="0072632A"/>
    <w:rsid w:val="007358E8"/>
    <w:rsid w:val="00736C59"/>
    <w:rsid w:val="00736ECE"/>
    <w:rsid w:val="0074533B"/>
    <w:rsid w:val="007643BC"/>
    <w:rsid w:val="00780C68"/>
    <w:rsid w:val="007959FE"/>
    <w:rsid w:val="007A0CF1"/>
    <w:rsid w:val="007B6BA5"/>
    <w:rsid w:val="007C3390"/>
    <w:rsid w:val="007C42D8"/>
    <w:rsid w:val="007C4F4B"/>
    <w:rsid w:val="007D6F65"/>
    <w:rsid w:val="007D7362"/>
    <w:rsid w:val="007F5CE2"/>
    <w:rsid w:val="007F6611"/>
    <w:rsid w:val="00810BAC"/>
    <w:rsid w:val="00814C29"/>
    <w:rsid w:val="008175E9"/>
    <w:rsid w:val="008242D7"/>
    <w:rsid w:val="0082577B"/>
    <w:rsid w:val="00825CB5"/>
    <w:rsid w:val="00866893"/>
    <w:rsid w:val="00866F02"/>
    <w:rsid w:val="00867D18"/>
    <w:rsid w:val="00871F9A"/>
    <w:rsid w:val="00871FD5"/>
    <w:rsid w:val="0088172E"/>
    <w:rsid w:val="00881EFA"/>
    <w:rsid w:val="008879CB"/>
    <w:rsid w:val="008979B1"/>
    <w:rsid w:val="008A1E35"/>
    <w:rsid w:val="008A6B25"/>
    <w:rsid w:val="008A6C4F"/>
    <w:rsid w:val="008B389E"/>
    <w:rsid w:val="008D045E"/>
    <w:rsid w:val="008D1B89"/>
    <w:rsid w:val="008D3F25"/>
    <w:rsid w:val="008D4D82"/>
    <w:rsid w:val="008E0E46"/>
    <w:rsid w:val="008E7116"/>
    <w:rsid w:val="008F143B"/>
    <w:rsid w:val="008F3882"/>
    <w:rsid w:val="008F4B7C"/>
    <w:rsid w:val="0092556A"/>
    <w:rsid w:val="00926E47"/>
    <w:rsid w:val="00946D73"/>
    <w:rsid w:val="00947162"/>
    <w:rsid w:val="009610D0"/>
    <w:rsid w:val="0096375C"/>
    <w:rsid w:val="009662E6"/>
    <w:rsid w:val="0097027E"/>
    <w:rsid w:val="0097095E"/>
    <w:rsid w:val="00980BF5"/>
    <w:rsid w:val="0098592B"/>
    <w:rsid w:val="00985FC4"/>
    <w:rsid w:val="00990766"/>
    <w:rsid w:val="00991261"/>
    <w:rsid w:val="009964C4"/>
    <w:rsid w:val="009A7B81"/>
    <w:rsid w:val="009B011B"/>
    <w:rsid w:val="009B7EB7"/>
    <w:rsid w:val="009D01C0"/>
    <w:rsid w:val="009D6A08"/>
    <w:rsid w:val="009E0A16"/>
    <w:rsid w:val="009E6CB7"/>
    <w:rsid w:val="009E7970"/>
    <w:rsid w:val="009F2EAC"/>
    <w:rsid w:val="009F57E3"/>
    <w:rsid w:val="00A077A2"/>
    <w:rsid w:val="00A10F4F"/>
    <w:rsid w:val="00A11067"/>
    <w:rsid w:val="00A1704A"/>
    <w:rsid w:val="00A36AC2"/>
    <w:rsid w:val="00A425EB"/>
    <w:rsid w:val="00A72F22"/>
    <w:rsid w:val="00A733BC"/>
    <w:rsid w:val="00A748A6"/>
    <w:rsid w:val="00A76A69"/>
    <w:rsid w:val="00A81963"/>
    <w:rsid w:val="00A879A4"/>
    <w:rsid w:val="00AA0FF8"/>
    <w:rsid w:val="00AC0F2C"/>
    <w:rsid w:val="00AC502A"/>
    <w:rsid w:val="00AC7A8A"/>
    <w:rsid w:val="00AE1E26"/>
    <w:rsid w:val="00AF0975"/>
    <w:rsid w:val="00AF58C1"/>
    <w:rsid w:val="00B04A3F"/>
    <w:rsid w:val="00B06643"/>
    <w:rsid w:val="00B15055"/>
    <w:rsid w:val="00B20551"/>
    <w:rsid w:val="00B30179"/>
    <w:rsid w:val="00B31E0B"/>
    <w:rsid w:val="00B33FC7"/>
    <w:rsid w:val="00B37B15"/>
    <w:rsid w:val="00B4162A"/>
    <w:rsid w:val="00B45C02"/>
    <w:rsid w:val="00B70B63"/>
    <w:rsid w:val="00B72A1E"/>
    <w:rsid w:val="00B81E12"/>
    <w:rsid w:val="00BA339B"/>
    <w:rsid w:val="00BB23CC"/>
    <w:rsid w:val="00BC1E7E"/>
    <w:rsid w:val="00BC74E9"/>
    <w:rsid w:val="00BD577A"/>
    <w:rsid w:val="00BE36A9"/>
    <w:rsid w:val="00BE618E"/>
    <w:rsid w:val="00BE7BEC"/>
    <w:rsid w:val="00BF0A5A"/>
    <w:rsid w:val="00BF0E63"/>
    <w:rsid w:val="00BF12A3"/>
    <w:rsid w:val="00BF16D7"/>
    <w:rsid w:val="00BF2373"/>
    <w:rsid w:val="00BF279B"/>
    <w:rsid w:val="00C044E2"/>
    <w:rsid w:val="00C048CB"/>
    <w:rsid w:val="00C066F3"/>
    <w:rsid w:val="00C25EEA"/>
    <w:rsid w:val="00C441D3"/>
    <w:rsid w:val="00C463DD"/>
    <w:rsid w:val="00C745C3"/>
    <w:rsid w:val="00C77584"/>
    <w:rsid w:val="00C928F2"/>
    <w:rsid w:val="00C978F5"/>
    <w:rsid w:val="00CA24A4"/>
    <w:rsid w:val="00CB348D"/>
    <w:rsid w:val="00CC752F"/>
    <w:rsid w:val="00CD46F5"/>
    <w:rsid w:val="00CE4A8F"/>
    <w:rsid w:val="00CF071D"/>
    <w:rsid w:val="00D0123D"/>
    <w:rsid w:val="00D15B04"/>
    <w:rsid w:val="00D2031B"/>
    <w:rsid w:val="00D25FE2"/>
    <w:rsid w:val="00D37DA9"/>
    <w:rsid w:val="00D406A7"/>
    <w:rsid w:val="00D41AE9"/>
    <w:rsid w:val="00D43252"/>
    <w:rsid w:val="00D44D86"/>
    <w:rsid w:val="00D50B7D"/>
    <w:rsid w:val="00D52012"/>
    <w:rsid w:val="00D704E5"/>
    <w:rsid w:val="00D72727"/>
    <w:rsid w:val="00D73A40"/>
    <w:rsid w:val="00D81332"/>
    <w:rsid w:val="00D978C6"/>
    <w:rsid w:val="00DA0956"/>
    <w:rsid w:val="00DA357F"/>
    <w:rsid w:val="00DA3C99"/>
    <w:rsid w:val="00DA3E12"/>
    <w:rsid w:val="00DC18AD"/>
    <w:rsid w:val="00DD4E89"/>
    <w:rsid w:val="00DF7CAE"/>
    <w:rsid w:val="00E423C0"/>
    <w:rsid w:val="00E6414C"/>
    <w:rsid w:val="00E7260F"/>
    <w:rsid w:val="00E8702D"/>
    <w:rsid w:val="00E905F4"/>
    <w:rsid w:val="00E916A9"/>
    <w:rsid w:val="00E916DE"/>
    <w:rsid w:val="00E925AD"/>
    <w:rsid w:val="00E96630"/>
    <w:rsid w:val="00EC4537"/>
    <w:rsid w:val="00ED18DC"/>
    <w:rsid w:val="00ED6201"/>
    <w:rsid w:val="00ED7A2A"/>
    <w:rsid w:val="00EE423B"/>
    <w:rsid w:val="00EF1D7F"/>
    <w:rsid w:val="00F0137E"/>
    <w:rsid w:val="00F04E44"/>
    <w:rsid w:val="00F21786"/>
    <w:rsid w:val="00F25D06"/>
    <w:rsid w:val="00F31CFF"/>
    <w:rsid w:val="00F3742B"/>
    <w:rsid w:val="00F41FDB"/>
    <w:rsid w:val="00F50597"/>
    <w:rsid w:val="00F56D63"/>
    <w:rsid w:val="00F609A9"/>
    <w:rsid w:val="00F80C99"/>
    <w:rsid w:val="00F867EC"/>
    <w:rsid w:val="00F91B2B"/>
    <w:rsid w:val="00FA1D29"/>
    <w:rsid w:val="00FC03CD"/>
    <w:rsid w:val="00FC0646"/>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FB47B"/>
  <w15:docId w15:val="{E4464738-AD94-4653-8D89-A4A117B0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HChGChar">
    <w:name w:val="_ H _Ch_G Char"/>
    <w:link w:val="HChG"/>
    <w:locked/>
    <w:rsid w:val="00DD4E89"/>
    <w:rPr>
      <w:b/>
      <w:sz w:val="28"/>
      <w:lang w:val="en-GB"/>
    </w:rPr>
  </w:style>
  <w:style w:type="character" w:customStyle="1" w:styleId="SingleTxtGChar">
    <w:name w:val="_ Single Txt_G Char"/>
    <w:link w:val="SingleTxtG"/>
    <w:qFormat/>
    <w:rsid w:val="00DD4E8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CE3CA1C7-DCBC-437D-BDA7-5B4B379F4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0</TotalTime>
  <Pages>3</Pages>
  <Words>893</Words>
  <Characters>4443</Characters>
  <Application>Microsoft Office Word</Application>
  <DocSecurity>0</DocSecurity>
  <Lines>92</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ECE/TRANS/WP.29/GRSP/2025/44</dc:title>
  <dc:subject>2515182</dc:subject>
  <dc:creator>Pauline Anne Escalante</dc:creator>
  <cp:keywords/>
  <dc:description/>
  <cp:lastModifiedBy>Pauline Anne Escalante</cp:lastModifiedBy>
  <cp:revision>2</cp:revision>
  <cp:lastPrinted>2025-09-22T13:23:00Z</cp:lastPrinted>
  <dcterms:created xsi:type="dcterms:W3CDTF">2025-09-22T13:51:00Z</dcterms:created>
  <dcterms:modified xsi:type="dcterms:W3CDTF">2025-09-22T13:51:00Z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