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E52D" w14:textId="3A15FDBE" w:rsidR="00ED7F18" w:rsidRDefault="00ED7F18" w:rsidP="00ED7F18">
      <w:pPr>
        <w:pStyle w:val="HChG"/>
      </w:pPr>
      <w:r w:rsidRPr="00ED2B0E">
        <w:tab/>
      </w:r>
      <w:r w:rsidRPr="00ED2B0E">
        <w:tab/>
      </w:r>
      <w:r w:rsidR="00681AC3" w:rsidRPr="00681AC3">
        <w:t>Proposal for a corrigendum to the original series of UN Regulation No. 174 (Safety-</w:t>
      </w:r>
      <w:r w:rsidR="00681AC3">
        <w:t>b</w:t>
      </w:r>
      <w:r w:rsidR="00681AC3" w:rsidRPr="00681AC3">
        <w:t xml:space="preserve">elt </w:t>
      </w:r>
      <w:r w:rsidR="00681AC3">
        <w:t>r</w:t>
      </w:r>
      <w:r w:rsidR="00681AC3" w:rsidRPr="00681AC3">
        <w:t>eminders)</w:t>
      </w:r>
    </w:p>
    <w:p w14:paraId="5187C4B5" w14:textId="518EA8DF" w:rsidR="00917FFB" w:rsidRDefault="00D86AEA" w:rsidP="00531173">
      <w:pPr>
        <w:pStyle w:val="SingleTxtG"/>
        <w:rPr>
          <w:color w:val="000000" w:themeColor="text1"/>
        </w:rPr>
      </w:pPr>
      <w:r w:rsidRPr="00D86AEA">
        <w:rPr>
          <w:color w:val="000000" w:themeColor="text1"/>
        </w:rPr>
        <w:t>The text reproduced below was prepared by the experts from Republic of Korea aiming to correct editorial errors in the original series of UN Regulation No. 174. The modifications are marked in bold for new</w:t>
      </w:r>
      <w:r w:rsidR="00917FFB" w:rsidRPr="00EF4BCC">
        <w:rPr>
          <w:color w:val="000000" w:themeColor="text1"/>
        </w:rPr>
        <w:t>.</w:t>
      </w:r>
    </w:p>
    <w:p w14:paraId="37CBB239" w14:textId="1F010F66" w:rsidR="005760CB" w:rsidRPr="00831D3D" w:rsidRDefault="00831D3D" w:rsidP="00455A06">
      <w:pPr>
        <w:pStyle w:val="HChG"/>
      </w:pPr>
      <w:r>
        <w:tab/>
        <w:t>I.</w:t>
      </w:r>
      <w:r>
        <w:tab/>
      </w:r>
      <w:r w:rsidR="005760CB" w:rsidRPr="00831D3D">
        <w:t>Proposal</w:t>
      </w:r>
    </w:p>
    <w:p w14:paraId="7D8828D4" w14:textId="77777777" w:rsidR="00455A06" w:rsidRPr="00B66079" w:rsidRDefault="00455A06" w:rsidP="00455A06">
      <w:pPr>
        <w:pStyle w:val="SingleTxtG"/>
        <w:tabs>
          <w:tab w:val="clear" w:pos="1701"/>
          <w:tab w:val="clear" w:pos="2268"/>
          <w:tab w:val="clear" w:pos="2835"/>
        </w:tabs>
        <w:ind w:left="2268" w:hanging="1134"/>
      </w:pPr>
      <w:r w:rsidRPr="00831D3D">
        <w:rPr>
          <w:i/>
          <w:iCs/>
        </w:rPr>
        <w:t xml:space="preserve">Paragraph </w:t>
      </w:r>
      <w:r>
        <w:rPr>
          <w:i/>
          <w:iCs/>
        </w:rPr>
        <w:t>2.4</w:t>
      </w:r>
      <w:r w:rsidRPr="00831D3D">
        <w:rPr>
          <w:i/>
          <w:iCs/>
        </w:rPr>
        <w:t>.,</w:t>
      </w:r>
      <w:r w:rsidRPr="00B66079">
        <w:t xml:space="preserve"> amend to read:</w:t>
      </w:r>
    </w:p>
    <w:p w14:paraId="6B9351B6" w14:textId="77777777" w:rsidR="00455A06" w:rsidRPr="00455A06" w:rsidRDefault="00455A06" w:rsidP="00455A06">
      <w:pPr>
        <w:pStyle w:val="SingleTxtG"/>
        <w:tabs>
          <w:tab w:val="clear" w:pos="1701"/>
          <w:tab w:val="clear" w:pos="2268"/>
          <w:tab w:val="clear" w:pos="2835"/>
        </w:tabs>
        <w:ind w:left="2268" w:hanging="1134"/>
      </w:pPr>
      <w:r w:rsidRPr="00455A06">
        <w:t>“2.4</w:t>
      </w:r>
      <w:r w:rsidRPr="00455A06">
        <w:rPr>
          <w:rFonts w:hint="eastAsia"/>
        </w:rPr>
        <w:t>.</w:t>
      </w:r>
      <w:r w:rsidRPr="00455A06">
        <w:rPr>
          <w:rFonts w:hint="eastAsia"/>
        </w:rPr>
        <w:tab/>
      </w:r>
      <w:r w:rsidRPr="00455A06">
        <w:t xml:space="preserve">"First level warning" means a visual warning activated when the ignition switch or </w:t>
      </w:r>
      <w:r w:rsidRPr="00455A06">
        <w:rPr>
          <w:b/>
          <w:bCs/>
        </w:rPr>
        <w:t>vehicle</w:t>
      </w:r>
      <w:r w:rsidRPr="00455A06">
        <w:t xml:space="preserve"> master control switch is activated and any of the occupants’ safety-belt is not fastened. An audible warning can be added as an option.”</w:t>
      </w:r>
    </w:p>
    <w:p w14:paraId="0DB2A756" w14:textId="77777777" w:rsidR="00455A06" w:rsidRPr="00B66079" w:rsidRDefault="00455A06" w:rsidP="00455A06">
      <w:pPr>
        <w:pStyle w:val="SingleTxtG"/>
        <w:tabs>
          <w:tab w:val="clear" w:pos="1701"/>
          <w:tab w:val="clear" w:pos="2268"/>
          <w:tab w:val="clear" w:pos="2835"/>
        </w:tabs>
        <w:ind w:left="2268" w:hanging="1134"/>
      </w:pPr>
      <w:r w:rsidRPr="00831D3D">
        <w:rPr>
          <w:i/>
          <w:iCs/>
        </w:rPr>
        <w:t xml:space="preserve">Paragraph </w:t>
      </w:r>
      <w:r>
        <w:rPr>
          <w:i/>
          <w:iCs/>
        </w:rPr>
        <w:t>5.2.3.1</w:t>
      </w:r>
      <w:r w:rsidRPr="00831D3D">
        <w:rPr>
          <w:i/>
          <w:iCs/>
        </w:rPr>
        <w:t>.,</w:t>
      </w:r>
      <w:r w:rsidRPr="00B66079">
        <w:t xml:space="preserve"> amend to read:</w:t>
      </w:r>
    </w:p>
    <w:p w14:paraId="19CA373B" w14:textId="77777777" w:rsidR="00455A06" w:rsidRDefault="00455A06" w:rsidP="00455A06">
      <w:pPr>
        <w:pStyle w:val="SingleTxtG"/>
        <w:tabs>
          <w:tab w:val="clear" w:pos="1701"/>
          <w:tab w:val="clear" w:pos="2268"/>
          <w:tab w:val="clear" w:pos="2835"/>
        </w:tabs>
        <w:ind w:left="2268" w:hanging="1134"/>
      </w:pPr>
      <w:r>
        <w:t>“5.2.3.1.</w:t>
      </w:r>
      <w:r w:rsidRPr="00831D3D">
        <w:rPr>
          <w:rFonts w:hint="eastAsia"/>
        </w:rPr>
        <w:tab/>
      </w:r>
      <w:r>
        <w:t xml:space="preserve">The first level warning shall be at least a visual warning activated for 30 seconds or longer for seating positions covered by paragraph 5.1.1. and for 60 seconds or longer for seating positions covered by paragraph 5.1.2. when the safety-belt of any of the seats is not fastened and the ignition switch or </w:t>
      </w:r>
      <w:r w:rsidRPr="00CE1EC2">
        <w:rPr>
          <w:b/>
        </w:rPr>
        <w:t>vehicle</w:t>
      </w:r>
      <w:r>
        <w:t xml:space="preserve"> master control switch is activated</w:t>
      </w:r>
      <w:r w:rsidRPr="00EE7F4A">
        <w:rPr>
          <w:b/>
        </w:rPr>
        <w:t>.</w:t>
      </w:r>
      <w:r>
        <w:rPr>
          <w:b/>
        </w:rPr>
        <w:t>”</w:t>
      </w:r>
    </w:p>
    <w:p w14:paraId="7DB5939E" w14:textId="77777777" w:rsidR="00455A06" w:rsidRPr="00B66079" w:rsidRDefault="00455A06" w:rsidP="00455A06">
      <w:pPr>
        <w:pStyle w:val="SingleTxtG"/>
        <w:tabs>
          <w:tab w:val="clear" w:pos="1701"/>
          <w:tab w:val="clear" w:pos="2268"/>
          <w:tab w:val="clear" w:pos="2835"/>
        </w:tabs>
        <w:ind w:left="2268" w:hanging="1134"/>
      </w:pPr>
      <w:r w:rsidRPr="00831D3D">
        <w:rPr>
          <w:i/>
          <w:iCs/>
        </w:rPr>
        <w:t xml:space="preserve">Paragraph </w:t>
      </w:r>
      <w:r>
        <w:rPr>
          <w:i/>
          <w:iCs/>
        </w:rPr>
        <w:t>5.5.1</w:t>
      </w:r>
      <w:r w:rsidRPr="00831D3D">
        <w:rPr>
          <w:i/>
          <w:iCs/>
        </w:rPr>
        <w:t>.,</w:t>
      </w:r>
      <w:r w:rsidRPr="00B66079">
        <w:t xml:space="preserve"> amend to read:</w:t>
      </w:r>
    </w:p>
    <w:p w14:paraId="39ED15A7" w14:textId="77777777" w:rsidR="00455A06" w:rsidRPr="00831D3D" w:rsidRDefault="00455A06" w:rsidP="00455A06">
      <w:pPr>
        <w:pStyle w:val="SingleTxtG"/>
        <w:tabs>
          <w:tab w:val="clear" w:pos="1701"/>
          <w:tab w:val="clear" w:pos="2268"/>
          <w:tab w:val="clear" w:pos="2835"/>
        </w:tabs>
        <w:ind w:left="2268" w:hanging="1134"/>
      </w:pPr>
      <w:r>
        <w:t>“5.5.</w:t>
      </w:r>
      <w:r w:rsidRPr="00831D3D">
        <w:rPr>
          <w:rFonts w:hint="eastAsia"/>
        </w:rPr>
        <w:t>1.</w:t>
      </w:r>
      <w:r w:rsidRPr="00831D3D">
        <w:rPr>
          <w:rFonts w:hint="eastAsia"/>
        </w:rPr>
        <w:tab/>
      </w:r>
      <w:r>
        <w:t xml:space="preserve">In the case that a short-term deactivation is provided, it shall be significantly more difficult to deactivate the safety-belt reminder than buckling the safety-belt on and off (i.e. it shall consist of an operation of specific controls that are not integrated in the safety-belt buckle) and this operation shall only be possible when the vehicle is stationary. When the ignition or </w:t>
      </w:r>
      <w:r w:rsidRPr="00EE7F4A">
        <w:rPr>
          <w:b/>
        </w:rPr>
        <w:t>vehicle</w:t>
      </w:r>
      <w:r>
        <w:t xml:space="preserve"> master control switch is deactivated for more than 30 minutes and activated again, a short-term deactivated safety-belt reminder shall reactivate. It shall not be possible to provide short-term deactivation of the relevant visual warning(s).”</w:t>
      </w:r>
    </w:p>
    <w:p w14:paraId="576467E1" w14:textId="77777777" w:rsidR="00455A06" w:rsidRPr="00B66079" w:rsidRDefault="00455A06" w:rsidP="00455A06">
      <w:pPr>
        <w:pStyle w:val="SingleTxtG"/>
        <w:tabs>
          <w:tab w:val="clear" w:pos="1701"/>
          <w:tab w:val="clear" w:pos="2268"/>
          <w:tab w:val="clear" w:pos="2835"/>
        </w:tabs>
        <w:ind w:left="2268" w:hanging="1134"/>
      </w:pPr>
      <w:r w:rsidRPr="00831D3D">
        <w:rPr>
          <w:i/>
          <w:iCs/>
        </w:rPr>
        <w:t xml:space="preserve">Paragraph </w:t>
      </w:r>
      <w:r>
        <w:rPr>
          <w:i/>
          <w:iCs/>
        </w:rPr>
        <w:t>5.6.2.4</w:t>
      </w:r>
      <w:r w:rsidRPr="00831D3D">
        <w:rPr>
          <w:i/>
          <w:iCs/>
        </w:rPr>
        <w:t>.,</w:t>
      </w:r>
      <w:r w:rsidRPr="00B66079">
        <w:t xml:space="preserve"> amend to read:</w:t>
      </w:r>
    </w:p>
    <w:p w14:paraId="41F21621" w14:textId="77777777" w:rsidR="00455A06" w:rsidRDefault="00455A06" w:rsidP="00455A06">
      <w:pPr>
        <w:pStyle w:val="SingleTxtG"/>
        <w:tabs>
          <w:tab w:val="clear" w:pos="1701"/>
          <w:tab w:val="clear" w:pos="2268"/>
          <w:tab w:val="clear" w:pos="2835"/>
        </w:tabs>
        <w:ind w:left="2268" w:hanging="1134"/>
      </w:pPr>
      <w:r>
        <w:t>“5.6.2.4</w:t>
      </w:r>
      <w:r w:rsidRPr="00831D3D">
        <w:rPr>
          <w:rFonts w:hint="eastAsia"/>
        </w:rPr>
        <w:t>.</w:t>
      </w:r>
      <w:r w:rsidRPr="00831D3D">
        <w:rPr>
          <w:rFonts w:hint="eastAsia"/>
        </w:rPr>
        <w:tab/>
      </w:r>
      <w:r>
        <w:t xml:space="preserve">In case a connector is misconnected or disconnected for removable seating positions covered by paragraph 5.1.1., a warning visible to the driver shall be activated for 30 seconds when the ignition switch or </w:t>
      </w:r>
      <w:r w:rsidRPr="00EE7F4A">
        <w:rPr>
          <w:b/>
        </w:rPr>
        <w:t>vehicle</w:t>
      </w:r>
      <w:r>
        <w:t xml:space="preserve"> master control switch is activated.”</w:t>
      </w:r>
    </w:p>
    <w:p w14:paraId="7F47BF55" w14:textId="77777777" w:rsidR="00455A06" w:rsidRPr="00B66079" w:rsidRDefault="00455A06" w:rsidP="00455A06">
      <w:pPr>
        <w:pStyle w:val="SingleTxtG"/>
        <w:tabs>
          <w:tab w:val="clear" w:pos="1701"/>
          <w:tab w:val="clear" w:pos="2268"/>
          <w:tab w:val="clear" w:pos="2835"/>
        </w:tabs>
        <w:ind w:left="2268" w:hanging="1134"/>
      </w:pPr>
      <w:r w:rsidRPr="00831D3D">
        <w:rPr>
          <w:i/>
          <w:iCs/>
        </w:rPr>
        <w:t xml:space="preserve">Paragraph </w:t>
      </w:r>
      <w:r>
        <w:rPr>
          <w:i/>
          <w:iCs/>
        </w:rPr>
        <w:t>5.6.2.5</w:t>
      </w:r>
      <w:r w:rsidRPr="00831D3D">
        <w:rPr>
          <w:i/>
          <w:iCs/>
        </w:rPr>
        <w:t>.,</w:t>
      </w:r>
      <w:r w:rsidRPr="00B66079">
        <w:t xml:space="preserve"> amend to read:</w:t>
      </w:r>
    </w:p>
    <w:p w14:paraId="7E842DCA" w14:textId="77777777" w:rsidR="00455A06" w:rsidRDefault="00455A06" w:rsidP="00455A06">
      <w:pPr>
        <w:pStyle w:val="SingleTxtG"/>
        <w:tabs>
          <w:tab w:val="clear" w:pos="1701"/>
          <w:tab w:val="clear" w:pos="2268"/>
          <w:tab w:val="clear" w:pos="2835"/>
        </w:tabs>
        <w:ind w:left="2268" w:hanging="1134"/>
      </w:pPr>
      <w:r>
        <w:t>“5</w:t>
      </w:r>
      <w:r w:rsidRPr="00831D3D">
        <w:rPr>
          <w:rFonts w:hint="eastAsia"/>
        </w:rPr>
        <w:t>.</w:t>
      </w:r>
      <w:r>
        <w:t>6</w:t>
      </w:r>
      <w:r w:rsidRPr="00831D3D">
        <w:rPr>
          <w:rFonts w:hint="eastAsia"/>
        </w:rPr>
        <w:t>.</w:t>
      </w:r>
      <w:r>
        <w:t>2</w:t>
      </w:r>
      <w:r w:rsidRPr="00831D3D">
        <w:rPr>
          <w:rFonts w:hint="eastAsia"/>
        </w:rPr>
        <w:t>.</w:t>
      </w:r>
      <w:r>
        <w:t>5</w:t>
      </w:r>
      <w:r w:rsidRPr="00831D3D">
        <w:rPr>
          <w:rFonts w:hint="eastAsia"/>
        </w:rPr>
        <w:t>.</w:t>
      </w:r>
      <w:r w:rsidRPr="00831D3D">
        <w:rPr>
          <w:rFonts w:hint="eastAsia"/>
        </w:rPr>
        <w:tab/>
      </w:r>
      <w:r>
        <w:t xml:space="preserve">When a seat is removable for seating positions covered by paragraph 5.1.2., the visual warning of paragraph 5.4.2. shall indicate at least all rear seating position to allow the driver to identify, while facing forward as seated on the driver seat, any removable seating position in which the connector is misconnected or disconnected, and it shall be activated for 60 seconds when the ignition switch or </w:t>
      </w:r>
      <w:r w:rsidRPr="00284E14">
        <w:rPr>
          <w:b/>
        </w:rPr>
        <w:t>vehicle</w:t>
      </w:r>
      <w:r>
        <w:t xml:space="preserve"> master control switch is activated. For seats, which can be fixed to different designated seating positions within the vehicle (e.g. floor rail mounted), the visual warning shall at least indicate when any rear removable seating position connector is misconnected or disconnected.”</w:t>
      </w:r>
    </w:p>
    <w:p w14:paraId="6447B02B" w14:textId="77777777" w:rsidR="00455A06" w:rsidRPr="0079666C" w:rsidRDefault="00455A06" w:rsidP="00455A06">
      <w:pPr>
        <w:pStyle w:val="HChG"/>
        <w:rPr>
          <w:snapToGrid w:val="0"/>
          <w:lang w:eastAsia="ja-JP"/>
        </w:rPr>
      </w:pPr>
      <w:r w:rsidRPr="0079666C">
        <w:rPr>
          <w:snapToGrid w:val="0"/>
          <w:lang w:eastAsia="ja-JP"/>
        </w:rPr>
        <w:tab/>
        <w:t>II.</w:t>
      </w:r>
      <w:r w:rsidRPr="0079666C">
        <w:rPr>
          <w:snapToGrid w:val="0"/>
          <w:lang w:eastAsia="ja-JP"/>
        </w:rPr>
        <w:tab/>
      </w:r>
      <w:r w:rsidRPr="0079666C">
        <w:rPr>
          <w:snapToGrid w:val="0"/>
          <w:lang w:eastAsia="ja-JP"/>
        </w:rPr>
        <w:tab/>
      </w:r>
      <w:r w:rsidRPr="0079666C">
        <w:t>Justification</w:t>
      </w:r>
    </w:p>
    <w:p w14:paraId="2D3E4CC5" w14:textId="691E8874" w:rsidR="00455A06" w:rsidRPr="00455A06" w:rsidRDefault="00455A06" w:rsidP="00455A06">
      <w:pPr>
        <w:pStyle w:val="SingleTxtG"/>
      </w:pPr>
      <w:r w:rsidRPr="00455A06">
        <w:t>1.</w:t>
      </w:r>
      <w:r w:rsidRPr="00455A06">
        <w:tab/>
        <w:t xml:space="preserve">The purpose of this amendment is to correct an editorial error. After a new UN Regulation on </w:t>
      </w:r>
      <w:r w:rsidR="006665F8">
        <w:t>s</w:t>
      </w:r>
      <w:r w:rsidRPr="00455A06">
        <w:t>afety-</w:t>
      </w:r>
      <w:r w:rsidR="006665F8">
        <w:t>b</w:t>
      </w:r>
      <w:r w:rsidRPr="00455A06">
        <w:t xml:space="preserve">elt </w:t>
      </w:r>
      <w:r w:rsidR="006665F8">
        <w:t>r</w:t>
      </w:r>
      <w:r w:rsidRPr="00455A06">
        <w:t xml:space="preserve">eminders was adopted by the World </w:t>
      </w:r>
      <w:r w:rsidR="006665F8">
        <w:t>F</w:t>
      </w:r>
      <w:r w:rsidRPr="00455A06">
        <w:t xml:space="preserve">orum for Harmonization of Vehicle Regulations (WP.29) and the Administrative Committee (AC.1) at their November 2024 sessions, the Working Party on Passive Safety (GRSP) adopted and submitted </w:t>
      </w:r>
      <w:r w:rsidRPr="00455A06">
        <w:lastRenderedPageBreak/>
        <w:t>ECE/TRANS/WP.29/GRSP/2024/2 as amended by informal documents GRSP-76-27 and GRSP-76-41-Rev.1 at GRSP December 2024 session for WP.29 June 2025 session.</w:t>
      </w:r>
    </w:p>
    <w:p w14:paraId="4A13F1AA" w14:textId="77777777" w:rsidR="00455A06" w:rsidRPr="00455A06" w:rsidRDefault="00455A06" w:rsidP="00455A06">
      <w:pPr>
        <w:pStyle w:val="SingleTxtG"/>
      </w:pPr>
      <w:r w:rsidRPr="00455A06">
        <w:t>2.</w:t>
      </w:r>
      <w:r w:rsidRPr="00455A06">
        <w:tab/>
        <w:t>The adopted amendment by GRSP introduced “vehicle master control switch” as a new definition. However, the use of term is missing in several related paragraphs.</w:t>
      </w:r>
    </w:p>
    <w:p w14:paraId="7A2AE743" w14:textId="77777777" w:rsidR="00455A06" w:rsidRPr="00455A06" w:rsidRDefault="00455A06" w:rsidP="00455A06">
      <w:pPr>
        <w:pStyle w:val="SingleTxtG"/>
      </w:pPr>
      <w:r w:rsidRPr="00455A06">
        <w:t>3.</w:t>
      </w:r>
      <w:r w:rsidRPr="00455A06">
        <w:tab/>
        <w:t>The proposal is made as a corrigendum, to make sure that the adopted amendment can be interpreted correctly with the newly defined term.</w:t>
      </w:r>
    </w:p>
    <w:p w14:paraId="7732544E" w14:textId="41DAD699" w:rsidR="00657764" w:rsidRPr="00DE6AD4" w:rsidRDefault="00DE6AD4" w:rsidP="00DE6AD4">
      <w:pPr>
        <w:spacing w:before="240"/>
        <w:jc w:val="center"/>
        <w:rPr>
          <w:u w:val="single"/>
        </w:rPr>
      </w:pPr>
      <w:r>
        <w:rPr>
          <w:u w:val="single"/>
        </w:rPr>
        <w:tab/>
      </w:r>
      <w:r>
        <w:rPr>
          <w:u w:val="single"/>
        </w:rPr>
        <w:tab/>
      </w:r>
      <w:r>
        <w:rPr>
          <w:u w:val="single"/>
        </w:rPr>
        <w:tab/>
      </w:r>
    </w:p>
    <w:sectPr w:rsidR="00657764" w:rsidRPr="00DE6AD4" w:rsidSect="00F205C1">
      <w:headerReference w:type="default" r:id="rId11"/>
      <w:footerReference w:type="even" r:id="rId12"/>
      <w:footerReference w:type="default" r:id="rId13"/>
      <w:headerReference w:type="first" r:id="rId14"/>
      <w:endnotePr>
        <w:numFmt w:val="decimal"/>
      </w:endnotePr>
      <w:pgSz w:w="11907" w:h="16840" w:code="9"/>
      <w:pgMar w:top="1418"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04D6" w14:textId="77777777" w:rsidR="00600BF0" w:rsidRDefault="00600BF0"/>
  </w:endnote>
  <w:endnote w:type="continuationSeparator" w:id="0">
    <w:p w14:paraId="3555052F" w14:textId="77777777" w:rsidR="00600BF0" w:rsidRDefault="00600BF0"/>
  </w:endnote>
  <w:endnote w:type="continuationNotice" w:id="1">
    <w:p w14:paraId="41F3635D" w14:textId="77777777" w:rsidR="00600BF0" w:rsidRDefault="00600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1DE2" w14:textId="5804A347" w:rsidR="00ED7F18" w:rsidRPr="00ED7F18" w:rsidRDefault="00ED7F18" w:rsidP="00ED7F18">
    <w:pPr>
      <w:pStyle w:val="Footer"/>
      <w:tabs>
        <w:tab w:val="right" w:pos="9638"/>
      </w:tabs>
      <w:rPr>
        <w:sz w:val="18"/>
      </w:rPr>
    </w:pP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2</w:t>
    </w:r>
    <w:r w:rsidRPr="00ED7F1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C91A" w14:textId="27ACFB54" w:rsidR="00ED7F18" w:rsidRPr="00ED7F18" w:rsidRDefault="00ED7F18" w:rsidP="00ED7F18">
    <w:pPr>
      <w:pStyle w:val="Footer"/>
      <w:tabs>
        <w:tab w:val="right" w:pos="9638"/>
      </w:tabs>
      <w:rPr>
        <w:b/>
        <w:sz w:val="18"/>
      </w:rPr>
    </w:pPr>
    <w:r>
      <w:tab/>
    </w: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3</w:t>
    </w:r>
    <w:r w:rsidRPr="00ED7F1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4550" w14:textId="77777777" w:rsidR="00600BF0" w:rsidRPr="000B175B" w:rsidRDefault="00600BF0" w:rsidP="000B175B">
      <w:pPr>
        <w:tabs>
          <w:tab w:val="right" w:pos="2155"/>
        </w:tabs>
        <w:spacing w:after="80"/>
        <w:ind w:left="680"/>
        <w:rPr>
          <w:u w:val="single"/>
        </w:rPr>
      </w:pPr>
      <w:r>
        <w:rPr>
          <w:u w:val="single"/>
        </w:rPr>
        <w:tab/>
      </w:r>
    </w:p>
  </w:footnote>
  <w:footnote w:type="continuationSeparator" w:id="0">
    <w:p w14:paraId="26A74E10" w14:textId="77777777" w:rsidR="00600BF0" w:rsidRPr="00FC68B7" w:rsidRDefault="00600BF0" w:rsidP="00FC68B7">
      <w:pPr>
        <w:tabs>
          <w:tab w:val="left" w:pos="2155"/>
        </w:tabs>
        <w:spacing w:after="80"/>
        <w:ind w:left="680"/>
        <w:rPr>
          <w:u w:val="single"/>
        </w:rPr>
      </w:pPr>
      <w:r>
        <w:rPr>
          <w:u w:val="single"/>
        </w:rPr>
        <w:tab/>
      </w:r>
    </w:p>
  </w:footnote>
  <w:footnote w:type="continuationNotice" w:id="1">
    <w:p w14:paraId="41808A69" w14:textId="77777777" w:rsidR="00600BF0" w:rsidRDefault="00600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713B" w14:textId="4DA22EE2" w:rsidR="00BB4BFD" w:rsidRPr="00BB4BFD" w:rsidRDefault="00BB4BFD" w:rsidP="00BB4BFD">
    <w:pPr>
      <w:pStyle w:val="Header"/>
      <w:tabs>
        <w:tab w:val="right" w:pos="9639"/>
      </w:tabs>
      <w:rPr>
        <w:lang w:val="en-US"/>
      </w:rPr>
    </w:pPr>
    <w:r w:rsidRPr="00BB4BFD">
      <w:rPr>
        <w:b w:val="0"/>
        <w:bCs/>
        <w:lang w:val="en-US"/>
      </w:rPr>
      <w:t xml:space="preserve">Submitted by the </w:t>
    </w:r>
    <w:r w:rsidR="00202781" w:rsidRPr="00202781">
      <w:rPr>
        <w:b w:val="0"/>
        <w:bCs/>
        <w:lang w:val="en-US"/>
      </w:rPr>
      <w:t>Republic of Korea</w:t>
    </w:r>
    <w:r w:rsidRPr="00BB4BFD">
      <w:rPr>
        <w:b w:val="0"/>
        <w:bCs/>
        <w:lang w:val="en-US"/>
      </w:rPr>
      <w:tab/>
    </w:r>
    <w:r w:rsidRPr="00B73C54">
      <w:rPr>
        <w:sz w:val="24"/>
        <w:szCs w:val="28"/>
        <w:lang w:val="en-US"/>
      </w:rPr>
      <w:t>GRSP-77-</w:t>
    </w:r>
    <w:r w:rsidR="00BF5695">
      <w:rPr>
        <w:sz w:val="24"/>
        <w:szCs w:val="28"/>
        <w:lang w:val="en-US"/>
      </w:rPr>
      <w:t>1</w:t>
    </w:r>
    <w:r w:rsidR="000C740C">
      <w:rPr>
        <w:sz w:val="24"/>
        <w:szCs w:val="28"/>
        <w:lang w:val="en-US"/>
      </w:rPr>
      <w:t>6</w:t>
    </w:r>
  </w:p>
  <w:p w14:paraId="6A318103" w14:textId="55AC54FF" w:rsidR="00ED7F18" w:rsidRPr="00BB4BFD" w:rsidRDefault="00BB4BFD" w:rsidP="005C0CDC">
    <w:pPr>
      <w:pStyle w:val="Header"/>
      <w:tabs>
        <w:tab w:val="right" w:pos="9639"/>
      </w:tabs>
      <w:rPr>
        <w:b w:val="0"/>
        <w:bCs/>
        <w:lang w:val="en-US"/>
      </w:rPr>
    </w:pPr>
    <w:r w:rsidRPr="00BB4BFD">
      <w:rPr>
        <w:b w:val="0"/>
        <w:bCs/>
        <w:lang w:val="en-US"/>
      </w:rPr>
      <w:t>77</w:t>
    </w:r>
    <w:r w:rsidRPr="00BB4BFD">
      <w:rPr>
        <w:b w:val="0"/>
        <w:bCs/>
        <w:vertAlign w:val="superscript"/>
        <w:lang w:val="en-US"/>
      </w:rPr>
      <w:t>th</w:t>
    </w:r>
    <w:r w:rsidRPr="00BB4BFD">
      <w:rPr>
        <w:b w:val="0"/>
        <w:bCs/>
        <w:lang w:val="en-US"/>
      </w:rPr>
      <w:t xml:space="preserve"> GRSP, 5-9 May 2025</w:t>
    </w:r>
    <w:r w:rsidR="005C0CDC">
      <w:rPr>
        <w:b w:val="0"/>
        <w:bCs/>
        <w:lang w:val="en-US"/>
      </w:rPr>
      <w:t>, a</w:t>
    </w:r>
    <w:r w:rsidRPr="00BB4BFD">
      <w:rPr>
        <w:b w:val="0"/>
        <w:bCs/>
        <w:lang w:val="en-US"/>
      </w:rPr>
      <w:t xml:space="preserve">genda item </w:t>
    </w:r>
    <w:r w:rsidR="000C740C">
      <w:rPr>
        <w:b w:val="0"/>
        <w:bCs/>
        <w:lang w:val="en-US"/>
      </w:rPr>
      <w:t>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0080" w14:textId="23A5E399" w:rsidR="00C1161B" w:rsidRPr="00BB4BFD" w:rsidRDefault="002C12EA" w:rsidP="00423025">
    <w:pPr>
      <w:pStyle w:val="Header"/>
      <w:tabs>
        <w:tab w:val="right" w:pos="9639"/>
      </w:tabs>
      <w:rPr>
        <w:lang w:val="en-US"/>
      </w:rPr>
    </w:pPr>
    <w:r w:rsidRPr="00BB4BFD">
      <w:rPr>
        <w:b w:val="0"/>
        <w:bCs/>
        <w:lang w:val="en-US"/>
      </w:rPr>
      <w:t>Submitted by th</w:t>
    </w:r>
    <w:r w:rsidR="00372E83" w:rsidRPr="00BB4BFD">
      <w:rPr>
        <w:b w:val="0"/>
        <w:bCs/>
        <w:lang w:val="en-US"/>
      </w:rPr>
      <w:t>e secretariat</w:t>
    </w:r>
    <w:r w:rsidR="00423025" w:rsidRPr="00BB4BFD">
      <w:rPr>
        <w:b w:val="0"/>
        <w:bCs/>
        <w:lang w:val="en-US"/>
      </w:rPr>
      <w:tab/>
      <w:t xml:space="preserve">Informal document </w:t>
    </w:r>
    <w:r w:rsidR="00423025" w:rsidRPr="00BB4BFD">
      <w:rPr>
        <w:lang w:val="en-US"/>
      </w:rPr>
      <w:t>GRSP-77-01</w:t>
    </w:r>
  </w:p>
  <w:p w14:paraId="15327850" w14:textId="76F8BC51" w:rsidR="00423025" w:rsidRPr="00BB4BFD" w:rsidRDefault="00423025" w:rsidP="00423025">
    <w:pPr>
      <w:pStyle w:val="Header"/>
      <w:tabs>
        <w:tab w:val="right" w:pos="9639"/>
      </w:tabs>
      <w:rPr>
        <w:b w:val="0"/>
        <w:bCs/>
        <w:lang w:val="en-US"/>
      </w:rPr>
    </w:pPr>
    <w:r w:rsidRPr="00BB4BFD">
      <w:rPr>
        <w:b w:val="0"/>
        <w:bCs/>
        <w:lang w:val="en-US"/>
      </w:rPr>
      <w:tab/>
    </w:r>
    <w:r w:rsidR="00CD5093" w:rsidRPr="00BB4BFD">
      <w:rPr>
        <w:b w:val="0"/>
        <w:bCs/>
        <w:lang w:val="en-US"/>
      </w:rPr>
      <w:t>77</w:t>
    </w:r>
    <w:r w:rsidR="00CD5093" w:rsidRPr="00BB4BFD">
      <w:rPr>
        <w:b w:val="0"/>
        <w:bCs/>
        <w:vertAlign w:val="superscript"/>
        <w:lang w:val="en-US"/>
      </w:rPr>
      <w:t>th</w:t>
    </w:r>
    <w:r w:rsidR="00CD5093" w:rsidRPr="00BB4BFD">
      <w:rPr>
        <w:b w:val="0"/>
        <w:bCs/>
        <w:lang w:val="en-US"/>
      </w:rPr>
      <w:t xml:space="preserve"> GRSP, 5-9 May 2025</w:t>
    </w:r>
  </w:p>
  <w:p w14:paraId="7EE0C19C" w14:textId="5222FEAA" w:rsidR="00CD5093" w:rsidRPr="00BB4BFD" w:rsidRDefault="00CD5093" w:rsidP="00423025">
    <w:pPr>
      <w:pStyle w:val="Header"/>
      <w:tabs>
        <w:tab w:val="right" w:pos="9639"/>
      </w:tabs>
      <w:rPr>
        <w:b w:val="0"/>
        <w:bCs/>
        <w:lang w:val="en-US"/>
      </w:rPr>
    </w:pPr>
    <w:r w:rsidRPr="00BB4BFD">
      <w:rPr>
        <w:b w:val="0"/>
        <w:bCs/>
        <w:lang w:val="en-US"/>
      </w:rPr>
      <w:tab/>
      <w:t>Agenda item</w:t>
    </w:r>
    <w:r w:rsidR="00BB4BFD" w:rsidRPr="00BB4BFD">
      <w:rPr>
        <w:b w:val="0"/>
        <w:bCs/>
        <w:lang w:val="en-US"/>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5D1D37"/>
    <w:multiLevelType w:val="hybridMultilevel"/>
    <w:tmpl w:val="05F277A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61878555">
    <w:abstractNumId w:val="1"/>
  </w:num>
  <w:num w:numId="2" w16cid:durableId="267272316">
    <w:abstractNumId w:val="0"/>
  </w:num>
  <w:num w:numId="3" w16cid:durableId="1409771074">
    <w:abstractNumId w:val="2"/>
  </w:num>
  <w:num w:numId="4" w16cid:durableId="1190031045">
    <w:abstractNumId w:val="3"/>
  </w:num>
  <w:num w:numId="5" w16cid:durableId="2025284438">
    <w:abstractNumId w:val="8"/>
  </w:num>
  <w:num w:numId="6" w16cid:durableId="1255170557">
    <w:abstractNumId w:val="9"/>
  </w:num>
  <w:num w:numId="7" w16cid:durableId="1910769145">
    <w:abstractNumId w:val="7"/>
  </w:num>
  <w:num w:numId="8" w16cid:durableId="872042133">
    <w:abstractNumId w:val="6"/>
  </w:num>
  <w:num w:numId="9" w16cid:durableId="163518487">
    <w:abstractNumId w:val="5"/>
  </w:num>
  <w:num w:numId="10" w16cid:durableId="2041273395">
    <w:abstractNumId w:val="4"/>
  </w:num>
  <w:num w:numId="11" w16cid:durableId="1334912833">
    <w:abstractNumId w:val="16"/>
  </w:num>
  <w:num w:numId="12" w16cid:durableId="1415778789">
    <w:abstractNumId w:val="14"/>
  </w:num>
  <w:num w:numId="13" w16cid:durableId="112525587">
    <w:abstractNumId w:val="10"/>
  </w:num>
  <w:num w:numId="14" w16cid:durableId="597950943">
    <w:abstractNumId w:val="12"/>
  </w:num>
  <w:num w:numId="15" w16cid:durableId="1924677541">
    <w:abstractNumId w:val="17"/>
  </w:num>
  <w:num w:numId="16" w16cid:durableId="764957565">
    <w:abstractNumId w:val="13"/>
  </w:num>
  <w:num w:numId="17" w16cid:durableId="490950738">
    <w:abstractNumId w:val="19"/>
  </w:num>
  <w:num w:numId="18" w16cid:durableId="1995598346">
    <w:abstractNumId w:val="20"/>
  </w:num>
  <w:num w:numId="19" w16cid:durableId="1552426132">
    <w:abstractNumId w:val="11"/>
  </w:num>
  <w:num w:numId="20" w16cid:durableId="80416414">
    <w:abstractNumId w:val="15"/>
  </w:num>
  <w:num w:numId="21" w16cid:durableId="45036395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8"/>
    <w:rsid w:val="00002A7D"/>
    <w:rsid w:val="00002FD9"/>
    <w:rsid w:val="000038A8"/>
    <w:rsid w:val="00005DF3"/>
    <w:rsid w:val="00006790"/>
    <w:rsid w:val="00027624"/>
    <w:rsid w:val="00050F6B"/>
    <w:rsid w:val="00061E89"/>
    <w:rsid w:val="00066E6B"/>
    <w:rsid w:val="000678CD"/>
    <w:rsid w:val="00072C8C"/>
    <w:rsid w:val="00081CE0"/>
    <w:rsid w:val="00084D30"/>
    <w:rsid w:val="00090320"/>
    <w:rsid w:val="000931C0"/>
    <w:rsid w:val="000953A0"/>
    <w:rsid w:val="00097003"/>
    <w:rsid w:val="000A2E09"/>
    <w:rsid w:val="000B0BAB"/>
    <w:rsid w:val="000B175B"/>
    <w:rsid w:val="000B3A0F"/>
    <w:rsid w:val="000B55C7"/>
    <w:rsid w:val="000C740C"/>
    <w:rsid w:val="000E0415"/>
    <w:rsid w:val="000E5AB1"/>
    <w:rsid w:val="000F7715"/>
    <w:rsid w:val="0010176D"/>
    <w:rsid w:val="001140B2"/>
    <w:rsid w:val="00117807"/>
    <w:rsid w:val="00137704"/>
    <w:rsid w:val="001463BB"/>
    <w:rsid w:val="0015490D"/>
    <w:rsid w:val="00156B99"/>
    <w:rsid w:val="00162FDB"/>
    <w:rsid w:val="00166124"/>
    <w:rsid w:val="00172DD4"/>
    <w:rsid w:val="00183B2B"/>
    <w:rsid w:val="00184DDA"/>
    <w:rsid w:val="001900CD"/>
    <w:rsid w:val="001A0452"/>
    <w:rsid w:val="001B4B04"/>
    <w:rsid w:val="001B5875"/>
    <w:rsid w:val="001C3E64"/>
    <w:rsid w:val="001C4B9C"/>
    <w:rsid w:val="001C6663"/>
    <w:rsid w:val="001C7895"/>
    <w:rsid w:val="001D07F5"/>
    <w:rsid w:val="001D26DF"/>
    <w:rsid w:val="001F1599"/>
    <w:rsid w:val="001F19C4"/>
    <w:rsid w:val="002012B6"/>
    <w:rsid w:val="00202781"/>
    <w:rsid w:val="002043F0"/>
    <w:rsid w:val="00211E0B"/>
    <w:rsid w:val="0021321E"/>
    <w:rsid w:val="00213AB7"/>
    <w:rsid w:val="002202AC"/>
    <w:rsid w:val="002233E6"/>
    <w:rsid w:val="00231DC6"/>
    <w:rsid w:val="00232575"/>
    <w:rsid w:val="00237732"/>
    <w:rsid w:val="00240C29"/>
    <w:rsid w:val="00247258"/>
    <w:rsid w:val="002516C7"/>
    <w:rsid w:val="00257CAC"/>
    <w:rsid w:val="0027224D"/>
    <w:rsid w:val="0027237A"/>
    <w:rsid w:val="0029719E"/>
    <w:rsid w:val="002974E9"/>
    <w:rsid w:val="002A306B"/>
    <w:rsid w:val="002A3384"/>
    <w:rsid w:val="002A7F94"/>
    <w:rsid w:val="002B109A"/>
    <w:rsid w:val="002C0990"/>
    <w:rsid w:val="002C12EA"/>
    <w:rsid w:val="002C4397"/>
    <w:rsid w:val="002C6D45"/>
    <w:rsid w:val="002D6E53"/>
    <w:rsid w:val="002E2078"/>
    <w:rsid w:val="002E3AAE"/>
    <w:rsid w:val="002E7D1D"/>
    <w:rsid w:val="002F046D"/>
    <w:rsid w:val="002F3023"/>
    <w:rsid w:val="00301764"/>
    <w:rsid w:val="003229D8"/>
    <w:rsid w:val="00336C97"/>
    <w:rsid w:val="00337F88"/>
    <w:rsid w:val="00342432"/>
    <w:rsid w:val="0035223F"/>
    <w:rsid w:val="00352D4B"/>
    <w:rsid w:val="0035638C"/>
    <w:rsid w:val="00365B8A"/>
    <w:rsid w:val="00372E83"/>
    <w:rsid w:val="00375316"/>
    <w:rsid w:val="00376396"/>
    <w:rsid w:val="00393E4B"/>
    <w:rsid w:val="003A3AFA"/>
    <w:rsid w:val="003A46BB"/>
    <w:rsid w:val="003A4EC7"/>
    <w:rsid w:val="003A7295"/>
    <w:rsid w:val="003B1F60"/>
    <w:rsid w:val="003B3091"/>
    <w:rsid w:val="003B5757"/>
    <w:rsid w:val="003B7C8C"/>
    <w:rsid w:val="003C2CC4"/>
    <w:rsid w:val="003C3513"/>
    <w:rsid w:val="003D1B2D"/>
    <w:rsid w:val="003D4B23"/>
    <w:rsid w:val="003E278A"/>
    <w:rsid w:val="003F4B89"/>
    <w:rsid w:val="00401FD9"/>
    <w:rsid w:val="004112A2"/>
    <w:rsid w:val="00413520"/>
    <w:rsid w:val="004138EC"/>
    <w:rsid w:val="00423025"/>
    <w:rsid w:val="004325CB"/>
    <w:rsid w:val="00440A07"/>
    <w:rsid w:val="00455A06"/>
    <w:rsid w:val="0045663B"/>
    <w:rsid w:val="00461435"/>
    <w:rsid w:val="00462880"/>
    <w:rsid w:val="0046310A"/>
    <w:rsid w:val="00466044"/>
    <w:rsid w:val="00473BCE"/>
    <w:rsid w:val="00476F24"/>
    <w:rsid w:val="00490FE0"/>
    <w:rsid w:val="004A1F3B"/>
    <w:rsid w:val="004A5D33"/>
    <w:rsid w:val="004A6C8D"/>
    <w:rsid w:val="004C55B0"/>
    <w:rsid w:val="004D5410"/>
    <w:rsid w:val="004E72DC"/>
    <w:rsid w:val="004F6BA0"/>
    <w:rsid w:val="00503BEA"/>
    <w:rsid w:val="00521FF9"/>
    <w:rsid w:val="00531173"/>
    <w:rsid w:val="00533616"/>
    <w:rsid w:val="00535ABA"/>
    <w:rsid w:val="0053768B"/>
    <w:rsid w:val="005420F2"/>
    <w:rsid w:val="0054285C"/>
    <w:rsid w:val="00547182"/>
    <w:rsid w:val="00573AC9"/>
    <w:rsid w:val="005760CB"/>
    <w:rsid w:val="00584173"/>
    <w:rsid w:val="00595520"/>
    <w:rsid w:val="005A44B9"/>
    <w:rsid w:val="005A61EF"/>
    <w:rsid w:val="005A7EDC"/>
    <w:rsid w:val="005B0BC0"/>
    <w:rsid w:val="005B1BA0"/>
    <w:rsid w:val="005B3DB3"/>
    <w:rsid w:val="005C0268"/>
    <w:rsid w:val="005C0CDC"/>
    <w:rsid w:val="005C47EC"/>
    <w:rsid w:val="005C685F"/>
    <w:rsid w:val="005D089B"/>
    <w:rsid w:val="005D15CA"/>
    <w:rsid w:val="005F08DF"/>
    <w:rsid w:val="005F0B24"/>
    <w:rsid w:val="005F3066"/>
    <w:rsid w:val="005F3E61"/>
    <w:rsid w:val="005F5C2C"/>
    <w:rsid w:val="00600BF0"/>
    <w:rsid w:val="00604DDD"/>
    <w:rsid w:val="006107D6"/>
    <w:rsid w:val="006115CC"/>
    <w:rsid w:val="00611FC4"/>
    <w:rsid w:val="006176FB"/>
    <w:rsid w:val="00630FCB"/>
    <w:rsid w:val="006317CB"/>
    <w:rsid w:val="006347E5"/>
    <w:rsid w:val="00637A54"/>
    <w:rsid w:val="006405A1"/>
    <w:rsid w:val="00640B26"/>
    <w:rsid w:val="00644DE2"/>
    <w:rsid w:val="0065766B"/>
    <w:rsid w:val="00657764"/>
    <w:rsid w:val="006665F8"/>
    <w:rsid w:val="00672FF3"/>
    <w:rsid w:val="006770B2"/>
    <w:rsid w:val="00681AC3"/>
    <w:rsid w:val="00683E55"/>
    <w:rsid w:val="00684D27"/>
    <w:rsid w:val="00686A48"/>
    <w:rsid w:val="0068763C"/>
    <w:rsid w:val="00691D35"/>
    <w:rsid w:val="00692077"/>
    <w:rsid w:val="00692D25"/>
    <w:rsid w:val="006940E1"/>
    <w:rsid w:val="006954B1"/>
    <w:rsid w:val="00696C10"/>
    <w:rsid w:val="006A271D"/>
    <w:rsid w:val="006A3C72"/>
    <w:rsid w:val="006A7392"/>
    <w:rsid w:val="006A7770"/>
    <w:rsid w:val="006B03A1"/>
    <w:rsid w:val="006B67D9"/>
    <w:rsid w:val="006B727E"/>
    <w:rsid w:val="006C5535"/>
    <w:rsid w:val="006D0589"/>
    <w:rsid w:val="006E564B"/>
    <w:rsid w:val="006E64C6"/>
    <w:rsid w:val="006E7154"/>
    <w:rsid w:val="007003CD"/>
    <w:rsid w:val="0070172D"/>
    <w:rsid w:val="0070701E"/>
    <w:rsid w:val="0072632A"/>
    <w:rsid w:val="007358E8"/>
    <w:rsid w:val="00736ECE"/>
    <w:rsid w:val="00741637"/>
    <w:rsid w:val="0074533B"/>
    <w:rsid w:val="007631AC"/>
    <w:rsid w:val="007643BC"/>
    <w:rsid w:val="0077422D"/>
    <w:rsid w:val="00780C68"/>
    <w:rsid w:val="007959FE"/>
    <w:rsid w:val="007A0CF1"/>
    <w:rsid w:val="007B6BA5"/>
    <w:rsid w:val="007C3390"/>
    <w:rsid w:val="007C42D8"/>
    <w:rsid w:val="007C4F4B"/>
    <w:rsid w:val="007C6F8D"/>
    <w:rsid w:val="007D5A51"/>
    <w:rsid w:val="007D6F65"/>
    <w:rsid w:val="007D7362"/>
    <w:rsid w:val="007F5CE2"/>
    <w:rsid w:val="007F6611"/>
    <w:rsid w:val="00800E7D"/>
    <w:rsid w:val="0080624A"/>
    <w:rsid w:val="00807123"/>
    <w:rsid w:val="00810BAC"/>
    <w:rsid w:val="00814C29"/>
    <w:rsid w:val="008175E9"/>
    <w:rsid w:val="0082294F"/>
    <w:rsid w:val="008242D7"/>
    <w:rsid w:val="0082577B"/>
    <w:rsid w:val="00825CB5"/>
    <w:rsid w:val="00831D3D"/>
    <w:rsid w:val="00833AAA"/>
    <w:rsid w:val="00835D52"/>
    <w:rsid w:val="00840217"/>
    <w:rsid w:val="00866893"/>
    <w:rsid w:val="00866F02"/>
    <w:rsid w:val="00867D18"/>
    <w:rsid w:val="00871F9A"/>
    <w:rsid w:val="00871FD5"/>
    <w:rsid w:val="00874153"/>
    <w:rsid w:val="0088172E"/>
    <w:rsid w:val="00881EFA"/>
    <w:rsid w:val="0088436A"/>
    <w:rsid w:val="008879CB"/>
    <w:rsid w:val="008979B1"/>
    <w:rsid w:val="008A67D9"/>
    <w:rsid w:val="008A6B25"/>
    <w:rsid w:val="008A6C4F"/>
    <w:rsid w:val="008B389E"/>
    <w:rsid w:val="008B5440"/>
    <w:rsid w:val="008C025D"/>
    <w:rsid w:val="008D045E"/>
    <w:rsid w:val="008D21F5"/>
    <w:rsid w:val="008D3F25"/>
    <w:rsid w:val="008D4D82"/>
    <w:rsid w:val="008E0E46"/>
    <w:rsid w:val="008E1EDD"/>
    <w:rsid w:val="008E7116"/>
    <w:rsid w:val="008F143B"/>
    <w:rsid w:val="008F3882"/>
    <w:rsid w:val="008F4B7C"/>
    <w:rsid w:val="0090426C"/>
    <w:rsid w:val="00917FFB"/>
    <w:rsid w:val="0092556A"/>
    <w:rsid w:val="00926E47"/>
    <w:rsid w:val="0093075E"/>
    <w:rsid w:val="00931348"/>
    <w:rsid w:val="009334DB"/>
    <w:rsid w:val="00937CE6"/>
    <w:rsid w:val="00947162"/>
    <w:rsid w:val="0095610E"/>
    <w:rsid w:val="009610D0"/>
    <w:rsid w:val="00962870"/>
    <w:rsid w:val="0096375C"/>
    <w:rsid w:val="009662E6"/>
    <w:rsid w:val="0097095E"/>
    <w:rsid w:val="009821D7"/>
    <w:rsid w:val="0098592B"/>
    <w:rsid w:val="00985FC4"/>
    <w:rsid w:val="00990766"/>
    <w:rsid w:val="00991261"/>
    <w:rsid w:val="009964C4"/>
    <w:rsid w:val="009A7B81"/>
    <w:rsid w:val="009B011B"/>
    <w:rsid w:val="009B7EB7"/>
    <w:rsid w:val="009C07B7"/>
    <w:rsid w:val="009D01C0"/>
    <w:rsid w:val="009D19F9"/>
    <w:rsid w:val="009D6744"/>
    <w:rsid w:val="009D6A08"/>
    <w:rsid w:val="009E0A16"/>
    <w:rsid w:val="009E65AE"/>
    <w:rsid w:val="009E6CB7"/>
    <w:rsid w:val="009E7970"/>
    <w:rsid w:val="009F1396"/>
    <w:rsid w:val="009F2EAC"/>
    <w:rsid w:val="009F57E3"/>
    <w:rsid w:val="00A01846"/>
    <w:rsid w:val="00A0184C"/>
    <w:rsid w:val="00A077A2"/>
    <w:rsid w:val="00A10F4F"/>
    <w:rsid w:val="00A11067"/>
    <w:rsid w:val="00A1704A"/>
    <w:rsid w:val="00A23E00"/>
    <w:rsid w:val="00A343DF"/>
    <w:rsid w:val="00A36AC2"/>
    <w:rsid w:val="00A425EB"/>
    <w:rsid w:val="00A578A5"/>
    <w:rsid w:val="00A60979"/>
    <w:rsid w:val="00A6195F"/>
    <w:rsid w:val="00A679E6"/>
    <w:rsid w:val="00A72F22"/>
    <w:rsid w:val="00A733BC"/>
    <w:rsid w:val="00A748A6"/>
    <w:rsid w:val="00A76A69"/>
    <w:rsid w:val="00A834EF"/>
    <w:rsid w:val="00A879A4"/>
    <w:rsid w:val="00AA0FF8"/>
    <w:rsid w:val="00AA15B0"/>
    <w:rsid w:val="00AB5DDB"/>
    <w:rsid w:val="00AC0F2C"/>
    <w:rsid w:val="00AC1803"/>
    <w:rsid w:val="00AC502A"/>
    <w:rsid w:val="00AC77F0"/>
    <w:rsid w:val="00AE1E26"/>
    <w:rsid w:val="00AE3980"/>
    <w:rsid w:val="00AF58C1"/>
    <w:rsid w:val="00B0350A"/>
    <w:rsid w:val="00B04A3F"/>
    <w:rsid w:val="00B06643"/>
    <w:rsid w:val="00B148CE"/>
    <w:rsid w:val="00B15055"/>
    <w:rsid w:val="00B20551"/>
    <w:rsid w:val="00B23F38"/>
    <w:rsid w:val="00B30179"/>
    <w:rsid w:val="00B31E0B"/>
    <w:rsid w:val="00B321BF"/>
    <w:rsid w:val="00B33FC7"/>
    <w:rsid w:val="00B37B15"/>
    <w:rsid w:val="00B4162A"/>
    <w:rsid w:val="00B45C02"/>
    <w:rsid w:val="00B46509"/>
    <w:rsid w:val="00B70B63"/>
    <w:rsid w:val="00B72A1E"/>
    <w:rsid w:val="00B73C54"/>
    <w:rsid w:val="00B74717"/>
    <w:rsid w:val="00B75FB4"/>
    <w:rsid w:val="00B80F3E"/>
    <w:rsid w:val="00B81E12"/>
    <w:rsid w:val="00B91F37"/>
    <w:rsid w:val="00BA339B"/>
    <w:rsid w:val="00BB21DE"/>
    <w:rsid w:val="00BB22B8"/>
    <w:rsid w:val="00BB23CC"/>
    <w:rsid w:val="00BB4BFD"/>
    <w:rsid w:val="00BC1E7E"/>
    <w:rsid w:val="00BC2596"/>
    <w:rsid w:val="00BC29D0"/>
    <w:rsid w:val="00BC74E9"/>
    <w:rsid w:val="00BE36A9"/>
    <w:rsid w:val="00BE60E1"/>
    <w:rsid w:val="00BE618E"/>
    <w:rsid w:val="00BE7BEC"/>
    <w:rsid w:val="00BF0A5A"/>
    <w:rsid w:val="00BF0E63"/>
    <w:rsid w:val="00BF12A3"/>
    <w:rsid w:val="00BF16D7"/>
    <w:rsid w:val="00BF2373"/>
    <w:rsid w:val="00BF279B"/>
    <w:rsid w:val="00BF5695"/>
    <w:rsid w:val="00C044E2"/>
    <w:rsid w:val="00C048CB"/>
    <w:rsid w:val="00C066F3"/>
    <w:rsid w:val="00C1161B"/>
    <w:rsid w:val="00C2074A"/>
    <w:rsid w:val="00C334CC"/>
    <w:rsid w:val="00C44775"/>
    <w:rsid w:val="00C463DD"/>
    <w:rsid w:val="00C745C3"/>
    <w:rsid w:val="00C8522F"/>
    <w:rsid w:val="00C978F5"/>
    <w:rsid w:val="00CA24A4"/>
    <w:rsid w:val="00CB08CC"/>
    <w:rsid w:val="00CB348D"/>
    <w:rsid w:val="00CC65B7"/>
    <w:rsid w:val="00CC6981"/>
    <w:rsid w:val="00CD3C03"/>
    <w:rsid w:val="00CD46F5"/>
    <w:rsid w:val="00CD5093"/>
    <w:rsid w:val="00CE4A8F"/>
    <w:rsid w:val="00CF071D"/>
    <w:rsid w:val="00CF6E3F"/>
    <w:rsid w:val="00D0123D"/>
    <w:rsid w:val="00D15B04"/>
    <w:rsid w:val="00D2031B"/>
    <w:rsid w:val="00D25FE2"/>
    <w:rsid w:val="00D37DA9"/>
    <w:rsid w:val="00D406A7"/>
    <w:rsid w:val="00D41AE9"/>
    <w:rsid w:val="00D43252"/>
    <w:rsid w:val="00D43D30"/>
    <w:rsid w:val="00D44D86"/>
    <w:rsid w:val="00D4539E"/>
    <w:rsid w:val="00D50B7D"/>
    <w:rsid w:val="00D52012"/>
    <w:rsid w:val="00D52228"/>
    <w:rsid w:val="00D53D0C"/>
    <w:rsid w:val="00D704E5"/>
    <w:rsid w:val="00D72727"/>
    <w:rsid w:val="00D72BBD"/>
    <w:rsid w:val="00D82689"/>
    <w:rsid w:val="00D86AEA"/>
    <w:rsid w:val="00D90BC3"/>
    <w:rsid w:val="00D935FE"/>
    <w:rsid w:val="00D978C6"/>
    <w:rsid w:val="00D97C51"/>
    <w:rsid w:val="00DA0956"/>
    <w:rsid w:val="00DA357F"/>
    <w:rsid w:val="00DA3E12"/>
    <w:rsid w:val="00DC18AD"/>
    <w:rsid w:val="00DE6AD4"/>
    <w:rsid w:val="00DF2C61"/>
    <w:rsid w:val="00DF7CAE"/>
    <w:rsid w:val="00E032FD"/>
    <w:rsid w:val="00E149B5"/>
    <w:rsid w:val="00E257A6"/>
    <w:rsid w:val="00E423C0"/>
    <w:rsid w:val="00E445D1"/>
    <w:rsid w:val="00E52978"/>
    <w:rsid w:val="00E57190"/>
    <w:rsid w:val="00E61EA2"/>
    <w:rsid w:val="00E6414C"/>
    <w:rsid w:val="00E70E0F"/>
    <w:rsid w:val="00E7260F"/>
    <w:rsid w:val="00E8702D"/>
    <w:rsid w:val="00E905F4"/>
    <w:rsid w:val="00E916A9"/>
    <w:rsid w:val="00E916DE"/>
    <w:rsid w:val="00E925AD"/>
    <w:rsid w:val="00E96630"/>
    <w:rsid w:val="00EB0A66"/>
    <w:rsid w:val="00EB4D0B"/>
    <w:rsid w:val="00EB6912"/>
    <w:rsid w:val="00EC23DE"/>
    <w:rsid w:val="00ED18DC"/>
    <w:rsid w:val="00ED4883"/>
    <w:rsid w:val="00ED59BC"/>
    <w:rsid w:val="00ED6201"/>
    <w:rsid w:val="00ED7A2A"/>
    <w:rsid w:val="00ED7F18"/>
    <w:rsid w:val="00EE41AF"/>
    <w:rsid w:val="00EF1D7F"/>
    <w:rsid w:val="00F0137E"/>
    <w:rsid w:val="00F04E44"/>
    <w:rsid w:val="00F05B93"/>
    <w:rsid w:val="00F205C1"/>
    <w:rsid w:val="00F21786"/>
    <w:rsid w:val="00F24C2D"/>
    <w:rsid w:val="00F25D06"/>
    <w:rsid w:val="00F25FAF"/>
    <w:rsid w:val="00F31CFF"/>
    <w:rsid w:val="00F3742B"/>
    <w:rsid w:val="00F41FDB"/>
    <w:rsid w:val="00F50597"/>
    <w:rsid w:val="00F51019"/>
    <w:rsid w:val="00F51AA6"/>
    <w:rsid w:val="00F56D63"/>
    <w:rsid w:val="00F609A9"/>
    <w:rsid w:val="00F6401D"/>
    <w:rsid w:val="00F678B7"/>
    <w:rsid w:val="00F73AD4"/>
    <w:rsid w:val="00F803C8"/>
    <w:rsid w:val="00F80C99"/>
    <w:rsid w:val="00F85846"/>
    <w:rsid w:val="00F85BF4"/>
    <w:rsid w:val="00F867EC"/>
    <w:rsid w:val="00F87F88"/>
    <w:rsid w:val="00F91B2B"/>
    <w:rsid w:val="00FA065B"/>
    <w:rsid w:val="00FA2052"/>
    <w:rsid w:val="00FB4412"/>
    <w:rsid w:val="00FB7CD1"/>
    <w:rsid w:val="00FC03CD"/>
    <w:rsid w:val="00FC0646"/>
    <w:rsid w:val="00FC68B7"/>
    <w:rsid w:val="00FE6985"/>
    <w:rsid w:val="00FE704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25D4"/>
  <w15:docId w15:val="{9374ED89-32D1-43A6-8660-C392D7C5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E5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
    <w:basedOn w:val="DefaultParagraphFont"/>
    <w:qFormat/>
    <w:rsid w:val="006107D6"/>
    <w:rPr>
      <w:rFonts w:ascii="Times New Roman" w:hAnsi="Times New Roman"/>
      <w:sz w:val="18"/>
      <w:vertAlign w:val="superscript"/>
      <w:lang w:val="en-GB"/>
    </w:rPr>
  </w:style>
  <w:style w:type="paragraph" w:styleId="FootnoteText">
    <w:name w:val="footnote text"/>
    <w:aliases w:val="5_G,PP,5_G_6"/>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
    <w:basedOn w:val="DefaultParagraphFont"/>
    <w:link w:val="FootnoteText"/>
    <w:rsid w:val="006107D6"/>
    <w:rPr>
      <w:rFonts w:eastAsiaTheme="minorHAnsi"/>
      <w:sz w:val="18"/>
      <w:lang w:val="en-GB" w:eastAsia="en-US"/>
    </w:rPr>
  </w:style>
  <w:style w:type="character" w:customStyle="1" w:styleId="SingleTxtGChar">
    <w:name w:val="_ Single Txt_G Char"/>
    <w:link w:val="SingleTxtG"/>
    <w:qFormat/>
    <w:rsid w:val="00ED7F18"/>
    <w:rPr>
      <w:lang w:val="en-GB"/>
    </w:rPr>
  </w:style>
  <w:style w:type="paragraph" w:styleId="Revision">
    <w:name w:val="Revision"/>
    <w:hidden/>
    <w:uiPriority w:val="99"/>
    <w:semiHidden/>
    <w:rsid w:val="00490FE0"/>
    <w:pPr>
      <w:spacing w:line="240" w:lineRule="auto"/>
    </w:pPr>
    <w:rPr>
      <w:lang w:val="en-GB"/>
    </w:rPr>
  </w:style>
  <w:style w:type="character" w:customStyle="1" w:styleId="HeaderChar">
    <w:name w:val="Header Char"/>
    <w:aliases w:val="6_G Char"/>
    <w:basedOn w:val="DefaultParagraphFont"/>
    <w:link w:val="Header"/>
    <w:rsid w:val="00BB4BFD"/>
    <w:rPr>
      <w:b/>
      <w:sz w:val="18"/>
      <w:lang w:val="en-GB"/>
    </w:rPr>
  </w:style>
  <w:style w:type="paragraph" w:styleId="Date">
    <w:name w:val="Date"/>
    <w:basedOn w:val="Normal"/>
    <w:next w:val="Normal"/>
    <w:link w:val="DateChar"/>
    <w:semiHidden/>
    <w:rsid w:val="002233E6"/>
  </w:style>
  <w:style w:type="character" w:customStyle="1" w:styleId="DateChar">
    <w:name w:val="Date Char"/>
    <w:basedOn w:val="DefaultParagraphFont"/>
    <w:link w:val="Date"/>
    <w:semiHidden/>
    <w:rsid w:val="002233E6"/>
    <w:rPr>
      <w:lang w:val="en-GB"/>
    </w:rPr>
  </w:style>
  <w:style w:type="character" w:customStyle="1" w:styleId="HChGChar">
    <w:name w:val="_ H _Ch_G Char"/>
    <w:link w:val="HChG"/>
    <w:rsid w:val="005760CB"/>
    <w:rPr>
      <w:b/>
      <w:sz w:val="28"/>
      <w:lang w:val="en-GB"/>
    </w:rPr>
  </w:style>
  <w:style w:type="paragraph" w:styleId="ListParagraph">
    <w:name w:val="List Paragraph"/>
    <w:basedOn w:val="Normal"/>
    <w:uiPriority w:val="34"/>
    <w:qFormat/>
    <w:rsid w:val="005760CB"/>
    <w:pPr>
      <w:suppressAutoHyphens/>
      <w:ind w:left="720"/>
      <w:contextualSpacing/>
    </w:pPr>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5D97EFF4-B47F-4873-9C6B-373A23D58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9</TotalTime>
  <Pages>2</Pages>
  <Words>524</Words>
  <Characters>2987</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GRSP-77-14</vt:lpstr>
      <vt:lpstr/>
    </vt:vector>
  </TitlesOfParts>
  <Company>CSD</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GRSP-77-16</dc:title>
  <dc:creator>Editorial</dc:creator>
  <cp:lastModifiedBy>Armando Serrano Lombillo</cp:lastModifiedBy>
  <cp:revision>12</cp:revision>
  <cp:lastPrinted>2009-02-18T09:36:00Z</cp:lastPrinted>
  <dcterms:created xsi:type="dcterms:W3CDTF">2025-04-25T08:31:00Z</dcterms:created>
  <dcterms:modified xsi:type="dcterms:W3CDTF">2025-04-29T13:50:00Z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