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7391" w14:textId="108F1624" w:rsidR="00AC33FC" w:rsidRPr="00AC33FC" w:rsidRDefault="00AC33FC" w:rsidP="00AC33FC">
      <w:pPr>
        <w:jc w:val="center"/>
        <w:rPr>
          <w:b/>
          <w:bCs/>
          <w:sz w:val="28"/>
          <w:szCs w:val="28"/>
        </w:rPr>
      </w:pPr>
      <w:r w:rsidRPr="001735D5">
        <w:rPr>
          <w:b/>
          <w:bCs/>
          <w:sz w:val="28"/>
          <w:szCs w:val="28"/>
        </w:rPr>
        <w:t>§</w:t>
      </w:r>
      <w:r w:rsidR="000C2E81">
        <w:rPr>
          <w:b/>
          <w:bCs/>
          <w:sz w:val="28"/>
          <w:szCs w:val="28"/>
        </w:rPr>
        <w:t>7</w:t>
      </w:r>
      <w:r w:rsidRPr="001735D5">
        <w:rPr>
          <w:b/>
          <w:bCs/>
          <w:sz w:val="28"/>
          <w:szCs w:val="28"/>
        </w:rPr>
        <w:t>.</w:t>
      </w:r>
      <w:r>
        <w:rPr>
          <w:b/>
          <w:bCs/>
          <w:sz w:val="28"/>
          <w:szCs w:val="28"/>
        </w:rPr>
        <w:t>2</w:t>
      </w:r>
      <w:r w:rsidRPr="001735D5">
        <w:rPr>
          <w:b/>
          <w:bCs/>
          <w:sz w:val="28"/>
          <w:szCs w:val="28"/>
        </w:rPr>
        <w:t xml:space="preserve">.  </w:t>
      </w:r>
      <w:r>
        <w:rPr>
          <w:b/>
          <w:bCs/>
          <w:sz w:val="28"/>
          <w:szCs w:val="28"/>
        </w:rPr>
        <w:t>Testing environment</w:t>
      </w:r>
    </w:p>
    <w:p w14:paraId="4F74ECE9" w14:textId="77777777" w:rsidR="00AC33FC" w:rsidRDefault="00AC33FC">
      <w:pPr>
        <w:rPr>
          <w:shd w:val="clear" w:color="auto" w:fill="D9F2D0" w:themeFill="accent6" w:themeFillTint="33"/>
        </w:rPr>
      </w:pPr>
    </w:p>
    <w:p w14:paraId="76D01598" w14:textId="772B33F3" w:rsidR="00F15342" w:rsidRDefault="00F33447">
      <w:r w:rsidRPr="00F33447">
        <w:rPr>
          <w:shd w:val="clear" w:color="auto" w:fill="D9F2D0" w:themeFill="accent6" w:themeFillTint="33"/>
        </w:rPr>
        <w:t>Green</w:t>
      </w:r>
      <w:r>
        <w:t xml:space="preserve"> means no change to the text (including no numbering change)</w:t>
      </w:r>
    </w:p>
    <w:p w14:paraId="1BF2B8F5" w14:textId="6F2DA8C3" w:rsidR="00F33447" w:rsidRDefault="00F33447">
      <w:r w:rsidRPr="00A61845">
        <w:rPr>
          <w:shd w:val="clear" w:color="auto" w:fill="DAE9F7" w:themeFill="text2" w:themeFillTint="1A"/>
        </w:rPr>
        <w:t>Blue</w:t>
      </w:r>
      <w:r>
        <w:t xml:space="preserve"> means </w:t>
      </w:r>
      <w:r w:rsidR="00A61845">
        <w:t>an editorial proposal.</w:t>
      </w:r>
    </w:p>
    <w:p w14:paraId="2CD675F9" w14:textId="2FA540D3" w:rsidR="0028488C" w:rsidRPr="004C6837" w:rsidRDefault="009373EC">
      <w:pPr>
        <w:sectPr w:rsidR="0028488C" w:rsidRPr="004C6837" w:rsidSect="00996BB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pPr>
      <w:r w:rsidRPr="00A61845">
        <w:rPr>
          <w:shd w:val="clear" w:color="auto" w:fill="FAE2D5" w:themeFill="accent2" w:themeFillTint="33"/>
        </w:rPr>
        <w:t>Orange</w:t>
      </w:r>
      <w:r>
        <w:t xml:space="preserve"> means an </w:t>
      </w:r>
      <w:r w:rsidR="00A61845">
        <w:t>open issue</w:t>
      </w:r>
      <w:r w:rsidR="00B4274F">
        <w:t xml:space="preserve"> or substantive proposal for amendm</w:t>
      </w:r>
      <w:r w:rsidR="004C6837">
        <w:t>ent</w:t>
      </w:r>
    </w:p>
    <w:p w14:paraId="3A78968B" w14:textId="77777777" w:rsidR="0028488C" w:rsidRDefault="0028488C">
      <w:pPr>
        <w:rPr>
          <w:color w:val="0070C0"/>
        </w:rPr>
        <w:sectPr w:rsidR="0028488C" w:rsidSect="0028488C">
          <w:type w:val="continuous"/>
          <w:pgSz w:w="15840" w:h="12240" w:orient="landscape"/>
          <w:pgMar w:top="1440" w:right="1440" w:bottom="1440" w:left="1440" w:header="720" w:footer="720" w:gutter="0"/>
          <w:cols w:num="2" w:space="720"/>
          <w:docGrid w:linePitch="360"/>
        </w:sectPr>
      </w:pPr>
    </w:p>
    <w:p w14:paraId="05CBC50C" w14:textId="77777777" w:rsidR="0028488C" w:rsidRPr="006E7B5C" w:rsidRDefault="0028488C">
      <w:pPr>
        <w:rPr>
          <w:color w:val="0070C0"/>
        </w:rPr>
      </w:pPr>
    </w:p>
    <w:tbl>
      <w:tblPr>
        <w:tblStyle w:val="TableGrid"/>
        <w:tblW w:w="0" w:type="auto"/>
        <w:tblLayout w:type="fixed"/>
        <w:tblCellMar>
          <w:top w:w="58" w:type="dxa"/>
          <w:left w:w="58" w:type="dxa"/>
          <w:bottom w:w="58" w:type="dxa"/>
          <w:right w:w="58" w:type="dxa"/>
        </w:tblCellMar>
        <w:tblLook w:val="04A0" w:firstRow="1" w:lastRow="0" w:firstColumn="1" w:lastColumn="0" w:noHBand="0" w:noVBand="1"/>
      </w:tblPr>
      <w:tblGrid>
        <w:gridCol w:w="4316"/>
        <w:gridCol w:w="4317"/>
        <w:gridCol w:w="4317"/>
      </w:tblGrid>
      <w:tr w:rsidR="00996BBF" w:rsidRPr="00B16277" w14:paraId="37278417" w14:textId="77777777" w:rsidTr="00996BBF">
        <w:tc>
          <w:tcPr>
            <w:tcW w:w="4316" w:type="dxa"/>
          </w:tcPr>
          <w:p w14:paraId="75BEFDAD" w14:textId="3C900E2D" w:rsidR="00996BBF" w:rsidRPr="00B16277" w:rsidRDefault="004C6837" w:rsidP="004C6837">
            <w:pPr>
              <w:jc w:val="center"/>
              <w:rPr>
                <w:sz w:val="20"/>
                <w:szCs w:val="20"/>
              </w:rPr>
            </w:pPr>
            <w:r>
              <w:rPr>
                <w:sz w:val="20"/>
                <w:szCs w:val="20"/>
              </w:rPr>
              <w:t>Original text</w:t>
            </w:r>
          </w:p>
        </w:tc>
        <w:tc>
          <w:tcPr>
            <w:tcW w:w="4317" w:type="dxa"/>
          </w:tcPr>
          <w:p w14:paraId="3B16C857" w14:textId="5C639881" w:rsidR="00996BBF" w:rsidRPr="00B16277" w:rsidRDefault="004C6837" w:rsidP="004C6837">
            <w:pPr>
              <w:jc w:val="center"/>
              <w:rPr>
                <w:sz w:val="20"/>
                <w:szCs w:val="20"/>
              </w:rPr>
            </w:pPr>
            <w:r>
              <w:rPr>
                <w:sz w:val="20"/>
                <w:szCs w:val="20"/>
              </w:rPr>
              <w:t>Change proposals</w:t>
            </w:r>
          </w:p>
        </w:tc>
        <w:tc>
          <w:tcPr>
            <w:tcW w:w="4317" w:type="dxa"/>
          </w:tcPr>
          <w:p w14:paraId="74107A0F" w14:textId="5FEBC49A" w:rsidR="00996BBF" w:rsidRPr="00B16277" w:rsidRDefault="004C6837" w:rsidP="004C6837">
            <w:pPr>
              <w:jc w:val="center"/>
              <w:rPr>
                <w:sz w:val="20"/>
                <w:szCs w:val="20"/>
              </w:rPr>
            </w:pPr>
            <w:r>
              <w:rPr>
                <w:sz w:val="20"/>
                <w:szCs w:val="20"/>
              </w:rPr>
              <w:t>Comments</w:t>
            </w:r>
          </w:p>
        </w:tc>
      </w:tr>
      <w:tr w:rsidR="00996BBF" w:rsidRPr="00B16277" w14:paraId="30CB81D0" w14:textId="77777777" w:rsidTr="00996BBF">
        <w:tc>
          <w:tcPr>
            <w:tcW w:w="4316" w:type="dxa"/>
            <w:shd w:val="clear" w:color="auto" w:fill="D9F2D0" w:themeFill="accent6" w:themeFillTint="33"/>
          </w:tcPr>
          <w:p w14:paraId="44B8F167" w14:textId="7D62BBE0" w:rsidR="00996BBF" w:rsidRPr="00B16277" w:rsidRDefault="00F77505" w:rsidP="00996BBF">
            <w:pPr>
              <w:ind w:left="1008" w:hanging="1008"/>
              <w:rPr>
                <w:sz w:val="20"/>
                <w:szCs w:val="20"/>
              </w:rPr>
            </w:pPr>
            <w:r>
              <w:rPr>
                <w:sz w:val="20"/>
                <w:szCs w:val="20"/>
              </w:rPr>
              <w:t>7.</w:t>
            </w:r>
            <w:r>
              <w:rPr>
                <w:sz w:val="20"/>
                <w:szCs w:val="20"/>
              </w:rPr>
              <w:tab/>
              <w:t>Compliance assessments</w:t>
            </w:r>
          </w:p>
        </w:tc>
        <w:tc>
          <w:tcPr>
            <w:tcW w:w="4317" w:type="dxa"/>
          </w:tcPr>
          <w:p w14:paraId="0611E492" w14:textId="77777777" w:rsidR="00996BBF" w:rsidRPr="00B16277" w:rsidRDefault="00996BBF">
            <w:pPr>
              <w:rPr>
                <w:sz w:val="20"/>
                <w:szCs w:val="20"/>
              </w:rPr>
            </w:pPr>
          </w:p>
        </w:tc>
        <w:tc>
          <w:tcPr>
            <w:tcW w:w="4317" w:type="dxa"/>
          </w:tcPr>
          <w:p w14:paraId="777A7AF2" w14:textId="77777777" w:rsidR="00996BBF" w:rsidRPr="00B16277" w:rsidRDefault="00996BBF">
            <w:pPr>
              <w:rPr>
                <w:sz w:val="20"/>
                <w:szCs w:val="20"/>
              </w:rPr>
            </w:pPr>
          </w:p>
        </w:tc>
      </w:tr>
      <w:tr w:rsidR="00073A75" w:rsidRPr="00B16277" w14:paraId="2C32B678" w14:textId="77777777" w:rsidTr="00B153BA">
        <w:tc>
          <w:tcPr>
            <w:tcW w:w="4316" w:type="dxa"/>
            <w:shd w:val="clear" w:color="auto" w:fill="auto"/>
          </w:tcPr>
          <w:p w14:paraId="7814A588" w14:textId="61C1A0FB" w:rsidR="00073A75" w:rsidRPr="00B16277" w:rsidRDefault="00F77505" w:rsidP="00996BBF">
            <w:pPr>
              <w:ind w:left="1008" w:hanging="1008"/>
              <w:rPr>
                <w:sz w:val="20"/>
                <w:szCs w:val="20"/>
              </w:rPr>
            </w:pPr>
            <w:r w:rsidRPr="00F77505">
              <w:rPr>
                <w:sz w:val="20"/>
                <w:szCs w:val="20"/>
              </w:rPr>
              <w:t>7.2.</w:t>
            </w:r>
            <w:r w:rsidRPr="00F77505">
              <w:rPr>
                <w:sz w:val="20"/>
                <w:szCs w:val="20"/>
              </w:rPr>
              <w:tab/>
              <w:t>Assessment of the Testing Environment</w:t>
            </w:r>
          </w:p>
        </w:tc>
        <w:tc>
          <w:tcPr>
            <w:tcW w:w="4317" w:type="dxa"/>
            <w:shd w:val="clear" w:color="auto" w:fill="DAE9F7" w:themeFill="text2" w:themeFillTint="1A"/>
          </w:tcPr>
          <w:p w14:paraId="4B1F3BD4" w14:textId="2423C305" w:rsidR="00073A75" w:rsidRPr="00B16277" w:rsidRDefault="00F77505" w:rsidP="0028488C">
            <w:pPr>
              <w:ind w:left="1008" w:hanging="1008"/>
              <w:rPr>
                <w:sz w:val="20"/>
                <w:szCs w:val="20"/>
              </w:rPr>
            </w:pPr>
            <w:r>
              <w:rPr>
                <w:sz w:val="20"/>
                <w:szCs w:val="20"/>
              </w:rPr>
              <w:t>7</w:t>
            </w:r>
            <w:r w:rsidR="00D406EB">
              <w:rPr>
                <w:sz w:val="20"/>
                <w:szCs w:val="20"/>
              </w:rPr>
              <w:t>.2.</w:t>
            </w:r>
            <w:r w:rsidR="00D406EB">
              <w:rPr>
                <w:sz w:val="20"/>
                <w:szCs w:val="20"/>
              </w:rPr>
              <w:tab/>
            </w:r>
            <w:r>
              <w:rPr>
                <w:sz w:val="20"/>
                <w:szCs w:val="20"/>
              </w:rPr>
              <w:t>Assessment of t</w:t>
            </w:r>
            <w:r w:rsidR="00D406EB">
              <w:rPr>
                <w:sz w:val="20"/>
                <w:szCs w:val="20"/>
              </w:rPr>
              <w:t>esting environments</w:t>
            </w:r>
          </w:p>
        </w:tc>
        <w:tc>
          <w:tcPr>
            <w:tcW w:w="4317" w:type="dxa"/>
          </w:tcPr>
          <w:p w14:paraId="084723BD" w14:textId="2B63EABE" w:rsidR="00073A75" w:rsidRPr="00B16277" w:rsidRDefault="00D406EB">
            <w:pPr>
              <w:rPr>
                <w:sz w:val="20"/>
                <w:szCs w:val="20"/>
              </w:rPr>
            </w:pPr>
            <w:r w:rsidRPr="00F77505">
              <w:rPr>
                <w:color w:val="0070C0"/>
                <w:sz w:val="20"/>
                <w:szCs w:val="20"/>
              </w:rPr>
              <w:t>Sec: There is more than one environment.</w:t>
            </w:r>
          </w:p>
        </w:tc>
      </w:tr>
      <w:tr w:rsidR="00F77505" w:rsidRPr="00B16277" w14:paraId="76D416BF" w14:textId="77777777" w:rsidTr="00B153BA">
        <w:tc>
          <w:tcPr>
            <w:tcW w:w="4316" w:type="dxa"/>
            <w:shd w:val="clear" w:color="auto" w:fill="auto"/>
          </w:tcPr>
          <w:p w14:paraId="251D5DCF" w14:textId="77777777" w:rsidR="00F77505" w:rsidRPr="00F77505" w:rsidRDefault="00F77505" w:rsidP="00996BBF">
            <w:pPr>
              <w:ind w:left="1008" w:hanging="1008"/>
              <w:rPr>
                <w:sz w:val="20"/>
                <w:szCs w:val="20"/>
              </w:rPr>
            </w:pPr>
          </w:p>
        </w:tc>
        <w:tc>
          <w:tcPr>
            <w:tcW w:w="4317" w:type="dxa"/>
          </w:tcPr>
          <w:p w14:paraId="72A4A2A4" w14:textId="033B52C7" w:rsidR="00F77505" w:rsidRDefault="00F77505" w:rsidP="00F77505">
            <w:pPr>
              <w:rPr>
                <w:sz w:val="20"/>
                <w:szCs w:val="20"/>
              </w:rPr>
            </w:pPr>
          </w:p>
        </w:tc>
        <w:tc>
          <w:tcPr>
            <w:tcW w:w="4317" w:type="dxa"/>
          </w:tcPr>
          <w:p w14:paraId="3100629E" w14:textId="195FCFE9" w:rsidR="00F77505" w:rsidRPr="00F77505" w:rsidRDefault="00F77505">
            <w:pPr>
              <w:rPr>
                <w:color w:val="0070C0"/>
                <w:sz w:val="20"/>
                <w:szCs w:val="20"/>
              </w:rPr>
            </w:pPr>
            <w:r>
              <w:rPr>
                <w:color w:val="0070C0"/>
                <w:sz w:val="20"/>
                <w:szCs w:val="20"/>
              </w:rPr>
              <w:t>Sec: Alignment-Virtual testing comes before physical testing in the requirements.</w:t>
            </w:r>
          </w:p>
        </w:tc>
      </w:tr>
      <w:tr w:rsidR="00F77505" w:rsidRPr="00B16277" w14:paraId="79897772" w14:textId="77777777" w:rsidTr="00B153BA">
        <w:tc>
          <w:tcPr>
            <w:tcW w:w="4316" w:type="dxa"/>
            <w:shd w:val="clear" w:color="auto" w:fill="auto"/>
          </w:tcPr>
          <w:p w14:paraId="191103D0" w14:textId="2A2487AF" w:rsidR="00F77505" w:rsidRPr="00F77505" w:rsidRDefault="00F77505" w:rsidP="00996BBF">
            <w:pPr>
              <w:ind w:left="1008" w:hanging="1008"/>
              <w:rPr>
                <w:sz w:val="20"/>
                <w:szCs w:val="20"/>
              </w:rPr>
            </w:pPr>
            <w:r w:rsidRPr="00F77505">
              <w:rPr>
                <w:sz w:val="20"/>
                <w:szCs w:val="20"/>
              </w:rPr>
              <w:t>7.2.1.</w:t>
            </w:r>
            <w:r w:rsidRPr="00F77505">
              <w:rPr>
                <w:sz w:val="20"/>
                <w:szCs w:val="20"/>
              </w:rPr>
              <w:tab/>
              <w:t>Appraisal of the physical testing facilities and environment</w:t>
            </w:r>
          </w:p>
        </w:tc>
        <w:tc>
          <w:tcPr>
            <w:tcW w:w="4317" w:type="dxa"/>
            <w:shd w:val="clear" w:color="auto" w:fill="DAE9F7" w:themeFill="text2" w:themeFillTint="1A"/>
          </w:tcPr>
          <w:p w14:paraId="3CCC01E1" w14:textId="71DF7523" w:rsidR="00F77505" w:rsidRDefault="00F77505" w:rsidP="0028488C">
            <w:pPr>
              <w:ind w:left="1008" w:hanging="1008"/>
              <w:rPr>
                <w:sz w:val="20"/>
                <w:szCs w:val="20"/>
              </w:rPr>
            </w:pPr>
            <w:r>
              <w:rPr>
                <w:sz w:val="20"/>
                <w:szCs w:val="20"/>
              </w:rPr>
              <w:t>7.2.1.</w:t>
            </w:r>
            <w:r>
              <w:rPr>
                <w:sz w:val="20"/>
                <w:szCs w:val="20"/>
              </w:rPr>
              <w:tab/>
              <w:t>Physical testing environment</w:t>
            </w:r>
          </w:p>
        </w:tc>
        <w:tc>
          <w:tcPr>
            <w:tcW w:w="4317" w:type="dxa"/>
          </w:tcPr>
          <w:p w14:paraId="682E4E32" w14:textId="77777777" w:rsidR="00F77505" w:rsidRDefault="00F77505">
            <w:pPr>
              <w:rPr>
                <w:color w:val="0070C0"/>
                <w:sz w:val="20"/>
                <w:szCs w:val="20"/>
              </w:rPr>
            </w:pPr>
            <w:r>
              <w:rPr>
                <w:color w:val="0070C0"/>
                <w:sz w:val="20"/>
                <w:szCs w:val="20"/>
              </w:rPr>
              <w:t>Sec: Brevity</w:t>
            </w:r>
          </w:p>
          <w:p w14:paraId="7970DADE" w14:textId="07C6D597" w:rsidR="00F77505" w:rsidRPr="00F77505" w:rsidRDefault="00F77505">
            <w:pPr>
              <w:rPr>
                <w:color w:val="BF4E14" w:themeColor="accent2" w:themeShade="BF"/>
                <w:sz w:val="20"/>
                <w:szCs w:val="20"/>
              </w:rPr>
            </w:pPr>
            <w:r>
              <w:rPr>
                <w:color w:val="BF4E14" w:themeColor="accent2" w:themeShade="BF"/>
                <w:sz w:val="20"/>
                <w:szCs w:val="20"/>
              </w:rPr>
              <w:t>Sec: The ADS guidelines differentiate track and real-world testing. These methods use very different environments. Why are they combined here?</w:t>
            </w:r>
          </w:p>
        </w:tc>
      </w:tr>
      <w:tr w:rsidR="00F77505" w:rsidRPr="00B16277" w14:paraId="4D873F92" w14:textId="77777777" w:rsidTr="00B153BA">
        <w:tc>
          <w:tcPr>
            <w:tcW w:w="4316" w:type="dxa"/>
            <w:shd w:val="clear" w:color="auto" w:fill="auto"/>
          </w:tcPr>
          <w:p w14:paraId="4EF3BB42" w14:textId="0A5BB01F" w:rsidR="00F77505" w:rsidRPr="00F77505" w:rsidRDefault="00F77505" w:rsidP="00996BBF">
            <w:pPr>
              <w:ind w:left="1008" w:hanging="1008"/>
              <w:rPr>
                <w:sz w:val="20"/>
                <w:szCs w:val="20"/>
              </w:rPr>
            </w:pPr>
            <w:r w:rsidRPr="00F77505">
              <w:rPr>
                <w:sz w:val="20"/>
                <w:szCs w:val="20"/>
              </w:rPr>
              <w:t>7.2.1.1.</w:t>
            </w:r>
            <w:r w:rsidRPr="00F77505">
              <w:rPr>
                <w:sz w:val="20"/>
                <w:szCs w:val="20"/>
              </w:rPr>
              <w:tab/>
              <w:t>The assessor shall appraise the physical testing (proving ground and/or public road) facilities and environment for their suitability to conduct the testing and gather evidence to support the safety case. In particular the assessor shall verify that:</w:t>
            </w:r>
          </w:p>
        </w:tc>
        <w:tc>
          <w:tcPr>
            <w:tcW w:w="4317" w:type="dxa"/>
            <w:shd w:val="clear" w:color="auto" w:fill="DAE9F7" w:themeFill="text2" w:themeFillTint="1A"/>
          </w:tcPr>
          <w:p w14:paraId="7763C47D" w14:textId="691E4EB2" w:rsidR="00F77505" w:rsidRDefault="00206E98" w:rsidP="0028488C">
            <w:pPr>
              <w:ind w:left="1008" w:hanging="1008"/>
              <w:rPr>
                <w:sz w:val="20"/>
                <w:szCs w:val="20"/>
              </w:rPr>
            </w:pPr>
            <w:r>
              <w:rPr>
                <w:sz w:val="20"/>
                <w:szCs w:val="20"/>
              </w:rPr>
              <w:t>7.2.1.1.</w:t>
            </w:r>
            <w:r>
              <w:rPr>
                <w:sz w:val="20"/>
                <w:szCs w:val="20"/>
              </w:rPr>
              <w:tab/>
              <w:t xml:space="preserve">The physical testing facilities used to generate evidence to support the claims of the safety case shall </w:t>
            </w:r>
            <w:r w:rsidR="00F66BCA">
              <w:rPr>
                <w:sz w:val="20"/>
                <w:szCs w:val="20"/>
              </w:rPr>
              <w:t>be assessed for compliance with the provisions under para. 6.2.x.</w:t>
            </w:r>
          </w:p>
        </w:tc>
        <w:tc>
          <w:tcPr>
            <w:tcW w:w="4317" w:type="dxa"/>
          </w:tcPr>
          <w:p w14:paraId="4975F6BB" w14:textId="6BD543CA" w:rsidR="00F77505" w:rsidRDefault="00F66BCA">
            <w:pPr>
              <w:rPr>
                <w:color w:val="0070C0"/>
                <w:sz w:val="20"/>
                <w:szCs w:val="20"/>
              </w:rPr>
            </w:pPr>
            <w:r>
              <w:rPr>
                <w:color w:val="0070C0"/>
                <w:sz w:val="20"/>
                <w:szCs w:val="20"/>
              </w:rPr>
              <w:t>Sec: The following paragraphs state requirements for the testing environment. The provisions should be moved to the requirements chapter.</w:t>
            </w:r>
          </w:p>
        </w:tc>
      </w:tr>
      <w:tr w:rsidR="00F77505" w:rsidRPr="00B16277" w14:paraId="71DCB8CE" w14:textId="77777777" w:rsidTr="00B153BA">
        <w:tc>
          <w:tcPr>
            <w:tcW w:w="4316" w:type="dxa"/>
            <w:shd w:val="clear" w:color="auto" w:fill="auto"/>
          </w:tcPr>
          <w:p w14:paraId="55E56425" w14:textId="32A57709" w:rsidR="00F77505" w:rsidRPr="00F77505" w:rsidRDefault="00F77505" w:rsidP="00996BBF">
            <w:pPr>
              <w:ind w:left="1008" w:hanging="1008"/>
              <w:rPr>
                <w:sz w:val="20"/>
                <w:szCs w:val="20"/>
              </w:rPr>
            </w:pPr>
            <w:r w:rsidRPr="00F77505">
              <w:rPr>
                <w:sz w:val="20"/>
                <w:szCs w:val="20"/>
              </w:rPr>
              <w:t>7.2.1.1.1.</w:t>
            </w:r>
            <w:r w:rsidRPr="00F77505">
              <w:rPr>
                <w:sz w:val="20"/>
                <w:szCs w:val="20"/>
              </w:rPr>
              <w:tab/>
              <w:t>the physical testing facilities used by the manufacturer includes static and dynamic elements representative of the ODD and the expected operating conditions and as relevant to the tests being performed;</w:t>
            </w:r>
          </w:p>
        </w:tc>
        <w:tc>
          <w:tcPr>
            <w:tcW w:w="4317" w:type="dxa"/>
            <w:shd w:val="clear" w:color="auto" w:fill="DAE9F7" w:themeFill="text2" w:themeFillTint="1A"/>
          </w:tcPr>
          <w:p w14:paraId="5C3FCEEF" w14:textId="229938AB" w:rsidR="00F77505" w:rsidRDefault="00F77505" w:rsidP="00F77505">
            <w:pPr>
              <w:ind w:left="1440" w:hanging="432"/>
              <w:rPr>
                <w:sz w:val="20"/>
                <w:szCs w:val="20"/>
              </w:rPr>
            </w:pPr>
            <w:r>
              <w:rPr>
                <w:sz w:val="20"/>
                <w:szCs w:val="20"/>
              </w:rPr>
              <w:t>(a)</w:t>
            </w:r>
            <w:r>
              <w:rPr>
                <w:sz w:val="20"/>
                <w:szCs w:val="20"/>
              </w:rPr>
              <w:tab/>
            </w:r>
            <w:r w:rsidR="00F66BCA">
              <w:rPr>
                <w:sz w:val="20"/>
                <w:szCs w:val="20"/>
              </w:rPr>
              <w:t xml:space="preserve">The </w:t>
            </w:r>
            <w:r w:rsidR="00F66BCA" w:rsidRPr="00F77505">
              <w:rPr>
                <w:sz w:val="20"/>
                <w:szCs w:val="20"/>
              </w:rPr>
              <w:t xml:space="preserve">physical testing facilities </w:t>
            </w:r>
            <w:r w:rsidR="00F66BCA">
              <w:rPr>
                <w:sz w:val="20"/>
                <w:szCs w:val="20"/>
              </w:rPr>
              <w:t>i</w:t>
            </w:r>
            <w:r>
              <w:rPr>
                <w:sz w:val="20"/>
                <w:szCs w:val="20"/>
              </w:rPr>
              <w:t>nclude static and dynamic elements</w:t>
            </w:r>
            <w:r w:rsidR="00206E98">
              <w:rPr>
                <w:sz w:val="20"/>
                <w:szCs w:val="20"/>
              </w:rPr>
              <w:t xml:space="preserve"> relevant to the test(s) and</w:t>
            </w:r>
            <w:r>
              <w:rPr>
                <w:sz w:val="20"/>
                <w:szCs w:val="20"/>
              </w:rPr>
              <w:t xml:space="preserve"> representative of the ODD of the ADS feature(s)</w:t>
            </w:r>
            <w:r w:rsidR="00206E98">
              <w:rPr>
                <w:sz w:val="20"/>
                <w:szCs w:val="20"/>
              </w:rPr>
              <w:t xml:space="preserve"> and </w:t>
            </w:r>
            <w:r>
              <w:rPr>
                <w:sz w:val="20"/>
                <w:szCs w:val="20"/>
              </w:rPr>
              <w:t>the expected operating conditions,</w:t>
            </w:r>
          </w:p>
        </w:tc>
        <w:tc>
          <w:tcPr>
            <w:tcW w:w="4317" w:type="dxa"/>
          </w:tcPr>
          <w:p w14:paraId="08BCCF0E" w14:textId="7974541F" w:rsidR="00206E98" w:rsidRDefault="00F77505">
            <w:pPr>
              <w:rPr>
                <w:color w:val="0070C0"/>
                <w:sz w:val="20"/>
                <w:szCs w:val="20"/>
              </w:rPr>
            </w:pPr>
            <w:r>
              <w:rPr>
                <w:color w:val="0070C0"/>
                <w:sz w:val="20"/>
                <w:szCs w:val="20"/>
              </w:rPr>
              <w:t xml:space="preserve">Sec: </w:t>
            </w:r>
            <w:r w:rsidR="00206E98">
              <w:rPr>
                <w:color w:val="0070C0"/>
                <w:sz w:val="20"/>
                <w:szCs w:val="20"/>
              </w:rPr>
              <w:t>Change to list of criteria per the preceding text.</w:t>
            </w:r>
          </w:p>
          <w:p w14:paraId="69D7AD10" w14:textId="6EDBFE6F" w:rsidR="00F77505" w:rsidRDefault="00F77505">
            <w:pPr>
              <w:rPr>
                <w:color w:val="0070C0"/>
                <w:sz w:val="20"/>
                <w:szCs w:val="20"/>
              </w:rPr>
            </w:pPr>
            <w:r>
              <w:rPr>
                <w:color w:val="0070C0"/>
                <w:sz w:val="20"/>
                <w:szCs w:val="20"/>
              </w:rPr>
              <w:t xml:space="preserve">Remove unnecessary wording (e.g., </w:t>
            </w:r>
            <w:r w:rsidR="00206E98">
              <w:rPr>
                <w:color w:val="0070C0"/>
                <w:sz w:val="20"/>
                <w:szCs w:val="20"/>
              </w:rPr>
              <w:t>it’s already clear that the facilities being assessed are the ones used by the manufacturer).</w:t>
            </w:r>
          </w:p>
          <w:p w14:paraId="509EB8E4" w14:textId="77777777" w:rsidR="00206E98" w:rsidRDefault="00206E98">
            <w:pPr>
              <w:rPr>
                <w:color w:val="0070C0"/>
                <w:sz w:val="20"/>
                <w:szCs w:val="20"/>
              </w:rPr>
            </w:pPr>
            <w:r>
              <w:rPr>
                <w:color w:val="0070C0"/>
                <w:sz w:val="20"/>
                <w:szCs w:val="20"/>
              </w:rPr>
              <w:lastRenderedPageBreak/>
              <w:t>Define “expected operating conditions”. The ODD means the conditions under which the ADS feature is expected (designed) to operate.</w:t>
            </w:r>
          </w:p>
          <w:p w14:paraId="16F28B75" w14:textId="2489F507" w:rsidR="00206E98" w:rsidRDefault="00206E98">
            <w:pPr>
              <w:rPr>
                <w:color w:val="0070C0"/>
                <w:sz w:val="20"/>
                <w:szCs w:val="20"/>
              </w:rPr>
            </w:pPr>
          </w:p>
        </w:tc>
      </w:tr>
      <w:tr w:rsidR="00F77505" w:rsidRPr="00B16277" w14:paraId="564ED5E0" w14:textId="77777777" w:rsidTr="00B153BA">
        <w:tc>
          <w:tcPr>
            <w:tcW w:w="4316" w:type="dxa"/>
            <w:shd w:val="clear" w:color="auto" w:fill="auto"/>
          </w:tcPr>
          <w:p w14:paraId="432B42FA" w14:textId="6F4CC2D9" w:rsidR="00F77505" w:rsidRPr="00F77505" w:rsidRDefault="00206E98" w:rsidP="00996BBF">
            <w:pPr>
              <w:ind w:left="1008" w:hanging="1008"/>
              <w:rPr>
                <w:sz w:val="20"/>
                <w:szCs w:val="20"/>
              </w:rPr>
            </w:pPr>
            <w:r w:rsidRPr="00206E98">
              <w:rPr>
                <w:sz w:val="20"/>
                <w:szCs w:val="20"/>
              </w:rPr>
              <w:lastRenderedPageBreak/>
              <w:t>7.2.1.1.2.</w:t>
            </w:r>
            <w:r w:rsidRPr="00206E98">
              <w:rPr>
                <w:sz w:val="20"/>
                <w:szCs w:val="20"/>
              </w:rPr>
              <w:tab/>
              <w:t>the facilities and capabilities are suitable to assess the aspects of the safety case under test;</w:t>
            </w:r>
          </w:p>
        </w:tc>
        <w:tc>
          <w:tcPr>
            <w:tcW w:w="4317" w:type="dxa"/>
            <w:shd w:val="clear" w:color="auto" w:fill="DAE9F7" w:themeFill="text2" w:themeFillTint="1A"/>
          </w:tcPr>
          <w:p w14:paraId="6DB54B2E" w14:textId="38C7A11A" w:rsidR="00F77505" w:rsidRDefault="00206E98" w:rsidP="00206E98">
            <w:pPr>
              <w:ind w:left="1440" w:hanging="432"/>
              <w:rPr>
                <w:sz w:val="20"/>
                <w:szCs w:val="20"/>
              </w:rPr>
            </w:pPr>
            <w:r>
              <w:rPr>
                <w:sz w:val="20"/>
                <w:szCs w:val="20"/>
              </w:rPr>
              <w:t>(b)</w:t>
            </w:r>
            <w:r>
              <w:rPr>
                <w:sz w:val="20"/>
                <w:szCs w:val="20"/>
              </w:rPr>
              <w:tab/>
            </w:r>
            <w:r w:rsidR="00F66BCA">
              <w:rPr>
                <w:sz w:val="20"/>
                <w:szCs w:val="20"/>
              </w:rPr>
              <w:t>T</w:t>
            </w:r>
            <w:r w:rsidRPr="00206E98">
              <w:rPr>
                <w:sz w:val="20"/>
                <w:szCs w:val="20"/>
              </w:rPr>
              <w:t>he facilities and capabilities are suitable to assess the aspects of the safety case under test;</w:t>
            </w:r>
          </w:p>
        </w:tc>
        <w:tc>
          <w:tcPr>
            <w:tcW w:w="4317" w:type="dxa"/>
          </w:tcPr>
          <w:p w14:paraId="5F122629" w14:textId="1C082F90" w:rsidR="00F77505" w:rsidRDefault="00206E98">
            <w:pPr>
              <w:rPr>
                <w:color w:val="0070C0"/>
                <w:sz w:val="20"/>
                <w:szCs w:val="20"/>
              </w:rPr>
            </w:pPr>
            <w:r>
              <w:rPr>
                <w:color w:val="0070C0"/>
                <w:sz w:val="20"/>
                <w:szCs w:val="20"/>
              </w:rPr>
              <w:t>Sec: What does this explicitly mean? Where are the objective criteria? The testing generates evidence to support the claims: Check the “claims” section for verifiable criteria.</w:t>
            </w:r>
            <w:r w:rsidR="00F66BCA">
              <w:rPr>
                <w:color w:val="0070C0"/>
                <w:sz w:val="20"/>
                <w:szCs w:val="20"/>
              </w:rPr>
              <w:t xml:space="preserve"> The capabilities of what?</w:t>
            </w:r>
          </w:p>
        </w:tc>
      </w:tr>
      <w:tr w:rsidR="00206E98" w:rsidRPr="00B16277" w14:paraId="513CB9CC" w14:textId="77777777" w:rsidTr="00B153BA">
        <w:tc>
          <w:tcPr>
            <w:tcW w:w="4316" w:type="dxa"/>
            <w:shd w:val="clear" w:color="auto" w:fill="auto"/>
          </w:tcPr>
          <w:p w14:paraId="69142831" w14:textId="53053614" w:rsidR="00206E98" w:rsidRPr="00206E98" w:rsidRDefault="00206E98" w:rsidP="00996BBF">
            <w:pPr>
              <w:ind w:left="1008" w:hanging="1008"/>
              <w:rPr>
                <w:sz w:val="20"/>
                <w:szCs w:val="20"/>
              </w:rPr>
            </w:pPr>
            <w:r w:rsidRPr="00206E98">
              <w:rPr>
                <w:sz w:val="20"/>
                <w:szCs w:val="20"/>
              </w:rPr>
              <w:t>7.2.1.1.3.</w:t>
            </w:r>
            <w:r w:rsidRPr="00206E98">
              <w:rPr>
                <w:sz w:val="20"/>
                <w:szCs w:val="20"/>
              </w:rPr>
              <w:tab/>
              <w:t>the facilities have all the relevant equipment and accreditations;</w:t>
            </w:r>
          </w:p>
        </w:tc>
        <w:tc>
          <w:tcPr>
            <w:tcW w:w="4317" w:type="dxa"/>
            <w:shd w:val="clear" w:color="auto" w:fill="DAE9F7" w:themeFill="text2" w:themeFillTint="1A"/>
          </w:tcPr>
          <w:p w14:paraId="4556DC7B" w14:textId="1999CD33" w:rsidR="00206E98" w:rsidRDefault="00F66BCA" w:rsidP="00F66BCA">
            <w:pPr>
              <w:ind w:left="1440" w:hanging="432"/>
              <w:rPr>
                <w:sz w:val="20"/>
                <w:szCs w:val="20"/>
              </w:rPr>
            </w:pPr>
            <w:r>
              <w:rPr>
                <w:sz w:val="20"/>
                <w:szCs w:val="20"/>
              </w:rPr>
              <w:t>(c)</w:t>
            </w:r>
            <w:r>
              <w:rPr>
                <w:sz w:val="20"/>
                <w:szCs w:val="20"/>
              </w:rPr>
              <w:tab/>
              <w:t>T</w:t>
            </w:r>
            <w:r w:rsidRPr="00F66BCA">
              <w:rPr>
                <w:sz w:val="20"/>
                <w:szCs w:val="20"/>
              </w:rPr>
              <w:t>he facilities have all the relevant equipment and accreditations;</w:t>
            </w:r>
          </w:p>
        </w:tc>
        <w:tc>
          <w:tcPr>
            <w:tcW w:w="4317" w:type="dxa"/>
          </w:tcPr>
          <w:p w14:paraId="30553E1D" w14:textId="09039523" w:rsidR="00206E98" w:rsidRDefault="00F66BCA">
            <w:pPr>
              <w:rPr>
                <w:color w:val="0070C0"/>
                <w:sz w:val="20"/>
                <w:szCs w:val="20"/>
              </w:rPr>
            </w:pPr>
            <w:r>
              <w:rPr>
                <w:color w:val="0070C0"/>
                <w:sz w:val="20"/>
                <w:szCs w:val="20"/>
              </w:rPr>
              <w:t>Sec: What equipment and accreditations are necessary?</w:t>
            </w:r>
          </w:p>
        </w:tc>
      </w:tr>
      <w:tr w:rsidR="00206E98" w:rsidRPr="00B16277" w14:paraId="62FAC2D1" w14:textId="77777777" w:rsidTr="00B153BA">
        <w:tc>
          <w:tcPr>
            <w:tcW w:w="4316" w:type="dxa"/>
            <w:shd w:val="clear" w:color="auto" w:fill="auto"/>
          </w:tcPr>
          <w:p w14:paraId="1B057116" w14:textId="54625BA6" w:rsidR="00206E98" w:rsidRPr="00206E98" w:rsidRDefault="00F66BCA" w:rsidP="00996BBF">
            <w:pPr>
              <w:ind w:left="1008" w:hanging="1008"/>
              <w:rPr>
                <w:sz w:val="20"/>
                <w:szCs w:val="20"/>
              </w:rPr>
            </w:pPr>
            <w:r w:rsidRPr="00F66BCA">
              <w:rPr>
                <w:sz w:val="20"/>
                <w:szCs w:val="20"/>
              </w:rPr>
              <w:t>7.2.1.1.4.</w:t>
            </w:r>
            <w:r w:rsidRPr="00F66BCA">
              <w:rPr>
                <w:sz w:val="20"/>
                <w:szCs w:val="20"/>
              </w:rPr>
              <w:tab/>
              <w:t>the equipment undergoes periodic calibrations to ensure that the measurements are characterized by sufficient accuracy and precision.</w:t>
            </w:r>
          </w:p>
        </w:tc>
        <w:tc>
          <w:tcPr>
            <w:tcW w:w="4317" w:type="dxa"/>
            <w:shd w:val="clear" w:color="auto" w:fill="DAE9F7" w:themeFill="text2" w:themeFillTint="1A"/>
          </w:tcPr>
          <w:p w14:paraId="3AD01D1A" w14:textId="0F77B967" w:rsidR="00206E98" w:rsidRDefault="00F66BCA" w:rsidP="00F66BCA">
            <w:pPr>
              <w:ind w:left="1440" w:hanging="432"/>
              <w:rPr>
                <w:sz w:val="20"/>
                <w:szCs w:val="20"/>
              </w:rPr>
            </w:pPr>
            <w:r>
              <w:rPr>
                <w:sz w:val="20"/>
                <w:szCs w:val="20"/>
              </w:rPr>
              <w:t>(d)</w:t>
            </w:r>
            <w:r>
              <w:rPr>
                <w:sz w:val="20"/>
                <w:szCs w:val="20"/>
              </w:rPr>
              <w:tab/>
              <w:t>T</w:t>
            </w:r>
            <w:r w:rsidRPr="00F66BCA">
              <w:rPr>
                <w:sz w:val="20"/>
                <w:szCs w:val="20"/>
              </w:rPr>
              <w:t xml:space="preserve">he equipment </w:t>
            </w:r>
            <w:r>
              <w:rPr>
                <w:sz w:val="20"/>
                <w:szCs w:val="20"/>
              </w:rPr>
              <w:t>has undergone</w:t>
            </w:r>
            <w:r w:rsidRPr="00F66BCA">
              <w:rPr>
                <w:sz w:val="20"/>
                <w:szCs w:val="20"/>
              </w:rPr>
              <w:t xml:space="preserve"> periodic calibrations to ensure that the measurements are characterized by sufficient accuracy and precision.</w:t>
            </w:r>
          </w:p>
        </w:tc>
        <w:tc>
          <w:tcPr>
            <w:tcW w:w="4317" w:type="dxa"/>
          </w:tcPr>
          <w:p w14:paraId="5CF94C8E" w14:textId="32D2CD26" w:rsidR="00206E98" w:rsidRDefault="00F66BCA">
            <w:pPr>
              <w:rPr>
                <w:color w:val="0070C0"/>
                <w:sz w:val="20"/>
                <w:szCs w:val="20"/>
              </w:rPr>
            </w:pPr>
            <w:r>
              <w:rPr>
                <w:color w:val="0070C0"/>
                <w:sz w:val="20"/>
                <w:szCs w:val="20"/>
              </w:rPr>
              <w:t>Sec: Would it be simpler to require maintenance records to demonstrate that the equipment is kept in proper running order?</w:t>
            </w:r>
          </w:p>
        </w:tc>
      </w:tr>
      <w:tr w:rsidR="00F66BCA" w:rsidRPr="00B16277" w14:paraId="6319A98E" w14:textId="77777777" w:rsidTr="00B153BA">
        <w:tc>
          <w:tcPr>
            <w:tcW w:w="4316" w:type="dxa"/>
            <w:shd w:val="clear" w:color="auto" w:fill="auto"/>
          </w:tcPr>
          <w:p w14:paraId="714B0391" w14:textId="77B1961D" w:rsidR="00F66BCA" w:rsidRPr="00F66BCA" w:rsidRDefault="00F66BCA" w:rsidP="00996BBF">
            <w:pPr>
              <w:ind w:left="1008" w:hanging="1008"/>
              <w:rPr>
                <w:sz w:val="20"/>
                <w:szCs w:val="20"/>
              </w:rPr>
            </w:pPr>
            <w:r w:rsidRPr="00F66BCA">
              <w:rPr>
                <w:sz w:val="20"/>
                <w:szCs w:val="20"/>
              </w:rPr>
              <w:t>7.2.1.2.</w:t>
            </w:r>
            <w:r w:rsidRPr="00F66BCA">
              <w:rPr>
                <w:sz w:val="20"/>
                <w:szCs w:val="20"/>
              </w:rPr>
              <w:tab/>
              <w:t>The assessor may request to witness the execution of some of the physical tests performed by the manufacturer to verify their suitability to conduct the testing and gather evidence to support the safety case as well as to verify that the manufacturer is following the agreed processes for doing the physical testing.</w:t>
            </w:r>
          </w:p>
        </w:tc>
        <w:tc>
          <w:tcPr>
            <w:tcW w:w="4317" w:type="dxa"/>
            <w:shd w:val="clear" w:color="auto" w:fill="DAE9F7" w:themeFill="text2" w:themeFillTint="1A"/>
          </w:tcPr>
          <w:p w14:paraId="65D4C570" w14:textId="77777777" w:rsidR="00F66BCA" w:rsidRDefault="00F66BCA" w:rsidP="00F66BCA">
            <w:pPr>
              <w:rPr>
                <w:sz w:val="20"/>
                <w:szCs w:val="20"/>
              </w:rPr>
            </w:pPr>
          </w:p>
        </w:tc>
        <w:tc>
          <w:tcPr>
            <w:tcW w:w="4317" w:type="dxa"/>
          </w:tcPr>
          <w:p w14:paraId="078FBE11" w14:textId="4434DFB2" w:rsidR="00E15D22" w:rsidRDefault="00E15D22">
            <w:pPr>
              <w:rPr>
                <w:color w:val="0070C0"/>
                <w:sz w:val="20"/>
                <w:szCs w:val="20"/>
              </w:rPr>
            </w:pPr>
            <w:r>
              <w:rPr>
                <w:color w:val="0070C0"/>
                <w:sz w:val="20"/>
                <w:szCs w:val="20"/>
              </w:rPr>
              <w:t>Where is the criteria to determine “suitability”?</w:t>
            </w:r>
          </w:p>
          <w:p w14:paraId="2EA74BF4" w14:textId="3DA1E9B6" w:rsidR="00F66BCA" w:rsidRPr="002639A2" w:rsidRDefault="002639A2">
            <w:pPr>
              <w:rPr>
                <w:color w:val="0070C0"/>
                <w:sz w:val="20"/>
                <w:szCs w:val="20"/>
              </w:rPr>
            </w:pPr>
            <w:r>
              <w:rPr>
                <w:color w:val="0070C0"/>
                <w:sz w:val="20"/>
                <w:szCs w:val="20"/>
              </w:rPr>
              <w:t>Where are the “agreed processes” to be found?</w:t>
            </w:r>
          </w:p>
        </w:tc>
      </w:tr>
      <w:tr w:rsidR="00F66BCA" w:rsidRPr="00B16277" w14:paraId="06E6EB29" w14:textId="77777777" w:rsidTr="00B153BA">
        <w:tc>
          <w:tcPr>
            <w:tcW w:w="4316" w:type="dxa"/>
            <w:shd w:val="clear" w:color="auto" w:fill="auto"/>
          </w:tcPr>
          <w:p w14:paraId="14039A8A" w14:textId="342026FE" w:rsidR="00F66BCA" w:rsidRPr="00F66BCA" w:rsidRDefault="00F66BCA" w:rsidP="00996BBF">
            <w:pPr>
              <w:ind w:left="1008" w:hanging="1008"/>
              <w:rPr>
                <w:sz w:val="20"/>
                <w:szCs w:val="20"/>
              </w:rPr>
            </w:pPr>
            <w:r w:rsidRPr="00F66BCA">
              <w:rPr>
                <w:sz w:val="20"/>
                <w:szCs w:val="20"/>
              </w:rPr>
              <w:t>7.2.2.</w:t>
            </w:r>
            <w:r w:rsidRPr="00F66BCA">
              <w:rPr>
                <w:sz w:val="20"/>
                <w:szCs w:val="20"/>
              </w:rPr>
              <w:tab/>
              <w:t>Appraisal of the credibility framework developed by the manufacturer for virtual testing</w:t>
            </w:r>
          </w:p>
        </w:tc>
        <w:tc>
          <w:tcPr>
            <w:tcW w:w="4317" w:type="dxa"/>
            <w:shd w:val="clear" w:color="auto" w:fill="DAE9F7" w:themeFill="text2" w:themeFillTint="1A"/>
          </w:tcPr>
          <w:p w14:paraId="694C546E" w14:textId="4885260B" w:rsidR="00F66BCA" w:rsidRDefault="00E15D22" w:rsidP="00E15D22">
            <w:pPr>
              <w:ind w:left="1008" w:hanging="1008"/>
              <w:rPr>
                <w:sz w:val="20"/>
                <w:szCs w:val="20"/>
              </w:rPr>
            </w:pPr>
            <w:r>
              <w:rPr>
                <w:sz w:val="20"/>
                <w:szCs w:val="20"/>
              </w:rPr>
              <w:t>7.2.2.</w:t>
            </w:r>
            <w:r>
              <w:rPr>
                <w:sz w:val="20"/>
                <w:szCs w:val="20"/>
              </w:rPr>
              <w:tab/>
              <w:t>Virtual testing environment</w:t>
            </w:r>
          </w:p>
        </w:tc>
        <w:tc>
          <w:tcPr>
            <w:tcW w:w="4317" w:type="dxa"/>
          </w:tcPr>
          <w:p w14:paraId="304FF7EC" w14:textId="5459AA90" w:rsidR="00F66BCA" w:rsidRDefault="00E15D22">
            <w:pPr>
              <w:rPr>
                <w:color w:val="0070C0"/>
                <w:sz w:val="20"/>
                <w:szCs w:val="20"/>
              </w:rPr>
            </w:pPr>
            <w:r>
              <w:rPr>
                <w:color w:val="0070C0"/>
                <w:sz w:val="20"/>
                <w:szCs w:val="20"/>
              </w:rPr>
              <w:t>Where is this “credibility framework”?</w:t>
            </w:r>
          </w:p>
        </w:tc>
      </w:tr>
      <w:tr w:rsidR="00E15D22" w:rsidRPr="00B16277" w14:paraId="0D05CED6" w14:textId="77777777" w:rsidTr="00B153BA">
        <w:tc>
          <w:tcPr>
            <w:tcW w:w="4316" w:type="dxa"/>
            <w:shd w:val="clear" w:color="auto" w:fill="auto"/>
          </w:tcPr>
          <w:p w14:paraId="6BC0221A" w14:textId="345C441C" w:rsidR="00E15D22" w:rsidRPr="00F66BCA" w:rsidRDefault="00E15D22" w:rsidP="00996BBF">
            <w:pPr>
              <w:ind w:left="1008" w:hanging="1008"/>
              <w:rPr>
                <w:sz w:val="20"/>
                <w:szCs w:val="20"/>
              </w:rPr>
            </w:pPr>
            <w:r w:rsidRPr="00E15D22">
              <w:rPr>
                <w:sz w:val="20"/>
                <w:szCs w:val="20"/>
              </w:rPr>
              <w:t>7.2.2.1.</w:t>
            </w:r>
            <w:r w:rsidRPr="00E15D22">
              <w:rPr>
                <w:sz w:val="20"/>
                <w:szCs w:val="20"/>
              </w:rPr>
              <w:tab/>
              <w:t>The assessor shall verify that the simulation toolchain(s) used by the manufacturer in the assessment of the safety case is suitable for conducting virtual tests and in compliance with requirements listed in 6.2.1. and sub-paragraphs</w:t>
            </w:r>
          </w:p>
        </w:tc>
        <w:tc>
          <w:tcPr>
            <w:tcW w:w="4317" w:type="dxa"/>
            <w:shd w:val="clear" w:color="auto" w:fill="DAE9F7" w:themeFill="text2" w:themeFillTint="1A"/>
          </w:tcPr>
          <w:p w14:paraId="44E9433F" w14:textId="1012E2FC" w:rsidR="00E15D22" w:rsidRDefault="00E15D22" w:rsidP="00E15D22">
            <w:pPr>
              <w:ind w:left="1008" w:hanging="1008"/>
              <w:rPr>
                <w:sz w:val="20"/>
                <w:szCs w:val="20"/>
              </w:rPr>
            </w:pPr>
            <w:r>
              <w:rPr>
                <w:sz w:val="20"/>
                <w:szCs w:val="20"/>
              </w:rPr>
              <w:t>7.2.2.1.</w:t>
            </w:r>
            <w:r>
              <w:rPr>
                <w:sz w:val="20"/>
                <w:szCs w:val="20"/>
              </w:rPr>
              <w:tab/>
              <w:t>The assessment shall verify compliance of the simulation toolchains with the provisions under section 6.2.1. of this Regulation.</w:t>
            </w:r>
          </w:p>
        </w:tc>
        <w:tc>
          <w:tcPr>
            <w:tcW w:w="4317" w:type="dxa"/>
          </w:tcPr>
          <w:p w14:paraId="43C58ED8" w14:textId="355D7055" w:rsidR="00E15D22" w:rsidRDefault="00E15D22">
            <w:pPr>
              <w:rPr>
                <w:color w:val="0070C0"/>
                <w:sz w:val="20"/>
                <w:szCs w:val="20"/>
              </w:rPr>
            </w:pPr>
            <w:r>
              <w:rPr>
                <w:color w:val="0070C0"/>
                <w:sz w:val="20"/>
                <w:szCs w:val="20"/>
              </w:rPr>
              <w:t>“Suitability” is determined by the requirements.</w:t>
            </w:r>
          </w:p>
        </w:tc>
      </w:tr>
      <w:tr w:rsidR="00E15D22" w:rsidRPr="00B16277" w14:paraId="0C3E67BF" w14:textId="77777777" w:rsidTr="00B153BA">
        <w:tc>
          <w:tcPr>
            <w:tcW w:w="4316" w:type="dxa"/>
            <w:shd w:val="clear" w:color="auto" w:fill="auto"/>
          </w:tcPr>
          <w:p w14:paraId="51660A81" w14:textId="5361032D" w:rsidR="00E15D22" w:rsidRPr="00E15D22" w:rsidRDefault="00E15D22" w:rsidP="00996BBF">
            <w:pPr>
              <w:ind w:left="1008" w:hanging="1008"/>
              <w:rPr>
                <w:sz w:val="20"/>
                <w:szCs w:val="20"/>
              </w:rPr>
            </w:pPr>
            <w:r w:rsidRPr="00E15D22">
              <w:rPr>
                <w:sz w:val="20"/>
                <w:szCs w:val="20"/>
              </w:rPr>
              <w:lastRenderedPageBreak/>
              <w:t>7.2.2.2.</w:t>
            </w:r>
            <w:r w:rsidRPr="00E15D22">
              <w:rPr>
                <w:sz w:val="20"/>
                <w:szCs w:val="20"/>
              </w:rPr>
              <w:tab/>
              <w:t>The assessor shall review the manufacturer’s credibility framework to determine whether the simulation toolchain(s) is suitable to undertake virtual testing.</w:t>
            </w:r>
          </w:p>
        </w:tc>
        <w:tc>
          <w:tcPr>
            <w:tcW w:w="4317" w:type="dxa"/>
            <w:shd w:val="clear" w:color="auto" w:fill="auto"/>
          </w:tcPr>
          <w:p w14:paraId="52ADE2D6" w14:textId="77777777" w:rsidR="00E15D22" w:rsidRDefault="00E15D22" w:rsidP="00E15D22">
            <w:pPr>
              <w:ind w:left="1008" w:hanging="1008"/>
              <w:rPr>
                <w:sz w:val="20"/>
                <w:szCs w:val="20"/>
              </w:rPr>
            </w:pPr>
          </w:p>
        </w:tc>
        <w:tc>
          <w:tcPr>
            <w:tcW w:w="4317" w:type="dxa"/>
          </w:tcPr>
          <w:p w14:paraId="73E3FBC3" w14:textId="2C3A1B40" w:rsidR="00E15D22" w:rsidRDefault="001823E5">
            <w:pPr>
              <w:rPr>
                <w:color w:val="0070C0"/>
                <w:sz w:val="20"/>
                <w:szCs w:val="20"/>
              </w:rPr>
            </w:pPr>
            <w:r w:rsidRPr="001823E5">
              <w:rPr>
                <w:color w:val="0070C0"/>
                <w:sz w:val="20"/>
                <w:szCs w:val="20"/>
              </w:rPr>
              <w:t>Where is this “credibility framework”?</w:t>
            </w:r>
          </w:p>
        </w:tc>
      </w:tr>
      <w:tr w:rsidR="001823E5" w:rsidRPr="00B16277" w14:paraId="74A1CC27" w14:textId="77777777" w:rsidTr="00B153BA">
        <w:tc>
          <w:tcPr>
            <w:tcW w:w="4316" w:type="dxa"/>
            <w:shd w:val="clear" w:color="auto" w:fill="auto"/>
          </w:tcPr>
          <w:p w14:paraId="2ECB7739" w14:textId="19908DBB" w:rsidR="001823E5" w:rsidRPr="00E15D22" w:rsidRDefault="001823E5" w:rsidP="00996BBF">
            <w:pPr>
              <w:ind w:left="1008" w:hanging="1008"/>
              <w:rPr>
                <w:sz w:val="20"/>
                <w:szCs w:val="20"/>
              </w:rPr>
            </w:pPr>
            <w:r w:rsidRPr="001823E5">
              <w:rPr>
                <w:sz w:val="20"/>
                <w:szCs w:val="20"/>
              </w:rPr>
              <w:t>7.2.2.3.</w:t>
            </w:r>
            <w:r w:rsidRPr="001823E5">
              <w:rPr>
                <w:sz w:val="20"/>
                <w:szCs w:val="20"/>
              </w:rPr>
              <w:tab/>
              <w:t>The assessor shall review the documentation and evidence supporting the manufacturer’s claims about the capability of the simulation toolchain(s), including its scope, to confirm that it can be used to perform virtual testing as part of the ADS assessment.</w:t>
            </w:r>
          </w:p>
        </w:tc>
        <w:tc>
          <w:tcPr>
            <w:tcW w:w="4317" w:type="dxa"/>
            <w:shd w:val="clear" w:color="auto" w:fill="auto"/>
          </w:tcPr>
          <w:p w14:paraId="4EA97FC7" w14:textId="77777777" w:rsidR="001823E5" w:rsidRDefault="001823E5" w:rsidP="00E15D22">
            <w:pPr>
              <w:ind w:left="1008" w:hanging="1008"/>
              <w:rPr>
                <w:sz w:val="20"/>
                <w:szCs w:val="20"/>
              </w:rPr>
            </w:pPr>
          </w:p>
        </w:tc>
        <w:tc>
          <w:tcPr>
            <w:tcW w:w="4317" w:type="dxa"/>
          </w:tcPr>
          <w:p w14:paraId="5797C65D" w14:textId="77777777" w:rsidR="001823E5" w:rsidRPr="001823E5" w:rsidRDefault="001823E5">
            <w:pPr>
              <w:rPr>
                <w:color w:val="0070C0"/>
                <w:sz w:val="20"/>
                <w:szCs w:val="20"/>
              </w:rPr>
            </w:pPr>
          </w:p>
        </w:tc>
      </w:tr>
      <w:tr w:rsidR="001823E5" w:rsidRPr="00B16277" w14:paraId="0646FD7F" w14:textId="77777777" w:rsidTr="00B153BA">
        <w:tc>
          <w:tcPr>
            <w:tcW w:w="4316" w:type="dxa"/>
            <w:shd w:val="clear" w:color="auto" w:fill="auto"/>
          </w:tcPr>
          <w:p w14:paraId="551B9A79" w14:textId="77BAFF97" w:rsidR="001823E5" w:rsidRPr="001823E5" w:rsidRDefault="001823E5" w:rsidP="00996BBF">
            <w:pPr>
              <w:ind w:left="1008" w:hanging="1008"/>
              <w:rPr>
                <w:sz w:val="20"/>
                <w:szCs w:val="20"/>
              </w:rPr>
            </w:pPr>
            <w:r w:rsidRPr="001823E5">
              <w:rPr>
                <w:sz w:val="20"/>
                <w:szCs w:val="20"/>
              </w:rPr>
              <w:t>7.2.2.4.</w:t>
            </w:r>
            <w:r w:rsidRPr="001823E5">
              <w:rPr>
                <w:sz w:val="20"/>
                <w:szCs w:val="20"/>
              </w:rPr>
              <w:tab/>
              <w:t>The assessor shall audit the information provided by the manufacturer and may request or carry out additional physical or virtual tests. The results of these additional tests shall be reviewed and any concerns or discrepancies shall be raised and reviewed with the manufacturer.</w:t>
            </w:r>
          </w:p>
        </w:tc>
        <w:tc>
          <w:tcPr>
            <w:tcW w:w="4317" w:type="dxa"/>
            <w:shd w:val="clear" w:color="auto" w:fill="auto"/>
          </w:tcPr>
          <w:p w14:paraId="1F01E495" w14:textId="77777777" w:rsidR="001823E5" w:rsidRDefault="001823E5" w:rsidP="00E15D22">
            <w:pPr>
              <w:ind w:left="1008" w:hanging="1008"/>
              <w:rPr>
                <w:sz w:val="20"/>
                <w:szCs w:val="20"/>
              </w:rPr>
            </w:pPr>
          </w:p>
        </w:tc>
        <w:tc>
          <w:tcPr>
            <w:tcW w:w="4317" w:type="dxa"/>
          </w:tcPr>
          <w:p w14:paraId="26AAECB1" w14:textId="77777777" w:rsidR="001823E5" w:rsidRPr="001823E5" w:rsidRDefault="001823E5">
            <w:pPr>
              <w:rPr>
                <w:color w:val="0070C0"/>
                <w:sz w:val="20"/>
                <w:szCs w:val="20"/>
              </w:rPr>
            </w:pPr>
          </w:p>
        </w:tc>
      </w:tr>
      <w:tr w:rsidR="001823E5" w:rsidRPr="00B16277" w14:paraId="6773E02F" w14:textId="77777777" w:rsidTr="00B153BA">
        <w:tc>
          <w:tcPr>
            <w:tcW w:w="4316" w:type="dxa"/>
            <w:shd w:val="clear" w:color="auto" w:fill="auto"/>
          </w:tcPr>
          <w:p w14:paraId="69EBDA39" w14:textId="0B6603F6" w:rsidR="001823E5" w:rsidRPr="001823E5" w:rsidRDefault="001823E5" w:rsidP="00996BBF">
            <w:pPr>
              <w:ind w:left="1008" w:hanging="1008"/>
              <w:rPr>
                <w:sz w:val="20"/>
                <w:szCs w:val="20"/>
              </w:rPr>
            </w:pPr>
            <w:r w:rsidRPr="001823E5">
              <w:rPr>
                <w:sz w:val="20"/>
                <w:szCs w:val="20"/>
              </w:rPr>
              <w:t>7.2.3.4.1.</w:t>
            </w:r>
            <w:r w:rsidRPr="001823E5">
              <w:rPr>
                <w:sz w:val="20"/>
                <w:szCs w:val="20"/>
              </w:rPr>
              <w:tab/>
              <w:t>If the results do not sufficiently replicate those of the manufacturer or raise other concerns and the manufacturer cannot provide an explanation for the discrepancies then  the assessor shall inform the manufacturer that they need to undertake their own review to identify the reasons.</w:t>
            </w:r>
          </w:p>
        </w:tc>
        <w:tc>
          <w:tcPr>
            <w:tcW w:w="4317" w:type="dxa"/>
            <w:shd w:val="clear" w:color="auto" w:fill="auto"/>
          </w:tcPr>
          <w:p w14:paraId="181FB51F" w14:textId="77777777" w:rsidR="001823E5" w:rsidRDefault="001823E5" w:rsidP="00E15D22">
            <w:pPr>
              <w:ind w:left="1008" w:hanging="1008"/>
              <w:rPr>
                <w:sz w:val="20"/>
                <w:szCs w:val="20"/>
              </w:rPr>
            </w:pPr>
          </w:p>
        </w:tc>
        <w:tc>
          <w:tcPr>
            <w:tcW w:w="4317" w:type="dxa"/>
          </w:tcPr>
          <w:p w14:paraId="137415C5" w14:textId="77777777" w:rsidR="001823E5" w:rsidRPr="001823E5" w:rsidRDefault="001823E5">
            <w:pPr>
              <w:rPr>
                <w:color w:val="0070C0"/>
                <w:sz w:val="20"/>
                <w:szCs w:val="20"/>
              </w:rPr>
            </w:pPr>
          </w:p>
        </w:tc>
      </w:tr>
      <w:tr w:rsidR="001823E5" w:rsidRPr="00B16277" w14:paraId="28864204" w14:textId="77777777" w:rsidTr="00B153BA">
        <w:tc>
          <w:tcPr>
            <w:tcW w:w="4316" w:type="dxa"/>
            <w:shd w:val="clear" w:color="auto" w:fill="auto"/>
          </w:tcPr>
          <w:p w14:paraId="7926956F" w14:textId="4A1DA7BF" w:rsidR="001823E5" w:rsidRPr="001823E5" w:rsidRDefault="001823E5" w:rsidP="00996BBF">
            <w:pPr>
              <w:ind w:left="1008" w:hanging="1008"/>
              <w:rPr>
                <w:sz w:val="20"/>
                <w:szCs w:val="20"/>
              </w:rPr>
            </w:pPr>
            <w:r w:rsidRPr="001823E5">
              <w:rPr>
                <w:sz w:val="20"/>
                <w:szCs w:val="20"/>
              </w:rPr>
              <w:t>7.2.3.4.2.</w:t>
            </w:r>
            <w:r w:rsidRPr="001823E5">
              <w:rPr>
                <w:sz w:val="20"/>
                <w:szCs w:val="20"/>
              </w:rPr>
              <w:tab/>
              <w:t xml:space="preserve">The manufacturer can resubmit once they have identified and resolved the issue and updated the information. The manufacture shall explain the issue and its extent. The assessor shall conduct a further review that will include an </w:t>
            </w:r>
            <w:r w:rsidRPr="001823E5">
              <w:rPr>
                <w:sz w:val="20"/>
                <w:szCs w:val="20"/>
              </w:rPr>
              <w:lastRenderedPageBreak/>
              <w:t>assessment of the additional information supplied by the manufacturer.</w:t>
            </w:r>
          </w:p>
        </w:tc>
        <w:tc>
          <w:tcPr>
            <w:tcW w:w="4317" w:type="dxa"/>
            <w:shd w:val="clear" w:color="auto" w:fill="auto"/>
          </w:tcPr>
          <w:p w14:paraId="583FB7B0" w14:textId="77777777" w:rsidR="001823E5" w:rsidRDefault="001823E5" w:rsidP="00E15D22">
            <w:pPr>
              <w:ind w:left="1008" w:hanging="1008"/>
              <w:rPr>
                <w:sz w:val="20"/>
                <w:szCs w:val="20"/>
              </w:rPr>
            </w:pPr>
          </w:p>
        </w:tc>
        <w:tc>
          <w:tcPr>
            <w:tcW w:w="4317" w:type="dxa"/>
          </w:tcPr>
          <w:p w14:paraId="1F76B83A" w14:textId="77777777" w:rsidR="001823E5" w:rsidRPr="001823E5" w:rsidRDefault="001823E5">
            <w:pPr>
              <w:rPr>
                <w:color w:val="0070C0"/>
                <w:sz w:val="20"/>
                <w:szCs w:val="20"/>
              </w:rPr>
            </w:pPr>
          </w:p>
        </w:tc>
      </w:tr>
      <w:tr w:rsidR="001823E5" w:rsidRPr="00B16277" w14:paraId="1C54201D" w14:textId="77777777" w:rsidTr="00B153BA">
        <w:tc>
          <w:tcPr>
            <w:tcW w:w="4316" w:type="dxa"/>
            <w:shd w:val="clear" w:color="auto" w:fill="auto"/>
          </w:tcPr>
          <w:p w14:paraId="7552A4A3" w14:textId="3E2FFEF5" w:rsidR="001823E5" w:rsidRPr="001823E5" w:rsidRDefault="001823E5" w:rsidP="00996BBF">
            <w:pPr>
              <w:ind w:left="1008" w:hanging="1008"/>
              <w:rPr>
                <w:sz w:val="20"/>
                <w:szCs w:val="20"/>
              </w:rPr>
            </w:pPr>
            <w:r w:rsidRPr="001823E5">
              <w:rPr>
                <w:sz w:val="20"/>
                <w:szCs w:val="20"/>
              </w:rPr>
              <w:t>7.2.3.5.</w:t>
            </w:r>
            <w:r w:rsidRPr="001823E5">
              <w:rPr>
                <w:sz w:val="20"/>
                <w:szCs w:val="20"/>
              </w:rPr>
              <w:tab/>
              <w:t>The assessor may request to witness the generation of some of the virtual testing results to verify the evidence indicated in the previous points.</w:t>
            </w:r>
          </w:p>
        </w:tc>
        <w:tc>
          <w:tcPr>
            <w:tcW w:w="4317" w:type="dxa"/>
            <w:shd w:val="clear" w:color="auto" w:fill="auto"/>
          </w:tcPr>
          <w:p w14:paraId="7E82FF2A" w14:textId="77777777" w:rsidR="001823E5" w:rsidRDefault="001823E5" w:rsidP="00E15D22">
            <w:pPr>
              <w:ind w:left="1008" w:hanging="1008"/>
              <w:rPr>
                <w:sz w:val="20"/>
                <w:szCs w:val="20"/>
              </w:rPr>
            </w:pPr>
          </w:p>
        </w:tc>
        <w:tc>
          <w:tcPr>
            <w:tcW w:w="4317" w:type="dxa"/>
          </w:tcPr>
          <w:p w14:paraId="0283FB80" w14:textId="77777777" w:rsidR="001823E5" w:rsidRPr="001823E5" w:rsidRDefault="001823E5">
            <w:pPr>
              <w:rPr>
                <w:color w:val="0070C0"/>
                <w:sz w:val="20"/>
                <w:szCs w:val="20"/>
              </w:rPr>
            </w:pPr>
          </w:p>
        </w:tc>
      </w:tr>
    </w:tbl>
    <w:p w14:paraId="70151918" w14:textId="77777777" w:rsidR="00996BBF" w:rsidRPr="00B16277" w:rsidRDefault="00996BBF"/>
    <w:sectPr w:rsidR="00996BBF" w:rsidRPr="00B16277" w:rsidSect="0028488C">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BFC7" w14:textId="77777777" w:rsidR="00477CDA" w:rsidRDefault="00477CDA" w:rsidP="00EF640C">
      <w:pPr>
        <w:spacing w:after="0" w:line="240" w:lineRule="auto"/>
      </w:pPr>
      <w:r>
        <w:separator/>
      </w:r>
    </w:p>
  </w:endnote>
  <w:endnote w:type="continuationSeparator" w:id="0">
    <w:p w14:paraId="7F828041" w14:textId="77777777" w:rsidR="00477CDA" w:rsidRDefault="00477CDA" w:rsidP="00EF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1066" w14:textId="77777777" w:rsidR="00EF640C" w:rsidRDefault="00EF6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3334" w14:textId="77777777" w:rsidR="00EF640C" w:rsidRDefault="00EF6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3098" w14:textId="77777777" w:rsidR="00EF640C" w:rsidRDefault="00EF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B1143" w14:textId="77777777" w:rsidR="00477CDA" w:rsidRDefault="00477CDA" w:rsidP="00EF640C">
      <w:pPr>
        <w:spacing w:after="0" w:line="240" w:lineRule="auto"/>
      </w:pPr>
      <w:r>
        <w:separator/>
      </w:r>
    </w:p>
  </w:footnote>
  <w:footnote w:type="continuationSeparator" w:id="0">
    <w:p w14:paraId="1A3BD93A" w14:textId="77777777" w:rsidR="00477CDA" w:rsidRDefault="00477CDA" w:rsidP="00EF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97D5" w14:textId="77777777" w:rsidR="00EF640C" w:rsidRDefault="00EF6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E390" w14:textId="43074520" w:rsidR="00EF640C" w:rsidRPr="00EF640C" w:rsidRDefault="00EF640C" w:rsidP="00EF640C">
    <w:pPr>
      <w:pStyle w:val="Header"/>
      <w:tabs>
        <w:tab w:val="clear" w:pos="9026"/>
        <w:tab w:val="right" w:pos="12780"/>
      </w:tabs>
      <w:rPr>
        <w:lang w:val="en-US"/>
      </w:rPr>
    </w:pPr>
    <w:r w:rsidRPr="00EF640C">
      <w:rPr>
        <w:lang w:val="en-US"/>
      </w:rPr>
      <w:t>Prepared by the ADS IWG secretary</w:t>
    </w:r>
    <w:r w:rsidRPr="00EF640C">
      <w:rPr>
        <w:lang w:val="en-US"/>
      </w:rPr>
      <w:tab/>
    </w:r>
    <w:r w:rsidRPr="00EF640C">
      <w:rPr>
        <w:lang w:val="en-US"/>
      </w:rPr>
      <w:tab/>
      <w:t>Document ADS-08-04/Rev.1/Add.</w:t>
    </w:r>
    <w:r>
      <w:rPr>
        <w:lang w:val="en-US"/>
      </w:rPr>
      <w:t>9</w:t>
    </w:r>
  </w:p>
  <w:p w14:paraId="6175F230" w14:textId="77777777" w:rsidR="00EF640C" w:rsidRPr="00EF640C" w:rsidRDefault="00EF640C" w:rsidP="00EF640C">
    <w:pPr>
      <w:pStyle w:val="Header"/>
      <w:tabs>
        <w:tab w:val="clear" w:pos="9026"/>
        <w:tab w:val="right" w:pos="12780"/>
      </w:tabs>
      <w:rPr>
        <w:lang w:val="en-US"/>
      </w:rPr>
    </w:pPr>
    <w:r w:rsidRPr="00EF640C">
      <w:rPr>
        <w:lang w:val="en-US"/>
      </w:rPr>
      <w:tab/>
    </w:r>
    <w:r w:rsidRPr="00EF640C">
      <w:rPr>
        <w:lang w:val="en-US"/>
      </w:rPr>
      <w:tab/>
      <w:t>8</w:t>
    </w:r>
    <w:r w:rsidRPr="00EF640C">
      <w:rPr>
        <w:vertAlign w:val="superscript"/>
        <w:lang w:val="en-US"/>
      </w:rPr>
      <w:t>th</w:t>
    </w:r>
    <w:r w:rsidRPr="00EF640C">
      <w:rPr>
        <w:lang w:val="en-US"/>
      </w:rPr>
      <w:t xml:space="preserve"> ADS IWG session</w:t>
    </w:r>
  </w:p>
  <w:p w14:paraId="04D9046A" w14:textId="77777777" w:rsidR="00EF640C" w:rsidRPr="00EF640C" w:rsidRDefault="00EF640C" w:rsidP="00EF640C">
    <w:pPr>
      <w:pStyle w:val="Header"/>
      <w:tabs>
        <w:tab w:val="clear" w:pos="9026"/>
        <w:tab w:val="right" w:pos="12780"/>
      </w:tabs>
      <w:rPr>
        <w:lang w:val="en-US"/>
      </w:rPr>
    </w:pPr>
    <w:r w:rsidRPr="00EF640C">
      <w:rPr>
        <w:lang w:val="en-US"/>
      </w:rPr>
      <w:tab/>
    </w:r>
    <w:r w:rsidRPr="00EF640C">
      <w:rPr>
        <w:lang w:val="en-US"/>
      </w:rPr>
      <w:tab/>
      <w:t>14-18 April 2025</w:t>
    </w:r>
  </w:p>
  <w:p w14:paraId="2746454B" w14:textId="77777777" w:rsidR="00EF640C" w:rsidRDefault="00EF6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8823" w14:textId="77777777" w:rsidR="00EF640C" w:rsidRDefault="00EF6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636370">
    <w:abstractNumId w:val="1"/>
  </w:num>
  <w:num w:numId="2" w16cid:durableId="2083943190">
    <w:abstractNumId w:val="0"/>
  </w:num>
  <w:num w:numId="3" w16cid:durableId="826358993">
    <w:abstractNumId w:val="0"/>
  </w:num>
  <w:num w:numId="4" w16cid:durableId="1993020458">
    <w:abstractNumId w:val="0"/>
  </w:num>
  <w:num w:numId="5" w16cid:durableId="924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BF"/>
    <w:rsid w:val="000149BA"/>
    <w:rsid w:val="00072B61"/>
    <w:rsid w:val="00073A75"/>
    <w:rsid w:val="000758C1"/>
    <w:rsid w:val="0008791F"/>
    <w:rsid w:val="000A6565"/>
    <w:rsid w:val="000C2E81"/>
    <w:rsid w:val="000C3944"/>
    <w:rsid w:val="000D0EE8"/>
    <w:rsid w:val="00122070"/>
    <w:rsid w:val="001434E3"/>
    <w:rsid w:val="00157F5B"/>
    <w:rsid w:val="00177724"/>
    <w:rsid w:val="001823E5"/>
    <w:rsid w:val="001E6221"/>
    <w:rsid w:val="00206E98"/>
    <w:rsid w:val="00244942"/>
    <w:rsid w:val="002466D9"/>
    <w:rsid w:val="00257EA4"/>
    <w:rsid w:val="002639A2"/>
    <w:rsid w:val="0028488C"/>
    <w:rsid w:val="002B73DE"/>
    <w:rsid w:val="00317831"/>
    <w:rsid w:val="003736F8"/>
    <w:rsid w:val="003F71E7"/>
    <w:rsid w:val="0041564F"/>
    <w:rsid w:val="00473327"/>
    <w:rsid w:val="00477CDA"/>
    <w:rsid w:val="004C6837"/>
    <w:rsid w:val="004E4A62"/>
    <w:rsid w:val="0050032F"/>
    <w:rsid w:val="00534BB3"/>
    <w:rsid w:val="0055441B"/>
    <w:rsid w:val="00563626"/>
    <w:rsid w:val="00564E1E"/>
    <w:rsid w:val="0057175C"/>
    <w:rsid w:val="005937B3"/>
    <w:rsid w:val="005D157F"/>
    <w:rsid w:val="005F096B"/>
    <w:rsid w:val="005F5CD5"/>
    <w:rsid w:val="0061568B"/>
    <w:rsid w:val="006267E5"/>
    <w:rsid w:val="00650B27"/>
    <w:rsid w:val="006739F0"/>
    <w:rsid w:val="006C1B32"/>
    <w:rsid w:val="006C31E6"/>
    <w:rsid w:val="006E7B5C"/>
    <w:rsid w:val="007223FD"/>
    <w:rsid w:val="00740A2F"/>
    <w:rsid w:val="007A0FDD"/>
    <w:rsid w:val="00816A12"/>
    <w:rsid w:val="008F0C76"/>
    <w:rsid w:val="009373EC"/>
    <w:rsid w:val="00996BBF"/>
    <w:rsid w:val="009A4ABB"/>
    <w:rsid w:val="009B5592"/>
    <w:rsid w:val="009C6B39"/>
    <w:rsid w:val="009C75A8"/>
    <w:rsid w:val="00A27445"/>
    <w:rsid w:val="00A54CF4"/>
    <w:rsid w:val="00A61845"/>
    <w:rsid w:val="00A8379F"/>
    <w:rsid w:val="00AC01C8"/>
    <w:rsid w:val="00AC33FC"/>
    <w:rsid w:val="00B1148C"/>
    <w:rsid w:val="00B153BA"/>
    <w:rsid w:val="00B16277"/>
    <w:rsid w:val="00B17FC0"/>
    <w:rsid w:val="00B4274F"/>
    <w:rsid w:val="00B70467"/>
    <w:rsid w:val="00C24848"/>
    <w:rsid w:val="00C83A48"/>
    <w:rsid w:val="00CA29A3"/>
    <w:rsid w:val="00CD3E56"/>
    <w:rsid w:val="00D13B4E"/>
    <w:rsid w:val="00D14391"/>
    <w:rsid w:val="00D24F61"/>
    <w:rsid w:val="00D406EB"/>
    <w:rsid w:val="00D73DCC"/>
    <w:rsid w:val="00DB1BC4"/>
    <w:rsid w:val="00DD63CC"/>
    <w:rsid w:val="00E15D22"/>
    <w:rsid w:val="00EF640C"/>
    <w:rsid w:val="00F15342"/>
    <w:rsid w:val="00F33447"/>
    <w:rsid w:val="00F35ACF"/>
    <w:rsid w:val="00F43EAA"/>
    <w:rsid w:val="00F53C4B"/>
    <w:rsid w:val="00F66BCA"/>
    <w:rsid w:val="00F77505"/>
    <w:rsid w:val="00F87E76"/>
    <w:rsid w:val="00F943C1"/>
    <w:rsid w:val="00F9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1093"/>
  <w15:chartTrackingRefBased/>
  <w15:docId w15:val="{3C8D430A-2DCE-4EE9-9CB9-2EEBA9E2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996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B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B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6B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6B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6B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6B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6B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E4A62"/>
    <w:pPr>
      <w:ind w:left="187" w:hanging="187"/>
    </w:pPr>
  </w:style>
  <w:style w:type="character" w:customStyle="1" w:styleId="footnoteChar">
    <w:name w:val="footnote Char"/>
    <w:basedOn w:val="FootnoteTextChar"/>
    <w:link w:val="footnote"/>
    <w:rsid w:val="004E4A62"/>
    <w:rPr>
      <w:sz w:val="20"/>
      <w:szCs w:val="20"/>
    </w:rPr>
  </w:style>
  <w:style w:type="paragraph" w:styleId="FootnoteText">
    <w:name w:val="footnote text"/>
    <w:basedOn w:val="Normal"/>
    <w:link w:val="FootnoteTextChar"/>
    <w:uiPriority w:val="99"/>
    <w:semiHidden/>
    <w:unhideWhenUsed/>
    <w:rsid w:val="004E4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A62"/>
    <w:rPr>
      <w:sz w:val="20"/>
      <w:szCs w:val="20"/>
    </w:rPr>
  </w:style>
  <w:style w:type="character" w:customStyle="1" w:styleId="Heading1Char">
    <w:name w:val="Heading 1 Char"/>
    <w:basedOn w:val="DefaultParagraphFont"/>
    <w:link w:val="Heading1"/>
    <w:uiPriority w:val="9"/>
    <w:rsid w:val="00996BB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96BB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96BBF"/>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96BBF"/>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96BBF"/>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996BBF"/>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96BBF"/>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996BBF"/>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96BBF"/>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996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BB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96B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BBF"/>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96BBF"/>
    <w:pPr>
      <w:spacing w:before="160"/>
      <w:jc w:val="center"/>
    </w:pPr>
    <w:rPr>
      <w:i/>
      <w:iCs/>
      <w:color w:val="404040" w:themeColor="text1" w:themeTint="BF"/>
    </w:rPr>
  </w:style>
  <w:style w:type="character" w:customStyle="1" w:styleId="QuoteChar">
    <w:name w:val="Quote Char"/>
    <w:basedOn w:val="DefaultParagraphFont"/>
    <w:link w:val="Quote"/>
    <w:uiPriority w:val="29"/>
    <w:rsid w:val="00996BBF"/>
    <w:rPr>
      <w:i/>
      <w:iCs/>
      <w:color w:val="404040" w:themeColor="text1" w:themeTint="BF"/>
      <w:lang w:val="en-GB"/>
    </w:rPr>
  </w:style>
  <w:style w:type="character" w:styleId="IntenseEmphasis">
    <w:name w:val="Intense Emphasis"/>
    <w:basedOn w:val="DefaultParagraphFont"/>
    <w:uiPriority w:val="21"/>
    <w:qFormat/>
    <w:rsid w:val="00996BBF"/>
    <w:rPr>
      <w:i/>
      <w:iCs/>
      <w:color w:val="0F4761" w:themeColor="accent1" w:themeShade="BF"/>
    </w:rPr>
  </w:style>
  <w:style w:type="paragraph" w:styleId="IntenseQuote">
    <w:name w:val="Intense Quote"/>
    <w:basedOn w:val="Normal"/>
    <w:next w:val="Normal"/>
    <w:link w:val="IntenseQuoteChar"/>
    <w:uiPriority w:val="30"/>
    <w:qFormat/>
    <w:rsid w:val="00996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BBF"/>
    <w:rPr>
      <w:i/>
      <w:iCs/>
      <w:color w:val="0F4761" w:themeColor="accent1" w:themeShade="BF"/>
      <w:lang w:val="en-GB"/>
    </w:rPr>
  </w:style>
  <w:style w:type="character" w:styleId="IntenseReference">
    <w:name w:val="Intense Reference"/>
    <w:basedOn w:val="DefaultParagraphFont"/>
    <w:uiPriority w:val="32"/>
    <w:qFormat/>
    <w:rsid w:val="00996BBF"/>
    <w:rPr>
      <w:b/>
      <w:bCs/>
      <w:smallCaps/>
      <w:color w:val="0F4761" w:themeColor="accent1" w:themeShade="BF"/>
      <w:spacing w:val="5"/>
    </w:rPr>
  </w:style>
  <w:style w:type="table" w:styleId="TableGrid">
    <w:name w:val="Table Grid"/>
    <w:basedOn w:val="TableNormal"/>
    <w:uiPriority w:val="39"/>
    <w:rsid w:val="0099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0C"/>
    <w:rPr>
      <w:lang w:val="en-GB"/>
    </w:rPr>
  </w:style>
  <w:style w:type="paragraph" w:styleId="Footer">
    <w:name w:val="footer"/>
    <w:basedOn w:val="Normal"/>
    <w:link w:val="FooterChar"/>
    <w:uiPriority w:val="99"/>
    <w:unhideWhenUsed/>
    <w:rsid w:val="00EF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0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47450">
      <w:bodyDiv w:val="1"/>
      <w:marLeft w:val="0"/>
      <w:marRight w:val="0"/>
      <w:marTop w:val="0"/>
      <w:marBottom w:val="0"/>
      <w:divBdr>
        <w:top w:val="none" w:sz="0" w:space="0" w:color="auto"/>
        <w:left w:val="none" w:sz="0" w:space="0" w:color="auto"/>
        <w:bottom w:val="none" w:sz="0" w:space="0" w:color="auto"/>
        <w:right w:val="none" w:sz="0" w:space="0" w:color="auto"/>
      </w:divBdr>
    </w:div>
    <w:div w:id="20100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3</cp:revision>
  <dcterms:created xsi:type="dcterms:W3CDTF">2025-04-10T16:08:00Z</dcterms:created>
  <dcterms:modified xsi:type="dcterms:W3CDTF">2025-04-10T16:10:00Z</dcterms:modified>
</cp:coreProperties>
</file>