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559E" w14:textId="6497DA95" w:rsidR="000E616A" w:rsidRPr="000E616A" w:rsidRDefault="000E616A" w:rsidP="000E616A">
      <w:pPr>
        <w:spacing w:line="256" w:lineRule="auto"/>
        <w:jc w:val="center"/>
        <w:rPr>
          <w:rFonts w:eastAsia="Aptos" w:cs="Times New Roman"/>
          <w:b/>
          <w:bCs/>
          <w:sz w:val="28"/>
          <w:szCs w:val="28"/>
        </w:rPr>
      </w:pPr>
      <w:r w:rsidRPr="000E616A">
        <w:rPr>
          <w:rFonts w:eastAsia="Aptos" w:cs="Times New Roman"/>
          <w:b/>
          <w:bCs/>
          <w:sz w:val="28"/>
          <w:szCs w:val="28"/>
        </w:rPr>
        <w:t>§</w:t>
      </w:r>
      <w:r>
        <w:rPr>
          <w:rFonts w:eastAsia="Aptos" w:cs="Times New Roman"/>
          <w:b/>
          <w:bCs/>
          <w:sz w:val="28"/>
          <w:szCs w:val="28"/>
        </w:rPr>
        <w:t>5.1</w:t>
      </w:r>
      <w:r w:rsidRPr="000E616A">
        <w:rPr>
          <w:rFonts w:eastAsia="Aptos" w:cs="Times New Roman"/>
          <w:b/>
          <w:bCs/>
          <w:sz w:val="28"/>
          <w:szCs w:val="28"/>
        </w:rPr>
        <w:t xml:space="preserve">.  </w:t>
      </w:r>
      <w:r>
        <w:rPr>
          <w:rFonts w:eastAsia="Aptos" w:cs="Times New Roman"/>
          <w:b/>
          <w:bCs/>
          <w:sz w:val="28"/>
          <w:szCs w:val="28"/>
        </w:rPr>
        <w:t>DDT performance</w:t>
      </w:r>
    </w:p>
    <w:p w14:paraId="339C404B" w14:textId="77777777" w:rsidR="000E616A" w:rsidRDefault="000E616A" w:rsidP="009A3323">
      <w:pPr>
        <w:rPr>
          <w:shd w:val="clear" w:color="auto" w:fill="D9F2D0" w:themeFill="accent6" w:themeFillTint="33"/>
          <w:lang w:val="en-US"/>
        </w:rPr>
      </w:pPr>
    </w:p>
    <w:p w14:paraId="409AA5B5" w14:textId="0E0A138A" w:rsidR="009A3323" w:rsidRPr="009A3323" w:rsidRDefault="009A3323" w:rsidP="009A3323">
      <w:pPr>
        <w:rPr>
          <w:lang w:val="en-US"/>
        </w:rPr>
      </w:pPr>
      <w:r w:rsidRPr="009A3323">
        <w:rPr>
          <w:shd w:val="clear" w:color="auto" w:fill="D9F2D0" w:themeFill="accent6" w:themeFillTint="33"/>
          <w:lang w:val="en-US"/>
        </w:rPr>
        <w:t>Green</w:t>
      </w:r>
      <w:r w:rsidRPr="009A3323">
        <w:rPr>
          <w:lang w:val="en-US"/>
        </w:rPr>
        <w:t xml:space="preserve"> means </w:t>
      </w:r>
      <w:r>
        <w:rPr>
          <w:lang w:val="en-US"/>
        </w:rPr>
        <w:t>text accepted by IWG.</w:t>
      </w:r>
    </w:p>
    <w:p w14:paraId="07D3F490" w14:textId="1236E03C" w:rsidR="009A3323" w:rsidRPr="009A3323" w:rsidRDefault="009A3323" w:rsidP="009A3323">
      <w:pPr>
        <w:rPr>
          <w:lang w:val="en-US"/>
        </w:rPr>
      </w:pPr>
      <w:r w:rsidRPr="009A3323">
        <w:rPr>
          <w:shd w:val="clear" w:color="auto" w:fill="DAE9F7" w:themeFill="text2" w:themeFillTint="1A"/>
          <w:lang w:val="en-US"/>
        </w:rPr>
        <w:t>Blue</w:t>
      </w:r>
      <w:r w:rsidRPr="009A3323">
        <w:rPr>
          <w:lang w:val="en-US"/>
        </w:rPr>
        <w:t xml:space="preserve"> means </w:t>
      </w:r>
      <w:r>
        <w:rPr>
          <w:lang w:val="en-US"/>
        </w:rPr>
        <w:t>generally accepted subject to editorial improvement.</w:t>
      </w:r>
    </w:p>
    <w:p w14:paraId="76D01598" w14:textId="0C2C1539" w:rsidR="00F15342" w:rsidRDefault="009A3323" w:rsidP="009A3323">
      <w:pPr>
        <w:rPr>
          <w:lang w:val="en-US"/>
        </w:rPr>
      </w:pPr>
      <w:r w:rsidRPr="009A3323">
        <w:rPr>
          <w:shd w:val="clear" w:color="auto" w:fill="FAE2D5" w:themeFill="accent2" w:themeFillTint="33"/>
          <w:lang w:val="en-US"/>
        </w:rPr>
        <w:t>Orange</w:t>
      </w:r>
      <w:r w:rsidRPr="009A3323">
        <w:rPr>
          <w:lang w:val="en-US"/>
        </w:rPr>
        <w:t xml:space="preserve"> means </w:t>
      </w:r>
      <w:r>
        <w:rPr>
          <w:lang w:val="en-US"/>
        </w:rPr>
        <w:t>the text has raised substantive reservations.</w:t>
      </w:r>
    </w:p>
    <w:p w14:paraId="41658651" w14:textId="77777777" w:rsidR="00996BBF" w:rsidRDefault="00996BBF">
      <w:pPr>
        <w:rPr>
          <w:lang w:val="en-US"/>
        </w:rPr>
      </w:pPr>
    </w:p>
    <w:tbl>
      <w:tblPr>
        <w:tblStyle w:val="TableGrid"/>
        <w:tblW w:w="0" w:type="auto"/>
        <w:tblLayout w:type="fixed"/>
        <w:tblCellMar>
          <w:top w:w="58" w:type="dxa"/>
          <w:left w:w="58" w:type="dxa"/>
          <w:bottom w:w="58" w:type="dxa"/>
          <w:right w:w="58" w:type="dxa"/>
        </w:tblCellMar>
        <w:tblLook w:val="04A0" w:firstRow="1" w:lastRow="0" w:firstColumn="1" w:lastColumn="0" w:noHBand="0" w:noVBand="1"/>
      </w:tblPr>
      <w:tblGrid>
        <w:gridCol w:w="4316"/>
        <w:gridCol w:w="4317"/>
        <w:gridCol w:w="4317"/>
      </w:tblGrid>
      <w:tr w:rsidR="00996BBF" w:rsidRPr="009A3323" w14:paraId="37278417" w14:textId="77777777" w:rsidTr="00996BBF">
        <w:tc>
          <w:tcPr>
            <w:tcW w:w="4316" w:type="dxa"/>
          </w:tcPr>
          <w:p w14:paraId="75BEFDAD" w14:textId="77777777" w:rsidR="00996BBF" w:rsidRPr="009A3323" w:rsidRDefault="00996BBF">
            <w:pPr>
              <w:rPr>
                <w:sz w:val="20"/>
                <w:szCs w:val="20"/>
              </w:rPr>
            </w:pPr>
          </w:p>
        </w:tc>
        <w:tc>
          <w:tcPr>
            <w:tcW w:w="4317" w:type="dxa"/>
          </w:tcPr>
          <w:p w14:paraId="3B16C857" w14:textId="77777777" w:rsidR="00996BBF" w:rsidRPr="009A3323" w:rsidRDefault="00996BBF">
            <w:pPr>
              <w:rPr>
                <w:sz w:val="20"/>
                <w:szCs w:val="20"/>
              </w:rPr>
            </w:pPr>
          </w:p>
        </w:tc>
        <w:tc>
          <w:tcPr>
            <w:tcW w:w="4317" w:type="dxa"/>
          </w:tcPr>
          <w:p w14:paraId="74107A0F" w14:textId="77777777" w:rsidR="00996BBF" w:rsidRPr="009A3323" w:rsidRDefault="00996BBF">
            <w:pPr>
              <w:rPr>
                <w:sz w:val="20"/>
                <w:szCs w:val="20"/>
              </w:rPr>
            </w:pPr>
          </w:p>
        </w:tc>
      </w:tr>
      <w:tr w:rsidR="00996BBF" w:rsidRPr="009A3323" w14:paraId="30CB81D0" w14:textId="77777777" w:rsidTr="00996BBF">
        <w:tc>
          <w:tcPr>
            <w:tcW w:w="4316" w:type="dxa"/>
            <w:shd w:val="clear" w:color="auto" w:fill="D9F2D0" w:themeFill="accent6" w:themeFillTint="33"/>
          </w:tcPr>
          <w:p w14:paraId="44B8F167" w14:textId="7673090F" w:rsidR="00996BBF" w:rsidRPr="009A3323" w:rsidRDefault="00996BBF" w:rsidP="00996BBF">
            <w:pPr>
              <w:ind w:left="1008" w:hanging="1008"/>
              <w:rPr>
                <w:sz w:val="20"/>
                <w:szCs w:val="20"/>
              </w:rPr>
            </w:pPr>
            <w:r w:rsidRPr="009A3323">
              <w:rPr>
                <w:sz w:val="20"/>
                <w:szCs w:val="20"/>
              </w:rPr>
              <w:t>5.</w:t>
            </w:r>
            <w:r w:rsidRPr="009A3323">
              <w:rPr>
                <w:sz w:val="20"/>
                <w:szCs w:val="20"/>
              </w:rPr>
              <w:tab/>
              <w:t>ADS Requirements</w:t>
            </w:r>
          </w:p>
        </w:tc>
        <w:tc>
          <w:tcPr>
            <w:tcW w:w="4317" w:type="dxa"/>
          </w:tcPr>
          <w:p w14:paraId="0611E492" w14:textId="77777777" w:rsidR="00996BBF" w:rsidRPr="009A3323" w:rsidRDefault="00996BBF">
            <w:pPr>
              <w:rPr>
                <w:sz w:val="20"/>
                <w:szCs w:val="20"/>
              </w:rPr>
            </w:pPr>
          </w:p>
        </w:tc>
        <w:tc>
          <w:tcPr>
            <w:tcW w:w="4317" w:type="dxa"/>
          </w:tcPr>
          <w:p w14:paraId="777A7AF2" w14:textId="77777777" w:rsidR="00996BBF" w:rsidRPr="009A3323" w:rsidRDefault="00996BBF">
            <w:pPr>
              <w:rPr>
                <w:sz w:val="20"/>
                <w:szCs w:val="20"/>
              </w:rPr>
            </w:pPr>
          </w:p>
        </w:tc>
      </w:tr>
      <w:tr w:rsidR="00996BBF" w:rsidRPr="009A3323" w14:paraId="63808990" w14:textId="77777777" w:rsidTr="00996BBF">
        <w:tc>
          <w:tcPr>
            <w:tcW w:w="4316" w:type="dxa"/>
            <w:shd w:val="clear" w:color="auto" w:fill="D9F2D0" w:themeFill="accent6" w:themeFillTint="33"/>
          </w:tcPr>
          <w:p w14:paraId="75F675B0" w14:textId="74A1DCAF" w:rsidR="00996BBF" w:rsidRPr="009A3323" w:rsidRDefault="00996BBF" w:rsidP="00996BBF">
            <w:pPr>
              <w:ind w:left="1008" w:hanging="1008"/>
              <w:rPr>
                <w:sz w:val="20"/>
                <w:szCs w:val="20"/>
              </w:rPr>
            </w:pPr>
            <w:r w:rsidRPr="009A3323">
              <w:rPr>
                <w:sz w:val="20"/>
                <w:szCs w:val="20"/>
              </w:rPr>
              <w:t>5.1.</w:t>
            </w:r>
            <w:r w:rsidRPr="009A3323">
              <w:rPr>
                <w:sz w:val="20"/>
                <w:szCs w:val="20"/>
              </w:rPr>
              <w:tab/>
              <w:t>ADS Performance of the DDT</w:t>
            </w:r>
          </w:p>
        </w:tc>
        <w:tc>
          <w:tcPr>
            <w:tcW w:w="4317" w:type="dxa"/>
          </w:tcPr>
          <w:p w14:paraId="0B0DCE43" w14:textId="77777777" w:rsidR="00996BBF" w:rsidRPr="009A3323" w:rsidRDefault="00996BBF">
            <w:pPr>
              <w:rPr>
                <w:sz w:val="20"/>
                <w:szCs w:val="20"/>
              </w:rPr>
            </w:pPr>
          </w:p>
        </w:tc>
        <w:tc>
          <w:tcPr>
            <w:tcW w:w="4317" w:type="dxa"/>
          </w:tcPr>
          <w:p w14:paraId="2BAE946B" w14:textId="77777777" w:rsidR="00996BBF" w:rsidRPr="009A3323" w:rsidRDefault="00996BBF">
            <w:pPr>
              <w:rPr>
                <w:sz w:val="20"/>
                <w:szCs w:val="20"/>
              </w:rPr>
            </w:pPr>
          </w:p>
        </w:tc>
      </w:tr>
      <w:tr w:rsidR="00996BBF" w:rsidRPr="009A3323" w14:paraId="3B8ABFD1" w14:textId="77777777" w:rsidTr="00B25DCA">
        <w:tc>
          <w:tcPr>
            <w:tcW w:w="4316" w:type="dxa"/>
            <w:shd w:val="clear" w:color="auto" w:fill="D9F2D0" w:themeFill="accent6" w:themeFillTint="33"/>
          </w:tcPr>
          <w:p w14:paraId="58E7DC69" w14:textId="24318DC7" w:rsidR="00996BBF" w:rsidRPr="009A3323" w:rsidRDefault="00996BBF" w:rsidP="00996BBF">
            <w:pPr>
              <w:ind w:left="1008" w:hanging="1008"/>
              <w:rPr>
                <w:sz w:val="20"/>
                <w:szCs w:val="20"/>
              </w:rPr>
            </w:pPr>
            <w:r w:rsidRPr="009A3323">
              <w:rPr>
                <w:sz w:val="20"/>
                <w:szCs w:val="20"/>
              </w:rPr>
              <w:t>5.1.1.</w:t>
            </w:r>
            <w:r w:rsidRPr="009A3323">
              <w:rPr>
                <w:sz w:val="20"/>
                <w:szCs w:val="20"/>
              </w:rPr>
              <w:tab/>
              <w:t>The ADS shall be capable of performing the entire Dynamic Driving Task (DDT within the ODD of its feature(s).</w:t>
            </w:r>
          </w:p>
        </w:tc>
        <w:tc>
          <w:tcPr>
            <w:tcW w:w="4317" w:type="dxa"/>
            <w:shd w:val="clear" w:color="auto" w:fill="DAE9F7" w:themeFill="text2" w:themeFillTint="1A"/>
          </w:tcPr>
          <w:p w14:paraId="51FF8132" w14:textId="7A9678CE" w:rsidR="00996BBF" w:rsidRPr="009A3323" w:rsidRDefault="00996BBF" w:rsidP="00996BBF">
            <w:pPr>
              <w:ind w:left="1008" w:hanging="1008"/>
              <w:rPr>
                <w:sz w:val="20"/>
                <w:szCs w:val="20"/>
              </w:rPr>
            </w:pPr>
            <w:r w:rsidRPr="009A3323">
              <w:rPr>
                <w:sz w:val="20"/>
                <w:szCs w:val="20"/>
              </w:rPr>
              <w:t>5.1.1.</w:t>
            </w:r>
            <w:r w:rsidRPr="009A3323">
              <w:rPr>
                <w:sz w:val="20"/>
                <w:szCs w:val="20"/>
              </w:rPr>
              <w:tab/>
              <w:t>The ADS shall be capable of performing the entire DDT within the ODD of its feature(s).</w:t>
            </w:r>
          </w:p>
        </w:tc>
        <w:tc>
          <w:tcPr>
            <w:tcW w:w="4317" w:type="dxa"/>
          </w:tcPr>
          <w:p w14:paraId="520C439D" w14:textId="4B2F114E" w:rsidR="00996BBF" w:rsidRPr="009A3323" w:rsidRDefault="00996BBF">
            <w:pPr>
              <w:rPr>
                <w:sz w:val="20"/>
                <w:szCs w:val="20"/>
              </w:rPr>
            </w:pPr>
            <w:r w:rsidRPr="00176A88">
              <w:rPr>
                <w:color w:val="0070C0"/>
                <w:sz w:val="20"/>
                <w:szCs w:val="20"/>
              </w:rPr>
              <w:t>Sec: Use “DDT” acronym for brevity.</w:t>
            </w:r>
          </w:p>
        </w:tc>
      </w:tr>
      <w:tr w:rsidR="00996BBF" w:rsidRPr="009A3323" w14:paraId="544AA9FA" w14:textId="77777777" w:rsidTr="00B25DCA">
        <w:tc>
          <w:tcPr>
            <w:tcW w:w="4316" w:type="dxa"/>
            <w:shd w:val="clear" w:color="auto" w:fill="D9F2D0" w:themeFill="accent6" w:themeFillTint="33"/>
          </w:tcPr>
          <w:p w14:paraId="5763F44F" w14:textId="38EDFE7C" w:rsidR="00996BBF" w:rsidRPr="009A3323" w:rsidRDefault="00996BBF" w:rsidP="00996BBF">
            <w:pPr>
              <w:ind w:left="1008" w:hanging="1008"/>
              <w:rPr>
                <w:sz w:val="20"/>
                <w:szCs w:val="20"/>
              </w:rPr>
            </w:pPr>
            <w:r w:rsidRPr="009A3323">
              <w:rPr>
                <w:sz w:val="20"/>
                <w:szCs w:val="20"/>
              </w:rPr>
              <w:tab/>
              <w:t>The manufacturer shall use a process to derive behavioural competencies and scenarios that are ODD-relevant. The methodology used in Annex [x] can be used or alternative methods providing they are equally comprehensive.</w:t>
            </w:r>
          </w:p>
        </w:tc>
        <w:tc>
          <w:tcPr>
            <w:tcW w:w="4317" w:type="dxa"/>
            <w:shd w:val="clear" w:color="auto" w:fill="DAE9F7" w:themeFill="text2" w:themeFillTint="1A"/>
          </w:tcPr>
          <w:p w14:paraId="30A05823" w14:textId="426F2AEF" w:rsidR="00996BBF" w:rsidRPr="009A3323" w:rsidRDefault="00996BBF" w:rsidP="00996BBF">
            <w:pPr>
              <w:ind w:left="1008" w:hanging="1008"/>
              <w:rPr>
                <w:sz w:val="20"/>
                <w:szCs w:val="20"/>
              </w:rPr>
            </w:pPr>
          </w:p>
        </w:tc>
        <w:tc>
          <w:tcPr>
            <w:tcW w:w="4317" w:type="dxa"/>
          </w:tcPr>
          <w:p w14:paraId="1261FD9A" w14:textId="26241242" w:rsidR="00996BBF" w:rsidRPr="00B25DCA" w:rsidRDefault="00B25DCA">
            <w:pPr>
              <w:rPr>
                <w:color w:val="0070C0"/>
                <w:sz w:val="20"/>
                <w:szCs w:val="20"/>
              </w:rPr>
            </w:pPr>
            <w:r>
              <w:rPr>
                <w:color w:val="0070C0"/>
                <w:sz w:val="20"/>
                <w:szCs w:val="20"/>
              </w:rPr>
              <w:t xml:space="preserve">Not an ADS DDT performance requirement. The “process” should be included under the SMS section. The outcome of the process falls under the safety case (description of the ODD </w:t>
            </w:r>
            <w:r w:rsidR="0056046C">
              <w:rPr>
                <w:color w:val="0070C0"/>
                <w:sz w:val="20"/>
                <w:szCs w:val="20"/>
              </w:rPr>
              <w:t>and claims that the ADS can operate the vehicle within the ODD in accordance with the ADS requirements</w:t>
            </w:r>
            <w:r>
              <w:rPr>
                <w:color w:val="0070C0"/>
                <w:sz w:val="20"/>
                <w:szCs w:val="20"/>
              </w:rPr>
              <w:t xml:space="preserve">). </w:t>
            </w:r>
            <w:r w:rsidR="0056046C">
              <w:rPr>
                <w:color w:val="0070C0"/>
                <w:sz w:val="20"/>
                <w:szCs w:val="20"/>
              </w:rPr>
              <w:t>Scenario coverage of the ODD should be addressed under the assessment of the test environment(s). The scenarios need to be sufficient to determine whether the ADS is capable of performing the entire DDT and demonstrates behavioural competencies consistent with the DDT performance requirements.</w:t>
            </w:r>
          </w:p>
        </w:tc>
      </w:tr>
      <w:tr w:rsidR="009A3323" w:rsidRPr="009A3323" w14:paraId="2452F5FF" w14:textId="77777777" w:rsidTr="0056046C">
        <w:tc>
          <w:tcPr>
            <w:tcW w:w="4316" w:type="dxa"/>
            <w:shd w:val="clear" w:color="auto" w:fill="D9F2D0" w:themeFill="accent6" w:themeFillTint="33"/>
          </w:tcPr>
          <w:p w14:paraId="19F29AAC" w14:textId="6A31B5F3" w:rsidR="009A3323" w:rsidRPr="009A3323" w:rsidRDefault="009A3323" w:rsidP="00996BBF">
            <w:pPr>
              <w:ind w:left="1008" w:hanging="1008"/>
              <w:rPr>
                <w:sz w:val="20"/>
                <w:szCs w:val="20"/>
              </w:rPr>
            </w:pPr>
            <w:r w:rsidRPr="009A3323">
              <w:rPr>
                <w:sz w:val="20"/>
                <w:szCs w:val="20"/>
              </w:rPr>
              <w:t>5.1.2.</w:t>
            </w:r>
            <w:r w:rsidRPr="009A3323">
              <w:rPr>
                <w:sz w:val="20"/>
                <w:szCs w:val="20"/>
              </w:rPr>
              <w:tab/>
              <w:t>ADS Performance of the DDT under Nominal Traffic Scenarios</w:t>
            </w:r>
          </w:p>
        </w:tc>
        <w:tc>
          <w:tcPr>
            <w:tcW w:w="4317" w:type="dxa"/>
          </w:tcPr>
          <w:p w14:paraId="0B246F69" w14:textId="77777777" w:rsidR="009A3323" w:rsidRPr="009A3323" w:rsidRDefault="009A3323" w:rsidP="00996BBF">
            <w:pPr>
              <w:ind w:left="1008" w:hanging="1008"/>
              <w:rPr>
                <w:sz w:val="20"/>
                <w:szCs w:val="20"/>
              </w:rPr>
            </w:pPr>
          </w:p>
        </w:tc>
        <w:tc>
          <w:tcPr>
            <w:tcW w:w="4317" w:type="dxa"/>
          </w:tcPr>
          <w:p w14:paraId="0FD2C818" w14:textId="77777777" w:rsidR="009A3323" w:rsidRPr="009A3323" w:rsidRDefault="009A3323">
            <w:pPr>
              <w:rPr>
                <w:sz w:val="20"/>
                <w:szCs w:val="20"/>
              </w:rPr>
            </w:pPr>
          </w:p>
        </w:tc>
      </w:tr>
      <w:tr w:rsidR="009A3323" w:rsidRPr="009A3323" w14:paraId="373A4871" w14:textId="77777777" w:rsidTr="009A3323">
        <w:tc>
          <w:tcPr>
            <w:tcW w:w="4316" w:type="dxa"/>
            <w:shd w:val="clear" w:color="auto" w:fill="FAE2D5" w:themeFill="accent2" w:themeFillTint="33"/>
          </w:tcPr>
          <w:p w14:paraId="117D5A5A" w14:textId="32CA167D" w:rsidR="009A3323" w:rsidRPr="009A3323" w:rsidRDefault="009A3323" w:rsidP="00996BBF">
            <w:pPr>
              <w:ind w:left="1008" w:hanging="1008"/>
              <w:rPr>
                <w:sz w:val="20"/>
                <w:szCs w:val="20"/>
              </w:rPr>
            </w:pPr>
            <w:r w:rsidRPr="009A3323">
              <w:rPr>
                <w:sz w:val="20"/>
                <w:szCs w:val="20"/>
              </w:rPr>
              <w:t>5.1.2.1.</w:t>
            </w:r>
            <w:r w:rsidRPr="009A3323">
              <w:rPr>
                <w:sz w:val="20"/>
                <w:szCs w:val="20"/>
              </w:rPr>
              <w:tab/>
              <w:t>The driving behaviour of the ADS shall not cause a collision.</w:t>
            </w:r>
          </w:p>
        </w:tc>
        <w:tc>
          <w:tcPr>
            <w:tcW w:w="4317" w:type="dxa"/>
          </w:tcPr>
          <w:p w14:paraId="10FFEC70" w14:textId="77777777" w:rsidR="009A3323" w:rsidRPr="009A3323" w:rsidRDefault="009A3323" w:rsidP="00996BBF">
            <w:pPr>
              <w:ind w:left="1008" w:hanging="1008"/>
              <w:rPr>
                <w:sz w:val="20"/>
                <w:szCs w:val="20"/>
              </w:rPr>
            </w:pPr>
          </w:p>
        </w:tc>
        <w:tc>
          <w:tcPr>
            <w:tcW w:w="4317" w:type="dxa"/>
          </w:tcPr>
          <w:p w14:paraId="451E51F0" w14:textId="403F0F85" w:rsidR="009A3323" w:rsidRPr="009A3323" w:rsidRDefault="00646A6B">
            <w:pPr>
              <w:rPr>
                <w:sz w:val="20"/>
                <w:szCs w:val="20"/>
              </w:rPr>
            </w:pPr>
            <w:r w:rsidRPr="00646A6B">
              <w:rPr>
                <w:sz w:val="20"/>
                <w:szCs w:val="20"/>
              </w:rPr>
              <w:t>Agreement to keep text with the addition of a footnote.</w:t>
            </w:r>
            <w:r>
              <w:rPr>
                <w:sz w:val="20"/>
                <w:szCs w:val="20"/>
              </w:rPr>
              <w:t xml:space="preserve"> </w:t>
            </w:r>
            <w:r w:rsidRPr="00646A6B">
              <w:rPr>
                <w:sz w:val="20"/>
                <w:szCs w:val="20"/>
              </w:rPr>
              <w:t xml:space="preserve">OPI suggestion Footnote: "It is </w:t>
            </w:r>
            <w:r w:rsidRPr="00646A6B">
              <w:rPr>
                <w:sz w:val="20"/>
                <w:szCs w:val="20"/>
              </w:rPr>
              <w:lastRenderedPageBreak/>
              <w:t>acknowledged that establishing causation can be complex, and not always possible. However, where it is established that the behaviour of an ADS caused a collision, this is a non-compliance with this requirement."</w:t>
            </w:r>
          </w:p>
        </w:tc>
      </w:tr>
      <w:tr w:rsidR="009A3323" w:rsidRPr="009A3323" w14:paraId="24B3A758" w14:textId="77777777" w:rsidTr="009A3323">
        <w:tc>
          <w:tcPr>
            <w:tcW w:w="4316" w:type="dxa"/>
            <w:shd w:val="clear" w:color="auto" w:fill="D9F2D0" w:themeFill="accent6" w:themeFillTint="33"/>
          </w:tcPr>
          <w:p w14:paraId="6DA7C93B" w14:textId="05314973" w:rsidR="009A3323" w:rsidRPr="009A3323" w:rsidRDefault="009A3323" w:rsidP="00996BBF">
            <w:pPr>
              <w:ind w:left="1008" w:hanging="1008"/>
              <w:rPr>
                <w:sz w:val="20"/>
                <w:szCs w:val="20"/>
              </w:rPr>
            </w:pPr>
            <w:r w:rsidRPr="009A3323">
              <w:rPr>
                <w:sz w:val="20"/>
                <w:szCs w:val="20"/>
              </w:rPr>
              <w:lastRenderedPageBreak/>
              <w:t>5.1.2.2.</w:t>
            </w:r>
            <w:r w:rsidRPr="009A3323">
              <w:rPr>
                <w:sz w:val="20"/>
                <w:szCs w:val="20"/>
              </w:rPr>
              <w:tab/>
              <w:t>The ADS shall adapt its speed in line with safety risks.</w:t>
            </w:r>
          </w:p>
        </w:tc>
        <w:tc>
          <w:tcPr>
            <w:tcW w:w="4317" w:type="dxa"/>
          </w:tcPr>
          <w:p w14:paraId="58DFCC73" w14:textId="77777777" w:rsidR="009A3323" w:rsidRPr="009A3323" w:rsidRDefault="009A3323" w:rsidP="00996BBF">
            <w:pPr>
              <w:ind w:left="1008" w:hanging="1008"/>
              <w:rPr>
                <w:sz w:val="20"/>
                <w:szCs w:val="20"/>
              </w:rPr>
            </w:pPr>
          </w:p>
        </w:tc>
        <w:tc>
          <w:tcPr>
            <w:tcW w:w="4317" w:type="dxa"/>
          </w:tcPr>
          <w:p w14:paraId="1CB346E6" w14:textId="77777777" w:rsidR="009A3323" w:rsidRPr="009A3323" w:rsidRDefault="009A3323">
            <w:pPr>
              <w:rPr>
                <w:sz w:val="20"/>
                <w:szCs w:val="20"/>
              </w:rPr>
            </w:pPr>
          </w:p>
        </w:tc>
      </w:tr>
      <w:tr w:rsidR="009A3323" w:rsidRPr="009A3323" w14:paraId="41000F61" w14:textId="77777777" w:rsidTr="009A3323">
        <w:tc>
          <w:tcPr>
            <w:tcW w:w="4316" w:type="dxa"/>
            <w:shd w:val="clear" w:color="auto" w:fill="D9F2D0" w:themeFill="accent6" w:themeFillTint="33"/>
          </w:tcPr>
          <w:p w14:paraId="40E4DAA4" w14:textId="3CE8C1D5" w:rsidR="009A3323" w:rsidRPr="009A3323" w:rsidRDefault="009A3323" w:rsidP="00996BBF">
            <w:pPr>
              <w:ind w:left="1008" w:hanging="1008"/>
              <w:rPr>
                <w:sz w:val="20"/>
                <w:szCs w:val="20"/>
              </w:rPr>
            </w:pPr>
            <w:r w:rsidRPr="009A3323">
              <w:rPr>
                <w:sz w:val="20"/>
                <w:szCs w:val="20"/>
              </w:rPr>
              <w:t>5.1.2.3.</w:t>
            </w:r>
            <w:r w:rsidRPr="009A3323">
              <w:rPr>
                <w:sz w:val="20"/>
                <w:szCs w:val="20"/>
              </w:rPr>
              <w:tab/>
              <w:t>The ADS shall maintain appropriate distances from other road users by controlling the longitudinal and lateral motion of the vehicle.</w:t>
            </w:r>
          </w:p>
        </w:tc>
        <w:tc>
          <w:tcPr>
            <w:tcW w:w="4317" w:type="dxa"/>
          </w:tcPr>
          <w:p w14:paraId="26A48EA3" w14:textId="77777777" w:rsidR="009A3323" w:rsidRPr="009A3323" w:rsidRDefault="009A3323" w:rsidP="00996BBF">
            <w:pPr>
              <w:ind w:left="1008" w:hanging="1008"/>
              <w:rPr>
                <w:sz w:val="20"/>
                <w:szCs w:val="20"/>
              </w:rPr>
            </w:pPr>
          </w:p>
        </w:tc>
        <w:tc>
          <w:tcPr>
            <w:tcW w:w="4317" w:type="dxa"/>
          </w:tcPr>
          <w:p w14:paraId="1200BA84" w14:textId="77777777" w:rsidR="009A3323" w:rsidRPr="009A3323" w:rsidRDefault="009A3323">
            <w:pPr>
              <w:rPr>
                <w:sz w:val="20"/>
                <w:szCs w:val="20"/>
              </w:rPr>
            </w:pPr>
          </w:p>
        </w:tc>
      </w:tr>
      <w:tr w:rsidR="009A3323" w:rsidRPr="009A3323" w14:paraId="75EA0565" w14:textId="77777777" w:rsidTr="009A3323">
        <w:tc>
          <w:tcPr>
            <w:tcW w:w="4316" w:type="dxa"/>
            <w:shd w:val="clear" w:color="auto" w:fill="D9F2D0" w:themeFill="accent6" w:themeFillTint="33"/>
          </w:tcPr>
          <w:p w14:paraId="0C460BDE" w14:textId="54A08843" w:rsidR="009A3323" w:rsidRPr="009A3323" w:rsidRDefault="009A3323" w:rsidP="00996BBF">
            <w:pPr>
              <w:ind w:left="1008" w:hanging="1008"/>
              <w:rPr>
                <w:sz w:val="20"/>
                <w:szCs w:val="20"/>
              </w:rPr>
            </w:pPr>
            <w:r w:rsidRPr="009A3323">
              <w:rPr>
                <w:sz w:val="20"/>
                <w:szCs w:val="20"/>
              </w:rPr>
              <w:t>5.1.2.4.</w:t>
            </w:r>
            <w:r w:rsidRPr="009A3323">
              <w:rPr>
                <w:sz w:val="20"/>
                <w:szCs w:val="20"/>
              </w:rPr>
              <w:tab/>
              <w:t>The ADS shall avoid unreasonable disruption to the flow of traffic in line with safety risks.</w:t>
            </w:r>
          </w:p>
        </w:tc>
        <w:tc>
          <w:tcPr>
            <w:tcW w:w="4317" w:type="dxa"/>
          </w:tcPr>
          <w:p w14:paraId="7641ED4E" w14:textId="77777777" w:rsidR="009A3323" w:rsidRPr="009A3323" w:rsidRDefault="009A3323" w:rsidP="00996BBF">
            <w:pPr>
              <w:ind w:left="1008" w:hanging="1008"/>
              <w:rPr>
                <w:sz w:val="20"/>
                <w:szCs w:val="20"/>
              </w:rPr>
            </w:pPr>
          </w:p>
        </w:tc>
        <w:tc>
          <w:tcPr>
            <w:tcW w:w="4317" w:type="dxa"/>
          </w:tcPr>
          <w:p w14:paraId="5A39C93D" w14:textId="77777777" w:rsidR="009A3323" w:rsidRPr="009A3323" w:rsidRDefault="009A3323">
            <w:pPr>
              <w:rPr>
                <w:sz w:val="20"/>
                <w:szCs w:val="20"/>
              </w:rPr>
            </w:pPr>
          </w:p>
        </w:tc>
      </w:tr>
      <w:tr w:rsidR="009A3323" w:rsidRPr="009A3323" w14:paraId="7E5894BD" w14:textId="77777777" w:rsidTr="009A3323">
        <w:tc>
          <w:tcPr>
            <w:tcW w:w="4316" w:type="dxa"/>
            <w:shd w:val="clear" w:color="auto" w:fill="D9F2D0" w:themeFill="accent6" w:themeFillTint="33"/>
          </w:tcPr>
          <w:p w14:paraId="177ED819" w14:textId="758BD38F" w:rsidR="009A3323" w:rsidRPr="009A3323" w:rsidRDefault="009A3323" w:rsidP="00996BBF">
            <w:pPr>
              <w:ind w:left="1008" w:hanging="1008"/>
              <w:rPr>
                <w:sz w:val="20"/>
                <w:szCs w:val="20"/>
              </w:rPr>
            </w:pPr>
            <w:r w:rsidRPr="009A3323">
              <w:rPr>
                <w:sz w:val="20"/>
                <w:szCs w:val="20"/>
              </w:rPr>
              <w:t>5.1.2.5.</w:t>
            </w:r>
            <w:r w:rsidRPr="009A3323">
              <w:rPr>
                <w:sz w:val="20"/>
                <w:szCs w:val="20"/>
              </w:rPr>
              <w:tab/>
              <w:t>The ADS shall adapt its driving behaviour in line with safety risks.</w:t>
            </w:r>
          </w:p>
        </w:tc>
        <w:tc>
          <w:tcPr>
            <w:tcW w:w="4317" w:type="dxa"/>
          </w:tcPr>
          <w:p w14:paraId="7834F3D9" w14:textId="77777777" w:rsidR="009A3323" w:rsidRPr="009A3323" w:rsidRDefault="009A3323" w:rsidP="00996BBF">
            <w:pPr>
              <w:ind w:left="1008" w:hanging="1008"/>
              <w:rPr>
                <w:sz w:val="20"/>
                <w:szCs w:val="20"/>
              </w:rPr>
            </w:pPr>
          </w:p>
        </w:tc>
        <w:tc>
          <w:tcPr>
            <w:tcW w:w="4317" w:type="dxa"/>
          </w:tcPr>
          <w:p w14:paraId="227BB196" w14:textId="77777777" w:rsidR="009A3323" w:rsidRPr="009A3323" w:rsidRDefault="009A3323">
            <w:pPr>
              <w:rPr>
                <w:sz w:val="20"/>
                <w:szCs w:val="20"/>
              </w:rPr>
            </w:pPr>
          </w:p>
        </w:tc>
      </w:tr>
      <w:tr w:rsidR="009A3323" w:rsidRPr="009A3323" w14:paraId="332EFFDE" w14:textId="77777777" w:rsidTr="009A3323">
        <w:tc>
          <w:tcPr>
            <w:tcW w:w="4316" w:type="dxa"/>
            <w:shd w:val="clear" w:color="auto" w:fill="DAE9F7" w:themeFill="text2" w:themeFillTint="1A"/>
          </w:tcPr>
          <w:p w14:paraId="70988C34" w14:textId="6381B29F" w:rsidR="009A3323" w:rsidRPr="009A3323" w:rsidRDefault="009A3323" w:rsidP="00996BBF">
            <w:pPr>
              <w:ind w:left="1008" w:hanging="1008"/>
              <w:rPr>
                <w:sz w:val="20"/>
                <w:szCs w:val="20"/>
              </w:rPr>
            </w:pPr>
            <w:r w:rsidRPr="009A3323">
              <w:rPr>
                <w:sz w:val="20"/>
                <w:szCs w:val="20"/>
              </w:rPr>
              <w:t>5.1.2.5.1.</w:t>
            </w:r>
            <w:r w:rsidRPr="009A3323">
              <w:rPr>
                <w:sz w:val="20"/>
                <w:szCs w:val="20"/>
              </w:rPr>
              <w:tab/>
              <w:t>The ADS shall demonstrate anticipatory behaviour to reduce the risk of encountering a critical scenario.</w:t>
            </w:r>
          </w:p>
        </w:tc>
        <w:tc>
          <w:tcPr>
            <w:tcW w:w="4317" w:type="dxa"/>
          </w:tcPr>
          <w:p w14:paraId="27478959" w14:textId="77777777" w:rsidR="009A3323" w:rsidRPr="009A3323" w:rsidRDefault="009A3323" w:rsidP="00996BBF">
            <w:pPr>
              <w:ind w:left="1008" w:hanging="1008"/>
              <w:rPr>
                <w:sz w:val="20"/>
                <w:szCs w:val="20"/>
              </w:rPr>
            </w:pPr>
          </w:p>
        </w:tc>
        <w:tc>
          <w:tcPr>
            <w:tcW w:w="4317" w:type="dxa"/>
          </w:tcPr>
          <w:p w14:paraId="7E6CE8E1" w14:textId="0ED786B9" w:rsidR="009A3323" w:rsidRPr="00176A88" w:rsidRDefault="00176A88">
            <w:pPr>
              <w:rPr>
                <w:color w:val="0070C0"/>
                <w:sz w:val="20"/>
                <w:szCs w:val="20"/>
              </w:rPr>
            </w:pPr>
            <w:r>
              <w:rPr>
                <w:color w:val="0070C0"/>
                <w:sz w:val="20"/>
                <w:szCs w:val="20"/>
              </w:rPr>
              <w:t>Principle accepted but wording awkward and unclear on performance threshold.</w:t>
            </w:r>
          </w:p>
        </w:tc>
      </w:tr>
      <w:tr w:rsidR="009A3323" w:rsidRPr="009A3323" w14:paraId="3879927A" w14:textId="77777777" w:rsidTr="00176A88">
        <w:tc>
          <w:tcPr>
            <w:tcW w:w="4316" w:type="dxa"/>
            <w:shd w:val="clear" w:color="auto" w:fill="D9F2D0" w:themeFill="accent6" w:themeFillTint="33"/>
          </w:tcPr>
          <w:p w14:paraId="444839BB" w14:textId="04CAD576" w:rsidR="009A3323" w:rsidRPr="009A3323" w:rsidRDefault="00176A88" w:rsidP="00996BBF">
            <w:pPr>
              <w:ind w:left="1008" w:hanging="1008"/>
              <w:rPr>
                <w:sz w:val="20"/>
                <w:szCs w:val="20"/>
              </w:rPr>
            </w:pPr>
            <w:r w:rsidRPr="00176A88">
              <w:rPr>
                <w:sz w:val="20"/>
                <w:szCs w:val="20"/>
              </w:rPr>
              <w:t>5.1.2.6.</w:t>
            </w:r>
            <w:r w:rsidRPr="00176A88">
              <w:rPr>
                <w:sz w:val="20"/>
                <w:szCs w:val="20"/>
              </w:rPr>
              <w:tab/>
              <w:t>The ADS shall detect and respond to objects and events relevant to its performance of the DDT.</w:t>
            </w:r>
          </w:p>
        </w:tc>
        <w:tc>
          <w:tcPr>
            <w:tcW w:w="4317" w:type="dxa"/>
          </w:tcPr>
          <w:p w14:paraId="21DB960C" w14:textId="77777777" w:rsidR="009A3323" w:rsidRPr="009A3323" w:rsidRDefault="009A3323" w:rsidP="00996BBF">
            <w:pPr>
              <w:ind w:left="1008" w:hanging="1008"/>
              <w:rPr>
                <w:sz w:val="20"/>
                <w:szCs w:val="20"/>
              </w:rPr>
            </w:pPr>
          </w:p>
        </w:tc>
        <w:tc>
          <w:tcPr>
            <w:tcW w:w="4317" w:type="dxa"/>
          </w:tcPr>
          <w:p w14:paraId="00181F68" w14:textId="62B0A65A" w:rsidR="009A3323" w:rsidRPr="009A3323" w:rsidRDefault="009A3323">
            <w:pPr>
              <w:rPr>
                <w:sz w:val="20"/>
                <w:szCs w:val="20"/>
              </w:rPr>
            </w:pPr>
          </w:p>
        </w:tc>
      </w:tr>
      <w:tr w:rsidR="00176A88" w:rsidRPr="009A3323" w14:paraId="4D6A5E59" w14:textId="77777777" w:rsidTr="00646A6B">
        <w:tc>
          <w:tcPr>
            <w:tcW w:w="4316" w:type="dxa"/>
            <w:shd w:val="clear" w:color="auto" w:fill="FAE2D5" w:themeFill="accent2" w:themeFillTint="33"/>
          </w:tcPr>
          <w:p w14:paraId="149AA604" w14:textId="7AA13C50" w:rsidR="00176A88" w:rsidRPr="00176A88" w:rsidRDefault="00176A88" w:rsidP="00996BBF">
            <w:pPr>
              <w:ind w:left="1008" w:hanging="1008"/>
              <w:rPr>
                <w:sz w:val="20"/>
                <w:szCs w:val="20"/>
              </w:rPr>
            </w:pPr>
            <w:r w:rsidRPr="00176A88">
              <w:rPr>
                <w:sz w:val="20"/>
                <w:szCs w:val="20"/>
              </w:rPr>
              <w:t>5.1.2.7.</w:t>
            </w:r>
            <w:r w:rsidRPr="00176A88">
              <w:rPr>
                <w:sz w:val="20"/>
                <w:szCs w:val="20"/>
              </w:rPr>
              <w:tab/>
              <w:t>The ADS shall detect and respond to priority vehicles in accordance with the applicable traffic law(s).</w:t>
            </w:r>
          </w:p>
        </w:tc>
        <w:tc>
          <w:tcPr>
            <w:tcW w:w="4317" w:type="dxa"/>
          </w:tcPr>
          <w:p w14:paraId="58EDC39E" w14:textId="77777777" w:rsidR="00646A6B" w:rsidRPr="00646A6B" w:rsidRDefault="00646A6B" w:rsidP="00646A6B">
            <w:pPr>
              <w:ind w:left="1008" w:hanging="1008"/>
              <w:rPr>
                <w:sz w:val="20"/>
                <w:szCs w:val="20"/>
              </w:rPr>
            </w:pPr>
            <w:r w:rsidRPr="00646A6B">
              <w:rPr>
                <w:sz w:val="20"/>
                <w:szCs w:val="20"/>
              </w:rPr>
              <w:t>China proposal</w:t>
            </w:r>
          </w:p>
          <w:p w14:paraId="3476662E" w14:textId="77777777" w:rsidR="00646A6B" w:rsidRPr="00646A6B" w:rsidRDefault="00646A6B" w:rsidP="00646A6B">
            <w:pPr>
              <w:ind w:left="1008" w:hanging="1008"/>
              <w:rPr>
                <w:sz w:val="20"/>
                <w:szCs w:val="20"/>
              </w:rPr>
            </w:pPr>
            <w:r w:rsidRPr="00646A6B">
              <w:rPr>
                <w:sz w:val="20"/>
                <w:szCs w:val="20"/>
              </w:rPr>
              <w:t>The ADS shall detect and respond to priority vehicles in accordance with the applicable traffic law(s).</w:t>
            </w:r>
          </w:p>
          <w:p w14:paraId="0BDFB48F" w14:textId="3D3ACE20" w:rsidR="00176A88" w:rsidRPr="009A3323" w:rsidRDefault="00646A6B" w:rsidP="00646A6B">
            <w:pPr>
              <w:ind w:left="1008" w:hanging="1008"/>
              <w:rPr>
                <w:sz w:val="20"/>
                <w:szCs w:val="20"/>
              </w:rPr>
            </w:pPr>
            <w:r w:rsidRPr="00646A6B">
              <w:rPr>
                <w:sz w:val="20"/>
                <w:szCs w:val="20"/>
              </w:rPr>
              <w:t>Notwithstanding the paragraph above, a system-initiated deactivation of the ADS may be initiated for ADSF-1.</w:t>
            </w:r>
          </w:p>
        </w:tc>
        <w:tc>
          <w:tcPr>
            <w:tcW w:w="4317" w:type="dxa"/>
          </w:tcPr>
          <w:p w14:paraId="25A0028C" w14:textId="77777777" w:rsidR="00646A6B" w:rsidRPr="00646A6B" w:rsidRDefault="00646A6B" w:rsidP="00646A6B">
            <w:pPr>
              <w:rPr>
                <w:sz w:val="20"/>
                <w:szCs w:val="20"/>
              </w:rPr>
            </w:pPr>
            <w:r w:rsidRPr="00646A6B">
              <w:rPr>
                <w:sz w:val="20"/>
                <w:szCs w:val="20"/>
              </w:rPr>
              <w:t>China proposal</w:t>
            </w:r>
          </w:p>
          <w:p w14:paraId="068E7899" w14:textId="77777777" w:rsidR="00646A6B" w:rsidRPr="00646A6B" w:rsidRDefault="00646A6B" w:rsidP="00646A6B">
            <w:pPr>
              <w:rPr>
                <w:sz w:val="20"/>
                <w:szCs w:val="20"/>
              </w:rPr>
            </w:pPr>
            <w:r w:rsidRPr="00646A6B">
              <w:rPr>
                <w:sz w:val="20"/>
                <w:szCs w:val="20"/>
              </w:rPr>
              <w:t>Reason:</w:t>
            </w:r>
          </w:p>
          <w:p w14:paraId="22B540DA" w14:textId="77777777" w:rsidR="00646A6B" w:rsidRPr="00646A6B" w:rsidRDefault="00646A6B" w:rsidP="00646A6B">
            <w:pPr>
              <w:rPr>
                <w:sz w:val="20"/>
                <w:szCs w:val="20"/>
              </w:rPr>
            </w:pPr>
            <w:r w:rsidRPr="00646A6B">
              <w:rPr>
                <w:sz w:val="20"/>
                <w:szCs w:val="20"/>
              </w:rPr>
              <w:t>Considering the requirements in the UN R157, the approaching emergency vehicles/enforcement vehicles as an unplanned event, and the ALKS could initiate a transition demand in case of an unplanned event, so the technical logic specified in the UN R157 should be reflected in the new ADS regulation.</w:t>
            </w:r>
          </w:p>
          <w:p w14:paraId="201E81E8" w14:textId="1E85B8AC" w:rsidR="00176A88" w:rsidRPr="009A3323" w:rsidRDefault="00646A6B" w:rsidP="00646A6B">
            <w:pPr>
              <w:rPr>
                <w:sz w:val="20"/>
                <w:szCs w:val="20"/>
              </w:rPr>
            </w:pPr>
            <w:r w:rsidRPr="00646A6B">
              <w:rPr>
                <w:sz w:val="20"/>
                <w:szCs w:val="20"/>
              </w:rPr>
              <w:t xml:space="preserve">UN R157 2.5.: "Unplanned event" is a situation which is unknown in advance, but assumed as very likely in happening and which requires a transition demand. This may include: road construction, </w:t>
            </w:r>
            <w:r w:rsidRPr="00646A6B">
              <w:rPr>
                <w:sz w:val="20"/>
                <w:szCs w:val="20"/>
              </w:rPr>
              <w:lastRenderedPageBreak/>
              <w:t>inclement weather, approaching emergency vehicles/enforcement vehicles, missing lane markings, load falling from truck.</w:t>
            </w:r>
          </w:p>
        </w:tc>
      </w:tr>
      <w:tr w:rsidR="00176A88" w:rsidRPr="009A3323" w14:paraId="5FD89A6A" w14:textId="77777777" w:rsidTr="00176A88">
        <w:tc>
          <w:tcPr>
            <w:tcW w:w="4316" w:type="dxa"/>
            <w:shd w:val="clear" w:color="auto" w:fill="FAE2D5" w:themeFill="accent2" w:themeFillTint="33"/>
          </w:tcPr>
          <w:p w14:paraId="04E9BDBF" w14:textId="6FF4CC6A" w:rsidR="00176A88" w:rsidRPr="00176A88" w:rsidRDefault="00176A88" w:rsidP="00996BBF">
            <w:pPr>
              <w:ind w:left="1008" w:hanging="1008"/>
              <w:rPr>
                <w:sz w:val="20"/>
                <w:szCs w:val="20"/>
              </w:rPr>
            </w:pPr>
            <w:r w:rsidRPr="00176A88">
              <w:rPr>
                <w:sz w:val="20"/>
                <w:szCs w:val="20"/>
              </w:rPr>
              <w:lastRenderedPageBreak/>
              <w:t>5.1.2.8.</w:t>
            </w:r>
            <w:r w:rsidRPr="00176A88">
              <w:rPr>
                <w:sz w:val="20"/>
                <w:szCs w:val="20"/>
              </w:rPr>
              <w:tab/>
              <w:t>The ADS shall not force other road users to take evasive action to avoid a collision with the ADS vehicle.</w:t>
            </w:r>
          </w:p>
        </w:tc>
        <w:tc>
          <w:tcPr>
            <w:tcW w:w="4317" w:type="dxa"/>
          </w:tcPr>
          <w:p w14:paraId="16210AED" w14:textId="77777777" w:rsidR="00176A88" w:rsidRPr="009A3323" w:rsidRDefault="00176A88" w:rsidP="00996BBF">
            <w:pPr>
              <w:ind w:left="1008" w:hanging="1008"/>
              <w:rPr>
                <w:sz w:val="20"/>
                <w:szCs w:val="20"/>
              </w:rPr>
            </w:pPr>
          </w:p>
        </w:tc>
        <w:tc>
          <w:tcPr>
            <w:tcW w:w="4317" w:type="dxa"/>
          </w:tcPr>
          <w:p w14:paraId="053E33D4" w14:textId="77777777" w:rsidR="00176A88" w:rsidRDefault="00176A88">
            <w:pPr>
              <w:rPr>
                <w:color w:val="0070C0"/>
                <w:sz w:val="20"/>
                <w:szCs w:val="20"/>
              </w:rPr>
            </w:pPr>
            <w:r>
              <w:rPr>
                <w:color w:val="0070C0"/>
                <w:sz w:val="20"/>
                <w:szCs w:val="20"/>
              </w:rPr>
              <w:t>Sec: Does this relate to 5.1.2.4.? Wouldn’t the ADS behaviour covered here be covered by the disruption of traffic? Wouldn’t forcing a change in the nominal behaviour of another vehicle be considered “disruption of the flow of traffic”?</w:t>
            </w:r>
          </w:p>
          <w:p w14:paraId="27E8353A" w14:textId="77777777" w:rsidR="00646A6B" w:rsidRDefault="00646A6B">
            <w:pPr>
              <w:rPr>
                <w:color w:val="0070C0"/>
                <w:sz w:val="20"/>
                <w:szCs w:val="20"/>
              </w:rPr>
            </w:pPr>
          </w:p>
          <w:p w14:paraId="323F698B" w14:textId="77777777" w:rsidR="00646A6B" w:rsidRPr="00646A6B" w:rsidRDefault="00646A6B" w:rsidP="00646A6B">
            <w:pPr>
              <w:rPr>
                <w:sz w:val="20"/>
                <w:szCs w:val="20"/>
              </w:rPr>
            </w:pPr>
            <w:r w:rsidRPr="00646A6B">
              <w:rPr>
                <w:sz w:val="20"/>
                <w:szCs w:val="20"/>
              </w:rPr>
              <w:t>SAE: Remove requirement: This is not enforceable. Whether another road user was “forced” to take evasive action or took that action unnecessarily requires detailed analysis. Moreover, sometimes this could be the safer course, e.g., where a child runs in front of the ADS vehicle, which stops immediately, causing the trailing vehicle to serve to avoid rear-ending the ADS vehicle.</w:t>
            </w:r>
          </w:p>
          <w:p w14:paraId="45C0BC55" w14:textId="77777777" w:rsidR="00646A6B" w:rsidRPr="00646A6B" w:rsidRDefault="00646A6B" w:rsidP="00646A6B">
            <w:pPr>
              <w:rPr>
                <w:sz w:val="20"/>
                <w:szCs w:val="20"/>
              </w:rPr>
            </w:pPr>
          </w:p>
          <w:p w14:paraId="0E05E39F" w14:textId="77777777" w:rsidR="00646A6B" w:rsidRPr="00646A6B" w:rsidRDefault="00646A6B" w:rsidP="00646A6B">
            <w:pPr>
              <w:rPr>
                <w:sz w:val="20"/>
                <w:szCs w:val="20"/>
              </w:rPr>
            </w:pPr>
            <w:r w:rsidRPr="00646A6B">
              <w:rPr>
                <w:sz w:val="20"/>
                <w:szCs w:val="20"/>
              </w:rPr>
              <w:t>OPI: Note this is a nominal requirement and so not children will be running in front of the ADS.</w:t>
            </w:r>
          </w:p>
          <w:p w14:paraId="0CACE4F7" w14:textId="12F9FCF7" w:rsidR="00646A6B" w:rsidRPr="00646A6B" w:rsidRDefault="00646A6B" w:rsidP="00646A6B">
            <w:pPr>
              <w:rPr>
                <w:sz w:val="20"/>
                <w:szCs w:val="20"/>
              </w:rPr>
            </w:pPr>
            <w:r w:rsidRPr="00646A6B">
              <w:rPr>
                <w:sz w:val="20"/>
                <w:szCs w:val="20"/>
              </w:rPr>
              <w:t>Would defining evasive action or emergency manoeuvre help (5mps-2 ?) and perhaps using a similar footnote 5.1.2.1</w:t>
            </w:r>
          </w:p>
        </w:tc>
      </w:tr>
      <w:tr w:rsidR="00176A88" w:rsidRPr="009A3323" w14:paraId="10A56C51" w14:textId="77777777" w:rsidTr="00176A88">
        <w:tc>
          <w:tcPr>
            <w:tcW w:w="4316" w:type="dxa"/>
            <w:shd w:val="clear" w:color="auto" w:fill="D9F2D0" w:themeFill="accent6" w:themeFillTint="33"/>
          </w:tcPr>
          <w:p w14:paraId="48A93CF0" w14:textId="27CB7693" w:rsidR="00176A88" w:rsidRPr="00176A88" w:rsidRDefault="00176A88" w:rsidP="00996BBF">
            <w:pPr>
              <w:ind w:left="1008" w:hanging="1008"/>
              <w:rPr>
                <w:sz w:val="20"/>
                <w:szCs w:val="20"/>
              </w:rPr>
            </w:pPr>
            <w:r w:rsidRPr="00176A88">
              <w:rPr>
                <w:sz w:val="20"/>
                <w:szCs w:val="20"/>
              </w:rPr>
              <w:t>5.1.2.9.</w:t>
            </w:r>
            <w:r w:rsidRPr="00176A88">
              <w:rPr>
                <w:sz w:val="20"/>
                <w:szCs w:val="20"/>
              </w:rPr>
              <w:tab/>
              <w:t>The ADS shall comply with traffic rules in accordance with application of relevant law within the area of operation.</w:t>
            </w:r>
          </w:p>
        </w:tc>
        <w:tc>
          <w:tcPr>
            <w:tcW w:w="4317" w:type="dxa"/>
          </w:tcPr>
          <w:p w14:paraId="1F938C9F" w14:textId="77777777" w:rsidR="00176A88" w:rsidRPr="009A3323" w:rsidRDefault="00176A88" w:rsidP="00996BBF">
            <w:pPr>
              <w:ind w:left="1008" w:hanging="1008"/>
              <w:rPr>
                <w:sz w:val="20"/>
                <w:szCs w:val="20"/>
              </w:rPr>
            </w:pPr>
          </w:p>
        </w:tc>
        <w:tc>
          <w:tcPr>
            <w:tcW w:w="4317" w:type="dxa"/>
          </w:tcPr>
          <w:p w14:paraId="7A866389" w14:textId="77777777" w:rsidR="00176A88" w:rsidRPr="009A3323" w:rsidRDefault="00176A88">
            <w:pPr>
              <w:rPr>
                <w:sz w:val="20"/>
                <w:szCs w:val="20"/>
              </w:rPr>
            </w:pPr>
          </w:p>
        </w:tc>
      </w:tr>
      <w:tr w:rsidR="00176A88" w:rsidRPr="009A3323" w14:paraId="0780E4E8" w14:textId="77777777" w:rsidTr="00176A88">
        <w:tc>
          <w:tcPr>
            <w:tcW w:w="4316" w:type="dxa"/>
            <w:shd w:val="clear" w:color="auto" w:fill="D9F2D0" w:themeFill="accent6" w:themeFillTint="33"/>
          </w:tcPr>
          <w:p w14:paraId="5EE7E2A2" w14:textId="5B3AE9B6" w:rsidR="00176A88" w:rsidRPr="00176A88" w:rsidRDefault="00176A88" w:rsidP="00996BBF">
            <w:pPr>
              <w:ind w:left="1008" w:hanging="1008"/>
              <w:rPr>
                <w:sz w:val="20"/>
                <w:szCs w:val="20"/>
              </w:rPr>
            </w:pPr>
            <w:r w:rsidRPr="00176A88">
              <w:rPr>
                <w:sz w:val="20"/>
                <w:szCs w:val="20"/>
              </w:rPr>
              <w:t>5.1.2.10.</w:t>
            </w:r>
            <w:r w:rsidRPr="00176A88">
              <w:rPr>
                <w:sz w:val="20"/>
                <w:szCs w:val="20"/>
              </w:rPr>
              <w:tab/>
              <w:t>The ADS shall interact safely with other road users.</w:t>
            </w:r>
          </w:p>
        </w:tc>
        <w:tc>
          <w:tcPr>
            <w:tcW w:w="4317" w:type="dxa"/>
          </w:tcPr>
          <w:p w14:paraId="00EE4B1B" w14:textId="77777777" w:rsidR="00176A88" w:rsidRPr="009A3323" w:rsidRDefault="00176A88" w:rsidP="00996BBF">
            <w:pPr>
              <w:ind w:left="1008" w:hanging="1008"/>
              <w:rPr>
                <w:sz w:val="20"/>
                <w:szCs w:val="20"/>
              </w:rPr>
            </w:pPr>
          </w:p>
        </w:tc>
        <w:tc>
          <w:tcPr>
            <w:tcW w:w="4317" w:type="dxa"/>
          </w:tcPr>
          <w:p w14:paraId="50C3EDA6" w14:textId="2F6B450B" w:rsidR="00176A88" w:rsidRPr="009A3323" w:rsidRDefault="00176A88">
            <w:pPr>
              <w:rPr>
                <w:sz w:val="20"/>
                <w:szCs w:val="20"/>
              </w:rPr>
            </w:pPr>
            <w:r w:rsidRPr="00176A88">
              <w:rPr>
                <w:color w:val="0070C0"/>
                <w:sz w:val="20"/>
                <w:szCs w:val="20"/>
              </w:rPr>
              <w:t>Sec: Does this provision overlap with 5.1.2.1., 5.1.2.4., 5.1.2.8.? Might this provide a high level (4-digit) requirement that could be elaborated by sub elements (5-digit)?</w:t>
            </w:r>
          </w:p>
        </w:tc>
      </w:tr>
      <w:tr w:rsidR="00176A88" w:rsidRPr="009A3323" w14:paraId="4A0ED3CF" w14:textId="77777777" w:rsidTr="00176A88">
        <w:tc>
          <w:tcPr>
            <w:tcW w:w="4316" w:type="dxa"/>
            <w:shd w:val="clear" w:color="auto" w:fill="D9F2D0" w:themeFill="accent6" w:themeFillTint="33"/>
          </w:tcPr>
          <w:p w14:paraId="7D1FBC03" w14:textId="4EE388D3" w:rsidR="00176A88" w:rsidRPr="00176A88" w:rsidRDefault="00176A88" w:rsidP="00996BBF">
            <w:pPr>
              <w:ind w:left="1008" w:hanging="1008"/>
              <w:rPr>
                <w:sz w:val="20"/>
                <w:szCs w:val="20"/>
              </w:rPr>
            </w:pPr>
            <w:r w:rsidRPr="00176A88">
              <w:rPr>
                <w:sz w:val="20"/>
                <w:szCs w:val="20"/>
              </w:rPr>
              <w:t>5.1.2.11.</w:t>
            </w:r>
            <w:r w:rsidRPr="00176A88">
              <w:rPr>
                <w:sz w:val="20"/>
                <w:szCs w:val="20"/>
              </w:rPr>
              <w:tab/>
              <w:t>The ADS shall avoid collisions with safety-relevant objects.</w:t>
            </w:r>
          </w:p>
        </w:tc>
        <w:tc>
          <w:tcPr>
            <w:tcW w:w="4317" w:type="dxa"/>
          </w:tcPr>
          <w:p w14:paraId="457CAA9D" w14:textId="77777777" w:rsidR="00176A88" w:rsidRPr="009A3323" w:rsidRDefault="00176A88" w:rsidP="00996BBF">
            <w:pPr>
              <w:ind w:left="1008" w:hanging="1008"/>
              <w:rPr>
                <w:sz w:val="20"/>
                <w:szCs w:val="20"/>
              </w:rPr>
            </w:pPr>
          </w:p>
        </w:tc>
        <w:tc>
          <w:tcPr>
            <w:tcW w:w="4317" w:type="dxa"/>
          </w:tcPr>
          <w:p w14:paraId="61291C39" w14:textId="77777777" w:rsidR="00176A88" w:rsidRDefault="00C100BA">
            <w:pPr>
              <w:rPr>
                <w:color w:val="0070C0"/>
                <w:sz w:val="20"/>
                <w:szCs w:val="20"/>
              </w:rPr>
            </w:pPr>
            <w:r>
              <w:rPr>
                <w:color w:val="0070C0"/>
                <w:sz w:val="20"/>
                <w:szCs w:val="20"/>
              </w:rPr>
              <w:t>Sec: Do we need to define/clarify “safety-relevant objects”? Might this be covered by the ODD analysis to provide an objective inventory of safety-relevant objects existing within the ODD?</w:t>
            </w:r>
          </w:p>
          <w:p w14:paraId="2A1EA994" w14:textId="77777777" w:rsidR="00646A6B" w:rsidRDefault="00646A6B">
            <w:pPr>
              <w:rPr>
                <w:color w:val="0070C0"/>
                <w:sz w:val="20"/>
                <w:szCs w:val="20"/>
              </w:rPr>
            </w:pPr>
          </w:p>
          <w:p w14:paraId="5AAA15AF" w14:textId="6347632B" w:rsidR="00646A6B" w:rsidRPr="00646A6B" w:rsidRDefault="00646A6B">
            <w:pPr>
              <w:rPr>
                <w:sz w:val="20"/>
                <w:szCs w:val="20"/>
              </w:rPr>
            </w:pPr>
            <w:r w:rsidRPr="00646A6B">
              <w:rPr>
                <w:sz w:val="20"/>
                <w:szCs w:val="20"/>
              </w:rPr>
              <w:lastRenderedPageBreak/>
              <w:t>SAE: Are we going to define safety relevant object</w:t>
            </w:r>
            <w:r>
              <w:rPr>
                <w:sz w:val="20"/>
                <w:szCs w:val="20"/>
              </w:rPr>
              <w:t>?</w:t>
            </w:r>
          </w:p>
        </w:tc>
      </w:tr>
      <w:tr w:rsidR="00176A88" w:rsidRPr="009A3323" w14:paraId="16623093" w14:textId="77777777" w:rsidTr="0015676B">
        <w:tc>
          <w:tcPr>
            <w:tcW w:w="4316" w:type="dxa"/>
            <w:shd w:val="clear" w:color="auto" w:fill="D9F2D0" w:themeFill="accent6" w:themeFillTint="33"/>
          </w:tcPr>
          <w:p w14:paraId="33E74A45" w14:textId="664F2599" w:rsidR="00176A88" w:rsidRPr="00176A88" w:rsidRDefault="00C100BA" w:rsidP="00996BBF">
            <w:pPr>
              <w:ind w:left="1008" w:hanging="1008"/>
              <w:rPr>
                <w:sz w:val="20"/>
                <w:szCs w:val="20"/>
              </w:rPr>
            </w:pPr>
            <w:r w:rsidRPr="00C100BA">
              <w:rPr>
                <w:sz w:val="20"/>
                <w:szCs w:val="20"/>
              </w:rPr>
              <w:lastRenderedPageBreak/>
              <w:t>5.1.2.12.</w:t>
            </w:r>
            <w:r w:rsidRPr="00C100BA">
              <w:rPr>
                <w:sz w:val="20"/>
                <w:szCs w:val="20"/>
              </w:rPr>
              <w:tab/>
              <w:t>The ADS shall signal its operational status if required by applicable laws.</w:t>
            </w:r>
          </w:p>
        </w:tc>
        <w:tc>
          <w:tcPr>
            <w:tcW w:w="4317" w:type="dxa"/>
          </w:tcPr>
          <w:p w14:paraId="4B190425" w14:textId="77777777" w:rsidR="00176A88" w:rsidRPr="009A3323" w:rsidRDefault="00176A88" w:rsidP="00996BBF">
            <w:pPr>
              <w:ind w:left="1008" w:hanging="1008"/>
              <w:rPr>
                <w:sz w:val="20"/>
                <w:szCs w:val="20"/>
              </w:rPr>
            </w:pPr>
          </w:p>
        </w:tc>
        <w:tc>
          <w:tcPr>
            <w:tcW w:w="4317" w:type="dxa"/>
          </w:tcPr>
          <w:p w14:paraId="19C0D96F" w14:textId="77777777" w:rsidR="00176A88" w:rsidRPr="009A3323" w:rsidRDefault="00176A88">
            <w:pPr>
              <w:rPr>
                <w:sz w:val="20"/>
                <w:szCs w:val="20"/>
              </w:rPr>
            </w:pPr>
          </w:p>
        </w:tc>
      </w:tr>
      <w:tr w:rsidR="00176A88" w:rsidRPr="009A3323" w14:paraId="0498AECF" w14:textId="77777777" w:rsidTr="0015676B">
        <w:tc>
          <w:tcPr>
            <w:tcW w:w="4316" w:type="dxa"/>
            <w:shd w:val="clear" w:color="auto" w:fill="D9F2D0" w:themeFill="accent6" w:themeFillTint="33"/>
          </w:tcPr>
          <w:p w14:paraId="01740950" w14:textId="6DAFEE75" w:rsidR="00176A88" w:rsidRPr="00176A88" w:rsidRDefault="00C100BA" w:rsidP="00996BBF">
            <w:pPr>
              <w:ind w:left="1008" w:hanging="1008"/>
              <w:rPr>
                <w:sz w:val="20"/>
                <w:szCs w:val="20"/>
              </w:rPr>
            </w:pPr>
            <w:r w:rsidRPr="00C100BA">
              <w:rPr>
                <w:sz w:val="20"/>
                <w:szCs w:val="20"/>
              </w:rPr>
              <w:t>5.1.2.13.</w:t>
            </w:r>
            <w:r w:rsidRPr="00C100BA">
              <w:rPr>
                <w:sz w:val="20"/>
                <w:szCs w:val="20"/>
              </w:rPr>
              <w:tab/>
              <w:t>Pursuant to a passenger request under para. 5.2.4.1</w:t>
            </w:r>
            <w:r>
              <w:rPr>
                <w:sz w:val="20"/>
                <w:szCs w:val="20"/>
              </w:rPr>
              <w:t>.,</w:t>
            </w:r>
            <w:r w:rsidRPr="00C100BA">
              <w:rPr>
                <w:sz w:val="20"/>
                <w:szCs w:val="20"/>
              </w:rPr>
              <w:t xml:space="preserve"> the ADS shall bring the vehicle to a safe stop.</w:t>
            </w:r>
            <w:r>
              <w:rPr>
                <w:rStyle w:val="FootnoteReference"/>
                <w:sz w:val="20"/>
                <w:szCs w:val="20"/>
              </w:rPr>
              <w:footnoteReference w:id="1"/>
            </w:r>
          </w:p>
        </w:tc>
        <w:tc>
          <w:tcPr>
            <w:tcW w:w="4317" w:type="dxa"/>
          </w:tcPr>
          <w:p w14:paraId="5B95E2F4" w14:textId="77777777" w:rsidR="00176A88" w:rsidRPr="009A3323" w:rsidRDefault="00176A88" w:rsidP="00996BBF">
            <w:pPr>
              <w:ind w:left="1008" w:hanging="1008"/>
              <w:rPr>
                <w:sz w:val="20"/>
                <w:szCs w:val="20"/>
              </w:rPr>
            </w:pPr>
          </w:p>
        </w:tc>
        <w:tc>
          <w:tcPr>
            <w:tcW w:w="4317" w:type="dxa"/>
          </w:tcPr>
          <w:p w14:paraId="2030A0E2" w14:textId="77777777" w:rsidR="00176A88" w:rsidRPr="009A3323" w:rsidRDefault="00176A88">
            <w:pPr>
              <w:rPr>
                <w:sz w:val="20"/>
                <w:szCs w:val="20"/>
              </w:rPr>
            </w:pPr>
          </w:p>
        </w:tc>
      </w:tr>
      <w:tr w:rsidR="00C100BA" w:rsidRPr="009A3323" w14:paraId="15A10C93" w14:textId="77777777" w:rsidTr="0015676B">
        <w:tc>
          <w:tcPr>
            <w:tcW w:w="4316" w:type="dxa"/>
            <w:shd w:val="clear" w:color="auto" w:fill="D9F2D0" w:themeFill="accent6" w:themeFillTint="33"/>
          </w:tcPr>
          <w:p w14:paraId="44BA17B2" w14:textId="18BE44BE" w:rsidR="00C100BA" w:rsidRPr="00176A88" w:rsidRDefault="0015676B" w:rsidP="00996BBF">
            <w:pPr>
              <w:ind w:left="1008" w:hanging="1008"/>
              <w:rPr>
                <w:sz w:val="20"/>
                <w:szCs w:val="20"/>
              </w:rPr>
            </w:pPr>
            <w:r w:rsidRPr="0015676B">
              <w:rPr>
                <w:sz w:val="20"/>
                <w:szCs w:val="20"/>
              </w:rPr>
              <w:t>5.1.2.14.</w:t>
            </w:r>
            <w:r w:rsidRPr="0015676B">
              <w:rPr>
                <w:sz w:val="20"/>
                <w:szCs w:val="20"/>
              </w:rPr>
              <w:tab/>
              <w:t>The ADS shall have strategies in place to appropriately detect and respond to instructions from road safety agents.</w:t>
            </w:r>
          </w:p>
        </w:tc>
        <w:tc>
          <w:tcPr>
            <w:tcW w:w="4317" w:type="dxa"/>
          </w:tcPr>
          <w:p w14:paraId="322BD225" w14:textId="77777777" w:rsidR="00C100BA" w:rsidRPr="009A3323" w:rsidRDefault="00C100BA" w:rsidP="00996BBF">
            <w:pPr>
              <w:ind w:left="1008" w:hanging="1008"/>
              <w:rPr>
                <w:sz w:val="20"/>
                <w:szCs w:val="20"/>
              </w:rPr>
            </w:pPr>
          </w:p>
        </w:tc>
        <w:tc>
          <w:tcPr>
            <w:tcW w:w="4317" w:type="dxa"/>
          </w:tcPr>
          <w:p w14:paraId="56299E0C" w14:textId="4816C49A" w:rsidR="00C100BA" w:rsidRPr="0015676B" w:rsidRDefault="0015676B">
            <w:pPr>
              <w:rPr>
                <w:color w:val="0070C0"/>
                <w:sz w:val="20"/>
                <w:szCs w:val="20"/>
              </w:rPr>
            </w:pPr>
            <w:r>
              <w:rPr>
                <w:color w:val="0070C0"/>
                <w:sz w:val="20"/>
                <w:szCs w:val="20"/>
              </w:rPr>
              <w:t>“appropriately” needs objective criteria.</w:t>
            </w:r>
          </w:p>
        </w:tc>
      </w:tr>
      <w:tr w:rsidR="0015676B" w:rsidRPr="009A3323" w14:paraId="409809DA" w14:textId="77777777" w:rsidTr="00142370">
        <w:tc>
          <w:tcPr>
            <w:tcW w:w="4316" w:type="dxa"/>
            <w:shd w:val="clear" w:color="auto" w:fill="D9F2D0" w:themeFill="accent6" w:themeFillTint="33"/>
          </w:tcPr>
          <w:p w14:paraId="280B0777" w14:textId="00330135" w:rsidR="0015676B" w:rsidRPr="00176A88" w:rsidRDefault="0015676B" w:rsidP="00996BBF">
            <w:pPr>
              <w:ind w:left="1008" w:hanging="1008"/>
              <w:rPr>
                <w:sz w:val="20"/>
                <w:szCs w:val="20"/>
              </w:rPr>
            </w:pPr>
            <w:r w:rsidRPr="0015676B">
              <w:rPr>
                <w:sz w:val="20"/>
                <w:szCs w:val="20"/>
              </w:rPr>
              <w:t>5.1.3.</w:t>
            </w:r>
            <w:r w:rsidRPr="0015676B">
              <w:rPr>
                <w:sz w:val="20"/>
                <w:szCs w:val="20"/>
              </w:rPr>
              <w:tab/>
              <w:t>ADS Performance of the DDT under Critical Traffic Scenarios</w:t>
            </w:r>
          </w:p>
        </w:tc>
        <w:tc>
          <w:tcPr>
            <w:tcW w:w="4317" w:type="dxa"/>
          </w:tcPr>
          <w:p w14:paraId="4A2A20D2" w14:textId="77777777" w:rsidR="0015676B" w:rsidRPr="009A3323" w:rsidRDefault="0015676B" w:rsidP="00996BBF">
            <w:pPr>
              <w:ind w:left="1008" w:hanging="1008"/>
              <w:rPr>
                <w:sz w:val="20"/>
                <w:szCs w:val="20"/>
              </w:rPr>
            </w:pPr>
          </w:p>
        </w:tc>
        <w:tc>
          <w:tcPr>
            <w:tcW w:w="4317" w:type="dxa"/>
          </w:tcPr>
          <w:p w14:paraId="4D39E1CB" w14:textId="77777777" w:rsidR="0015676B" w:rsidRPr="009A3323" w:rsidRDefault="0015676B">
            <w:pPr>
              <w:rPr>
                <w:sz w:val="20"/>
                <w:szCs w:val="20"/>
              </w:rPr>
            </w:pPr>
          </w:p>
        </w:tc>
      </w:tr>
      <w:tr w:rsidR="0015676B" w:rsidRPr="009A3323" w14:paraId="54718374" w14:textId="77777777" w:rsidTr="00142370">
        <w:tc>
          <w:tcPr>
            <w:tcW w:w="4316" w:type="dxa"/>
            <w:shd w:val="clear" w:color="auto" w:fill="D9F2D0" w:themeFill="accent6" w:themeFillTint="33"/>
          </w:tcPr>
          <w:p w14:paraId="362A6007" w14:textId="5D8446FC" w:rsidR="0015676B" w:rsidRPr="00176A88" w:rsidRDefault="0015676B" w:rsidP="00996BBF">
            <w:pPr>
              <w:ind w:left="1008" w:hanging="1008"/>
              <w:rPr>
                <w:sz w:val="20"/>
                <w:szCs w:val="20"/>
              </w:rPr>
            </w:pPr>
            <w:r w:rsidRPr="0015676B">
              <w:rPr>
                <w:sz w:val="20"/>
                <w:szCs w:val="20"/>
              </w:rPr>
              <w:t>5.1.3.1.</w:t>
            </w:r>
            <w:r w:rsidRPr="0015676B">
              <w:rPr>
                <w:sz w:val="20"/>
                <w:szCs w:val="20"/>
              </w:rPr>
              <w:tab/>
              <w:t>The requirements for DDT performance under nominal scenarios shall continue to apply during critical scenarios as far as is reasonably practicable under the specific circumstances with the aim of minimising overall safety risks.</w:t>
            </w:r>
          </w:p>
        </w:tc>
        <w:tc>
          <w:tcPr>
            <w:tcW w:w="4317" w:type="dxa"/>
          </w:tcPr>
          <w:p w14:paraId="12B2BBAC" w14:textId="77777777" w:rsidR="0015676B" w:rsidRPr="009A3323" w:rsidRDefault="0015676B" w:rsidP="00996BBF">
            <w:pPr>
              <w:ind w:left="1008" w:hanging="1008"/>
              <w:rPr>
                <w:sz w:val="20"/>
                <w:szCs w:val="20"/>
              </w:rPr>
            </w:pPr>
          </w:p>
        </w:tc>
        <w:tc>
          <w:tcPr>
            <w:tcW w:w="4317" w:type="dxa"/>
          </w:tcPr>
          <w:p w14:paraId="6DD661C4" w14:textId="77777777" w:rsidR="0015676B" w:rsidRPr="009A3323" w:rsidRDefault="0015676B">
            <w:pPr>
              <w:rPr>
                <w:sz w:val="20"/>
                <w:szCs w:val="20"/>
              </w:rPr>
            </w:pPr>
          </w:p>
        </w:tc>
      </w:tr>
      <w:tr w:rsidR="0015676B" w:rsidRPr="009A3323" w14:paraId="23CE1355" w14:textId="77777777" w:rsidTr="00142370">
        <w:tc>
          <w:tcPr>
            <w:tcW w:w="4316" w:type="dxa"/>
            <w:shd w:val="clear" w:color="auto" w:fill="FAE2D5" w:themeFill="accent2" w:themeFillTint="33"/>
          </w:tcPr>
          <w:p w14:paraId="02C4E700" w14:textId="113F82F7" w:rsidR="0015676B" w:rsidRPr="00176A88" w:rsidRDefault="00142370" w:rsidP="00996BBF">
            <w:pPr>
              <w:ind w:left="1008" w:hanging="1008"/>
              <w:rPr>
                <w:sz w:val="20"/>
                <w:szCs w:val="20"/>
              </w:rPr>
            </w:pPr>
            <w:r w:rsidRPr="00142370">
              <w:rPr>
                <w:sz w:val="20"/>
                <w:szCs w:val="20"/>
              </w:rPr>
              <w:t xml:space="preserve">5.1.3.2. </w:t>
            </w:r>
            <w:r w:rsidRPr="00142370">
              <w:rPr>
                <w:sz w:val="20"/>
                <w:szCs w:val="20"/>
              </w:rPr>
              <w:tab/>
              <w:t>In the event of a collision involving the ADS vehicle, if required to stop by applicable law, the ADS shall stop or fall back to an MRC as appropriate. During this process the user may initiate deactivation of the ADS if the design of the ADS allows.</w:t>
            </w:r>
          </w:p>
        </w:tc>
        <w:tc>
          <w:tcPr>
            <w:tcW w:w="4317" w:type="dxa"/>
          </w:tcPr>
          <w:p w14:paraId="56DEAC69" w14:textId="4421F431" w:rsidR="0015676B" w:rsidRPr="009A3323" w:rsidRDefault="0015676B" w:rsidP="00646A6B">
            <w:pPr>
              <w:ind w:left="1008" w:hanging="1008"/>
              <w:rPr>
                <w:sz w:val="20"/>
                <w:szCs w:val="20"/>
              </w:rPr>
            </w:pPr>
          </w:p>
        </w:tc>
        <w:tc>
          <w:tcPr>
            <w:tcW w:w="4317" w:type="dxa"/>
          </w:tcPr>
          <w:p w14:paraId="378927F1" w14:textId="57A42653" w:rsidR="0015676B" w:rsidRPr="00142370" w:rsidRDefault="00142370">
            <w:pPr>
              <w:rPr>
                <w:color w:val="0070C0"/>
                <w:sz w:val="20"/>
                <w:szCs w:val="20"/>
              </w:rPr>
            </w:pPr>
            <w:r>
              <w:rPr>
                <w:color w:val="0070C0"/>
                <w:sz w:val="20"/>
                <w:szCs w:val="20"/>
              </w:rPr>
              <w:t>Discussed during ADS-07</w:t>
            </w:r>
            <w:r w:rsidR="0056046C">
              <w:rPr>
                <w:color w:val="0070C0"/>
                <w:sz w:val="20"/>
                <w:szCs w:val="20"/>
              </w:rPr>
              <w:t xml:space="preserve"> </w:t>
            </w:r>
            <w:r>
              <w:rPr>
                <w:color w:val="0070C0"/>
                <w:sz w:val="20"/>
                <w:szCs w:val="20"/>
              </w:rPr>
              <w:t>but needs confirmation due to new text.</w:t>
            </w:r>
            <w:r w:rsidR="0056046C">
              <w:rPr>
                <w:color w:val="0070C0"/>
                <w:sz w:val="20"/>
                <w:szCs w:val="20"/>
              </w:rPr>
              <w:t xml:space="preserve"> The second sentence probably should be 5.1.3.2.1. (i.e., subsidiary to the requirement to initiate the fallback). “stop” is a fallback to an MRC (assuming no other option than to simply stop).</w:t>
            </w:r>
          </w:p>
        </w:tc>
      </w:tr>
      <w:tr w:rsidR="0015676B" w:rsidRPr="009A3323" w14:paraId="4C052381" w14:textId="77777777" w:rsidTr="00142370">
        <w:tc>
          <w:tcPr>
            <w:tcW w:w="4316" w:type="dxa"/>
            <w:shd w:val="clear" w:color="auto" w:fill="D9F2D0" w:themeFill="accent6" w:themeFillTint="33"/>
          </w:tcPr>
          <w:p w14:paraId="7AE669C4" w14:textId="54289823" w:rsidR="0015676B" w:rsidRPr="00176A88" w:rsidRDefault="00142370" w:rsidP="00996BBF">
            <w:pPr>
              <w:ind w:left="1008" w:hanging="1008"/>
              <w:rPr>
                <w:sz w:val="20"/>
                <w:szCs w:val="20"/>
              </w:rPr>
            </w:pPr>
            <w:r w:rsidRPr="00142370">
              <w:rPr>
                <w:sz w:val="20"/>
                <w:szCs w:val="20"/>
              </w:rPr>
              <w:t>5.1.3.2.1.</w:t>
            </w:r>
            <w:r w:rsidRPr="00142370">
              <w:rPr>
                <w:sz w:val="20"/>
                <w:szCs w:val="20"/>
              </w:rPr>
              <w:tab/>
              <w:t>The ADS shall not resume travel unless:</w:t>
            </w:r>
          </w:p>
        </w:tc>
        <w:tc>
          <w:tcPr>
            <w:tcW w:w="4317" w:type="dxa"/>
          </w:tcPr>
          <w:p w14:paraId="747480F5" w14:textId="77777777" w:rsidR="0015676B" w:rsidRPr="009A3323" w:rsidRDefault="0015676B" w:rsidP="00996BBF">
            <w:pPr>
              <w:ind w:left="1008" w:hanging="1008"/>
              <w:rPr>
                <w:sz w:val="20"/>
                <w:szCs w:val="20"/>
              </w:rPr>
            </w:pPr>
          </w:p>
        </w:tc>
        <w:tc>
          <w:tcPr>
            <w:tcW w:w="4317" w:type="dxa"/>
          </w:tcPr>
          <w:p w14:paraId="3484217A" w14:textId="77777777" w:rsidR="0015676B" w:rsidRPr="009A3323" w:rsidRDefault="0015676B">
            <w:pPr>
              <w:rPr>
                <w:sz w:val="20"/>
                <w:szCs w:val="20"/>
              </w:rPr>
            </w:pPr>
          </w:p>
        </w:tc>
      </w:tr>
      <w:tr w:rsidR="0015676B" w:rsidRPr="009A3323" w14:paraId="58A767AD" w14:textId="77777777" w:rsidTr="00142370">
        <w:tc>
          <w:tcPr>
            <w:tcW w:w="4316" w:type="dxa"/>
            <w:shd w:val="clear" w:color="auto" w:fill="D9F2D0" w:themeFill="accent6" w:themeFillTint="33"/>
          </w:tcPr>
          <w:p w14:paraId="121FE972" w14:textId="1F3E68AB" w:rsidR="0015676B" w:rsidRPr="00176A88" w:rsidRDefault="00142370" w:rsidP="00142370">
            <w:pPr>
              <w:ind w:left="1440" w:hanging="432"/>
              <w:rPr>
                <w:sz w:val="20"/>
                <w:szCs w:val="20"/>
              </w:rPr>
            </w:pPr>
            <w:r w:rsidRPr="00142370">
              <w:rPr>
                <w:sz w:val="20"/>
                <w:szCs w:val="20"/>
              </w:rPr>
              <w:t>(a)</w:t>
            </w:r>
            <w:r w:rsidRPr="00142370">
              <w:rPr>
                <w:sz w:val="20"/>
                <w:szCs w:val="20"/>
              </w:rPr>
              <w:tab/>
              <w:t>The safe operational state of the ADS vehicle has been verified, and</w:t>
            </w:r>
          </w:p>
        </w:tc>
        <w:tc>
          <w:tcPr>
            <w:tcW w:w="4317" w:type="dxa"/>
          </w:tcPr>
          <w:p w14:paraId="6D4B7C6C" w14:textId="77777777" w:rsidR="0015676B" w:rsidRPr="009A3323" w:rsidRDefault="0015676B" w:rsidP="00996BBF">
            <w:pPr>
              <w:ind w:left="1008" w:hanging="1008"/>
              <w:rPr>
                <w:sz w:val="20"/>
                <w:szCs w:val="20"/>
              </w:rPr>
            </w:pPr>
          </w:p>
        </w:tc>
        <w:tc>
          <w:tcPr>
            <w:tcW w:w="4317" w:type="dxa"/>
          </w:tcPr>
          <w:p w14:paraId="03F13C6A" w14:textId="77777777" w:rsidR="0015676B" w:rsidRPr="009A3323" w:rsidRDefault="0015676B">
            <w:pPr>
              <w:rPr>
                <w:sz w:val="20"/>
                <w:szCs w:val="20"/>
              </w:rPr>
            </w:pPr>
          </w:p>
        </w:tc>
      </w:tr>
      <w:tr w:rsidR="00142370" w:rsidRPr="009A3323" w14:paraId="45844517" w14:textId="77777777" w:rsidTr="00142370">
        <w:tc>
          <w:tcPr>
            <w:tcW w:w="4316" w:type="dxa"/>
            <w:shd w:val="clear" w:color="auto" w:fill="D9F2D0" w:themeFill="accent6" w:themeFillTint="33"/>
          </w:tcPr>
          <w:p w14:paraId="134BF6E6" w14:textId="4E4AD194" w:rsidR="00142370" w:rsidRPr="00142370" w:rsidRDefault="00142370" w:rsidP="00142370">
            <w:pPr>
              <w:ind w:left="1440" w:hanging="432"/>
              <w:rPr>
                <w:sz w:val="20"/>
                <w:szCs w:val="20"/>
              </w:rPr>
            </w:pPr>
            <w:r w:rsidRPr="00142370">
              <w:rPr>
                <w:sz w:val="20"/>
                <w:szCs w:val="20"/>
              </w:rPr>
              <w:lastRenderedPageBreak/>
              <w:t>(b)</w:t>
            </w:r>
            <w:r w:rsidRPr="00142370">
              <w:rPr>
                <w:sz w:val="20"/>
                <w:szCs w:val="20"/>
              </w:rPr>
              <w:tab/>
              <w:t>It is permissible under the applicable law.</w:t>
            </w:r>
          </w:p>
        </w:tc>
        <w:tc>
          <w:tcPr>
            <w:tcW w:w="4317" w:type="dxa"/>
          </w:tcPr>
          <w:p w14:paraId="644BA26E" w14:textId="77777777" w:rsidR="00142370" w:rsidRPr="009A3323" w:rsidRDefault="00142370" w:rsidP="00996BBF">
            <w:pPr>
              <w:ind w:left="1008" w:hanging="1008"/>
              <w:rPr>
                <w:sz w:val="20"/>
                <w:szCs w:val="20"/>
              </w:rPr>
            </w:pPr>
          </w:p>
        </w:tc>
        <w:tc>
          <w:tcPr>
            <w:tcW w:w="4317" w:type="dxa"/>
          </w:tcPr>
          <w:p w14:paraId="44A33DBD" w14:textId="77777777" w:rsidR="00142370" w:rsidRPr="009A3323" w:rsidRDefault="00142370">
            <w:pPr>
              <w:rPr>
                <w:sz w:val="20"/>
                <w:szCs w:val="20"/>
              </w:rPr>
            </w:pPr>
          </w:p>
        </w:tc>
      </w:tr>
    </w:tbl>
    <w:p w14:paraId="0F111279" w14:textId="77777777" w:rsidR="0056046C" w:rsidRDefault="0056046C">
      <w:r>
        <w:br w:type="page"/>
      </w:r>
    </w:p>
    <w:tbl>
      <w:tblPr>
        <w:tblStyle w:val="TableGrid"/>
        <w:tblW w:w="0" w:type="auto"/>
        <w:tblLayout w:type="fixed"/>
        <w:tblCellMar>
          <w:top w:w="58" w:type="dxa"/>
          <w:left w:w="58" w:type="dxa"/>
          <w:bottom w:w="58" w:type="dxa"/>
          <w:right w:w="58" w:type="dxa"/>
        </w:tblCellMar>
        <w:tblLook w:val="04A0" w:firstRow="1" w:lastRow="0" w:firstColumn="1" w:lastColumn="0" w:noHBand="0" w:noVBand="1"/>
      </w:tblPr>
      <w:tblGrid>
        <w:gridCol w:w="4316"/>
        <w:gridCol w:w="4317"/>
        <w:gridCol w:w="4317"/>
      </w:tblGrid>
      <w:tr w:rsidR="0015676B" w:rsidRPr="009A3323" w14:paraId="698F514E" w14:textId="77777777" w:rsidTr="00142370">
        <w:tc>
          <w:tcPr>
            <w:tcW w:w="4316" w:type="dxa"/>
            <w:shd w:val="clear" w:color="auto" w:fill="FAE2D5" w:themeFill="accent2" w:themeFillTint="33"/>
          </w:tcPr>
          <w:p w14:paraId="2EA7A17A" w14:textId="4F5F1E0F" w:rsidR="0015676B" w:rsidRPr="00176A88" w:rsidRDefault="00142370" w:rsidP="00996BBF">
            <w:pPr>
              <w:ind w:left="1008" w:hanging="1008"/>
              <w:rPr>
                <w:sz w:val="20"/>
                <w:szCs w:val="20"/>
              </w:rPr>
            </w:pPr>
            <w:r w:rsidRPr="00142370">
              <w:rPr>
                <w:sz w:val="20"/>
                <w:szCs w:val="20"/>
              </w:rPr>
              <w:lastRenderedPageBreak/>
              <w:t>5.1.3.2.2.</w:t>
            </w:r>
            <w:r w:rsidRPr="00142370">
              <w:rPr>
                <w:sz w:val="20"/>
                <w:szCs w:val="20"/>
              </w:rPr>
              <w:tab/>
              <w:t>Notwithstanding 5.1.3.2.1., if possible, the ADS [may move the vehicle if this is required/ shall move the vehicle, if technically possible and safe] in order to appropriately respond to a road safety agent.</w:t>
            </w:r>
          </w:p>
        </w:tc>
        <w:tc>
          <w:tcPr>
            <w:tcW w:w="4317" w:type="dxa"/>
          </w:tcPr>
          <w:p w14:paraId="6FEA9830" w14:textId="77777777" w:rsidR="0015676B" w:rsidRPr="009A3323" w:rsidRDefault="0015676B" w:rsidP="00996BBF">
            <w:pPr>
              <w:ind w:left="1008" w:hanging="1008"/>
              <w:rPr>
                <w:sz w:val="20"/>
                <w:szCs w:val="20"/>
              </w:rPr>
            </w:pPr>
          </w:p>
        </w:tc>
        <w:tc>
          <w:tcPr>
            <w:tcW w:w="4317" w:type="dxa"/>
          </w:tcPr>
          <w:p w14:paraId="4FF1B583" w14:textId="77777777" w:rsidR="00646A6B" w:rsidRPr="00646A6B" w:rsidRDefault="00646A6B" w:rsidP="00646A6B">
            <w:pPr>
              <w:rPr>
                <w:sz w:val="20"/>
                <w:szCs w:val="20"/>
              </w:rPr>
            </w:pPr>
            <w:r w:rsidRPr="00646A6B">
              <w:rPr>
                <w:sz w:val="20"/>
                <w:szCs w:val="20"/>
              </w:rPr>
              <w:t>OPI: Discussion required on this point, see ADS-07-21 for some options.</w:t>
            </w:r>
          </w:p>
          <w:p w14:paraId="06CD37B6" w14:textId="77777777" w:rsidR="00646A6B" w:rsidRPr="00646A6B" w:rsidRDefault="00646A6B" w:rsidP="00646A6B">
            <w:pPr>
              <w:rPr>
                <w:sz w:val="20"/>
                <w:szCs w:val="20"/>
              </w:rPr>
            </w:pPr>
          </w:p>
          <w:p w14:paraId="09DF01C9" w14:textId="77777777" w:rsidR="00646A6B" w:rsidRPr="00646A6B" w:rsidRDefault="00646A6B" w:rsidP="00646A6B">
            <w:pPr>
              <w:rPr>
                <w:sz w:val="20"/>
                <w:szCs w:val="20"/>
              </w:rPr>
            </w:pPr>
            <w:r w:rsidRPr="00646A6B">
              <w:rPr>
                <w:sz w:val="20"/>
                <w:szCs w:val="20"/>
              </w:rPr>
              <w:t xml:space="preserve">UK proposal </w:t>
            </w:r>
          </w:p>
          <w:p w14:paraId="4B542621" w14:textId="77777777" w:rsidR="00646A6B" w:rsidRPr="00646A6B" w:rsidRDefault="00646A6B" w:rsidP="00646A6B">
            <w:pPr>
              <w:rPr>
                <w:sz w:val="20"/>
                <w:szCs w:val="20"/>
              </w:rPr>
            </w:pPr>
            <w:r w:rsidRPr="00646A6B">
              <w:rPr>
                <w:sz w:val="20"/>
                <w:szCs w:val="20"/>
              </w:rPr>
              <w:t xml:space="preserve">5.1.3.2.2. Notwithstanding para. 5.1.3.2.1., the ADS may move the vehicle if directed to do so by a roadsafety agent. </w:t>
            </w:r>
          </w:p>
          <w:p w14:paraId="76479CF9" w14:textId="77777777" w:rsidR="00646A6B" w:rsidRPr="00646A6B" w:rsidRDefault="00646A6B" w:rsidP="00646A6B">
            <w:pPr>
              <w:rPr>
                <w:sz w:val="20"/>
                <w:szCs w:val="20"/>
              </w:rPr>
            </w:pPr>
          </w:p>
          <w:p w14:paraId="345DE642" w14:textId="77777777" w:rsidR="00646A6B" w:rsidRPr="00646A6B" w:rsidRDefault="00646A6B" w:rsidP="00646A6B">
            <w:pPr>
              <w:rPr>
                <w:sz w:val="20"/>
                <w:szCs w:val="20"/>
              </w:rPr>
            </w:pPr>
            <w:r w:rsidRPr="00646A6B">
              <w:rPr>
                <w:sz w:val="20"/>
                <w:szCs w:val="20"/>
              </w:rPr>
              <w:t xml:space="preserve">Or Australia proposal </w:t>
            </w:r>
          </w:p>
          <w:p w14:paraId="15DD6599" w14:textId="115737BD" w:rsidR="0015676B" w:rsidRPr="009A3323" w:rsidRDefault="00646A6B" w:rsidP="00646A6B">
            <w:pPr>
              <w:rPr>
                <w:sz w:val="20"/>
                <w:szCs w:val="20"/>
              </w:rPr>
            </w:pPr>
            <w:r w:rsidRPr="00646A6B">
              <w:rPr>
                <w:sz w:val="20"/>
                <w:szCs w:val="20"/>
              </w:rPr>
              <w:t>5.1.3.2.2. If directed by a road safety agent, the ADS shall move the vehicle in accordance with the conditions of 5.1.3.2.1 and if the manoeuvre does not otherwise pose a risk to human safety.</w:t>
            </w:r>
          </w:p>
        </w:tc>
      </w:tr>
      <w:tr w:rsidR="0015676B" w:rsidRPr="009A3323" w14:paraId="3CE7C868" w14:textId="77777777" w:rsidTr="009471AD">
        <w:tc>
          <w:tcPr>
            <w:tcW w:w="4316" w:type="dxa"/>
            <w:shd w:val="clear" w:color="auto" w:fill="D9F2D0" w:themeFill="accent6" w:themeFillTint="33"/>
          </w:tcPr>
          <w:p w14:paraId="6771EC40" w14:textId="4AF51B9B" w:rsidR="0015676B" w:rsidRPr="00176A88" w:rsidRDefault="00136379" w:rsidP="00996BBF">
            <w:pPr>
              <w:ind w:left="1008" w:hanging="1008"/>
              <w:rPr>
                <w:sz w:val="20"/>
                <w:szCs w:val="20"/>
              </w:rPr>
            </w:pPr>
            <w:r w:rsidRPr="00136379">
              <w:rPr>
                <w:sz w:val="20"/>
                <w:szCs w:val="20"/>
              </w:rPr>
              <w:t>5.1.4.</w:t>
            </w:r>
            <w:r w:rsidRPr="00136379">
              <w:rPr>
                <w:sz w:val="20"/>
                <w:szCs w:val="20"/>
              </w:rPr>
              <w:tab/>
              <w:t>ADS Performance of the DDT under Failure Scenarios</w:t>
            </w:r>
          </w:p>
        </w:tc>
        <w:tc>
          <w:tcPr>
            <w:tcW w:w="4317" w:type="dxa"/>
          </w:tcPr>
          <w:p w14:paraId="188153D4" w14:textId="77777777" w:rsidR="0015676B" w:rsidRPr="009A3323" w:rsidRDefault="0015676B" w:rsidP="00996BBF">
            <w:pPr>
              <w:ind w:left="1008" w:hanging="1008"/>
              <w:rPr>
                <w:sz w:val="20"/>
                <w:szCs w:val="20"/>
              </w:rPr>
            </w:pPr>
          </w:p>
        </w:tc>
        <w:tc>
          <w:tcPr>
            <w:tcW w:w="4317" w:type="dxa"/>
          </w:tcPr>
          <w:p w14:paraId="3479BA2B" w14:textId="77777777" w:rsidR="0015676B" w:rsidRPr="009A3323" w:rsidRDefault="0015676B">
            <w:pPr>
              <w:rPr>
                <w:sz w:val="20"/>
                <w:szCs w:val="20"/>
              </w:rPr>
            </w:pPr>
          </w:p>
        </w:tc>
      </w:tr>
      <w:tr w:rsidR="0015676B" w:rsidRPr="009A3323" w14:paraId="2317F2B2" w14:textId="77777777" w:rsidTr="009471AD">
        <w:tc>
          <w:tcPr>
            <w:tcW w:w="4316" w:type="dxa"/>
            <w:shd w:val="clear" w:color="auto" w:fill="D9F2D0" w:themeFill="accent6" w:themeFillTint="33"/>
          </w:tcPr>
          <w:p w14:paraId="56EE2F58" w14:textId="63F79016" w:rsidR="0015676B" w:rsidRPr="00176A88" w:rsidRDefault="00136379" w:rsidP="00996BBF">
            <w:pPr>
              <w:ind w:left="1008" w:hanging="1008"/>
              <w:rPr>
                <w:sz w:val="20"/>
                <w:szCs w:val="20"/>
              </w:rPr>
            </w:pPr>
            <w:r w:rsidRPr="00136379">
              <w:rPr>
                <w:sz w:val="20"/>
                <w:szCs w:val="20"/>
              </w:rPr>
              <w:t>5.1.4.1.</w:t>
            </w:r>
            <w:r w:rsidRPr="00136379">
              <w:rPr>
                <w:sz w:val="20"/>
                <w:szCs w:val="20"/>
              </w:rPr>
              <w:tab/>
              <w:t>The requirements for DDT performance under nominal scenarios shall continue to apply during failure scenarios as far as is reasonably practicable under the specific circumstances with the aim of minimising overall safety risks.</w:t>
            </w:r>
          </w:p>
        </w:tc>
        <w:tc>
          <w:tcPr>
            <w:tcW w:w="4317" w:type="dxa"/>
          </w:tcPr>
          <w:p w14:paraId="0A9B328A" w14:textId="77777777" w:rsidR="0015676B" w:rsidRPr="009A3323" w:rsidRDefault="0015676B" w:rsidP="00996BBF">
            <w:pPr>
              <w:ind w:left="1008" w:hanging="1008"/>
              <w:rPr>
                <w:sz w:val="20"/>
                <w:szCs w:val="20"/>
              </w:rPr>
            </w:pPr>
          </w:p>
        </w:tc>
        <w:tc>
          <w:tcPr>
            <w:tcW w:w="4317" w:type="dxa"/>
          </w:tcPr>
          <w:p w14:paraId="7EEE9D5D" w14:textId="77777777" w:rsidR="0015676B" w:rsidRPr="009A3323" w:rsidRDefault="0015676B">
            <w:pPr>
              <w:rPr>
                <w:sz w:val="20"/>
                <w:szCs w:val="20"/>
              </w:rPr>
            </w:pPr>
          </w:p>
        </w:tc>
      </w:tr>
      <w:tr w:rsidR="00136379" w:rsidRPr="009A3323" w14:paraId="718430E7" w14:textId="77777777" w:rsidTr="009471AD">
        <w:tc>
          <w:tcPr>
            <w:tcW w:w="4316" w:type="dxa"/>
            <w:shd w:val="clear" w:color="auto" w:fill="D9F2D0" w:themeFill="accent6" w:themeFillTint="33"/>
          </w:tcPr>
          <w:p w14:paraId="4AFDFD68" w14:textId="189DAA78" w:rsidR="00136379" w:rsidRPr="00176A88" w:rsidRDefault="00136379" w:rsidP="00996BBF">
            <w:pPr>
              <w:ind w:left="1008" w:hanging="1008"/>
              <w:rPr>
                <w:sz w:val="20"/>
                <w:szCs w:val="20"/>
              </w:rPr>
            </w:pPr>
            <w:r w:rsidRPr="00136379">
              <w:rPr>
                <w:sz w:val="20"/>
                <w:szCs w:val="20"/>
              </w:rPr>
              <w:t>5.1.4.2.</w:t>
            </w:r>
            <w:r w:rsidRPr="00136379">
              <w:rPr>
                <w:sz w:val="20"/>
                <w:szCs w:val="20"/>
              </w:rPr>
              <w:tab/>
              <w:t>The ADS shall detect faults, malfunctions, and abnormalities that compromise its capability to perform the DDT within the ODD.</w:t>
            </w:r>
          </w:p>
        </w:tc>
        <w:tc>
          <w:tcPr>
            <w:tcW w:w="4317" w:type="dxa"/>
          </w:tcPr>
          <w:p w14:paraId="0CEF60B7" w14:textId="5B8B2BF4" w:rsidR="00136379" w:rsidRPr="009A3323" w:rsidRDefault="00136379" w:rsidP="00996BBF">
            <w:pPr>
              <w:ind w:left="1008" w:hanging="1008"/>
              <w:rPr>
                <w:sz w:val="20"/>
                <w:szCs w:val="20"/>
              </w:rPr>
            </w:pPr>
          </w:p>
        </w:tc>
        <w:tc>
          <w:tcPr>
            <w:tcW w:w="4317" w:type="dxa"/>
          </w:tcPr>
          <w:p w14:paraId="565E0F77" w14:textId="4E411D01" w:rsidR="00136379" w:rsidRPr="00136379" w:rsidRDefault="009471AD">
            <w:pPr>
              <w:rPr>
                <w:color w:val="0070C0"/>
                <w:sz w:val="20"/>
                <w:szCs w:val="20"/>
              </w:rPr>
            </w:pPr>
            <w:r>
              <w:rPr>
                <w:color w:val="0070C0"/>
                <w:sz w:val="20"/>
                <w:szCs w:val="20"/>
              </w:rPr>
              <w:t>The SMS provisions should require processes to identify these faults, etc. The safety concept provisions should require documentation of the means to detect these faults, etc. per the outcomes of the SMS analysis. The safety case provisions should require evidence that the means used to detect the faults is effective.</w:t>
            </w:r>
          </w:p>
        </w:tc>
      </w:tr>
      <w:tr w:rsidR="00136379" w:rsidRPr="009A3323" w14:paraId="700B1D06" w14:textId="77777777" w:rsidTr="009471AD">
        <w:tc>
          <w:tcPr>
            <w:tcW w:w="4316" w:type="dxa"/>
            <w:shd w:val="clear" w:color="auto" w:fill="D9F2D0" w:themeFill="accent6" w:themeFillTint="33"/>
          </w:tcPr>
          <w:p w14:paraId="1292D054" w14:textId="138BE862" w:rsidR="00136379" w:rsidRPr="00176A88" w:rsidRDefault="00136379" w:rsidP="00996BBF">
            <w:pPr>
              <w:ind w:left="1008" w:hanging="1008"/>
              <w:rPr>
                <w:sz w:val="20"/>
                <w:szCs w:val="20"/>
              </w:rPr>
            </w:pPr>
            <w:r w:rsidRPr="00136379">
              <w:rPr>
                <w:sz w:val="20"/>
                <w:szCs w:val="20"/>
              </w:rPr>
              <w:t>5.1.4.3.</w:t>
            </w:r>
            <w:r w:rsidRPr="00136379">
              <w:rPr>
                <w:sz w:val="20"/>
                <w:szCs w:val="20"/>
              </w:rPr>
              <w:tab/>
              <w:t>In response to a fault, the ADS shall either:</w:t>
            </w:r>
          </w:p>
        </w:tc>
        <w:tc>
          <w:tcPr>
            <w:tcW w:w="4317" w:type="dxa"/>
            <w:shd w:val="clear" w:color="auto" w:fill="DAE9F7" w:themeFill="text2" w:themeFillTint="1A"/>
          </w:tcPr>
          <w:p w14:paraId="254EE109" w14:textId="3D87C702" w:rsidR="00136379" w:rsidRPr="009A3323" w:rsidRDefault="009471AD" w:rsidP="00996BBF">
            <w:pPr>
              <w:ind w:left="1008" w:hanging="1008"/>
              <w:rPr>
                <w:sz w:val="20"/>
                <w:szCs w:val="20"/>
              </w:rPr>
            </w:pPr>
            <w:r>
              <w:rPr>
                <w:sz w:val="20"/>
                <w:szCs w:val="20"/>
              </w:rPr>
              <w:t>5.1.4.3.</w:t>
            </w:r>
            <w:r>
              <w:rPr>
                <w:sz w:val="20"/>
                <w:szCs w:val="20"/>
              </w:rPr>
              <w:tab/>
              <w:t>In response to a fault, the ADS shall</w:t>
            </w:r>
          </w:p>
        </w:tc>
        <w:tc>
          <w:tcPr>
            <w:tcW w:w="4317" w:type="dxa"/>
          </w:tcPr>
          <w:p w14:paraId="5E1BEACA" w14:textId="54FE3AE6" w:rsidR="00136379" w:rsidRPr="00136379" w:rsidRDefault="00136379">
            <w:pPr>
              <w:rPr>
                <w:color w:val="0070C0"/>
                <w:sz w:val="20"/>
                <w:szCs w:val="20"/>
              </w:rPr>
            </w:pPr>
            <w:r>
              <w:rPr>
                <w:color w:val="0070C0"/>
                <w:sz w:val="20"/>
                <w:szCs w:val="20"/>
              </w:rPr>
              <w:t>“either” not necessary given “or” in 5.1.4.3.(a)</w:t>
            </w:r>
          </w:p>
        </w:tc>
      </w:tr>
      <w:tr w:rsidR="00136379" w:rsidRPr="009A3323" w14:paraId="639A0791" w14:textId="77777777" w:rsidTr="009471AD">
        <w:tc>
          <w:tcPr>
            <w:tcW w:w="4316" w:type="dxa"/>
            <w:shd w:val="clear" w:color="auto" w:fill="D9F2D0" w:themeFill="accent6" w:themeFillTint="33"/>
          </w:tcPr>
          <w:p w14:paraId="18C8F439" w14:textId="2D7F7243" w:rsidR="00136379" w:rsidRPr="00176A88" w:rsidRDefault="00136379" w:rsidP="00136379">
            <w:pPr>
              <w:ind w:left="1440" w:hanging="432"/>
              <w:rPr>
                <w:sz w:val="20"/>
                <w:szCs w:val="20"/>
              </w:rPr>
            </w:pPr>
            <w:r>
              <w:rPr>
                <w:sz w:val="20"/>
                <w:szCs w:val="20"/>
              </w:rPr>
              <w:t>(</w:t>
            </w:r>
            <w:r w:rsidRPr="00136379">
              <w:rPr>
                <w:sz w:val="20"/>
                <w:szCs w:val="20"/>
              </w:rPr>
              <w:t>a)</w:t>
            </w:r>
            <w:r w:rsidRPr="00136379">
              <w:rPr>
                <w:sz w:val="20"/>
                <w:szCs w:val="20"/>
              </w:rPr>
              <w:tab/>
              <w:t xml:space="preserve">Execute a fallback response and prohibit activation of the impacted feature(s) if the fault prevents the ADS from performing the DDT in </w:t>
            </w:r>
            <w:r w:rsidRPr="00136379">
              <w:rPr>
                <w:sz w:val="20"/>
                <w:szCs w:val="20"/>
              </w:rPr>
              <w:lastRenderedPageBreak/>
              <w:t>accordance with the requirements of 5.1., or</w:t>
            </w:r>
          </w:p>
        </w:tc>
        <w:tc>
          <w:tcPr>
            <w:tcW w:w="4317" w:type="dxa"/>
          </w:tcPr>
          <w:p w14:paraId="704DFA4F" w14:textId="77777777" w:rsidR="00136379" w:rsidRPr="009A3323" w:rsidRDefault="00136379" w:rsidP="00996BBF">
            <w:pPr>
              <w:ind w:left="1008" w:hanging="1008"/>
              <w:rPr>
                <w:sz w:val="20"/>
                <w:szCs w:val="20"/>
              </w:rPr>
            </w:pPr>
          </w:p>
        </w:tc>
        <w:tc>
          <w:tcPr>
            <w:tcW w:w="4317" w:type="dxa"/>
          </w:tcPr>
          <w:p w14:paraId="7A888D1A" w14:textId="77777777" w:rsidR="00136379" w:rsidRPr="009A3323" w:rsidRDefault="00136379">
            <w:pPr>
              <w:rPr>
                <w:sz w:val="20"/>
                <w:szCs w:val="20"/>
              </w:rPr>
            </w:pPr>
          </w:p>
        </w:tc>
      </w:tr>
      <w:tr w:rsidR="00136379" w:rsidRPr="009A3323" w14:paraId="4096E1F6" w14:textId="77777777" w:rsidTr="009471AD">
        <w:tc>
          <w:tcPr>
            <w:tcW w:w="4316" w:type="dxa"/>
            <w:shd w:val="clear" w:color="auto" w:fill="D9F2D0" w:themeFill="accent6" w:themeFillTint="33"/>
          </w:tcPr>
          <w:p w14:paraId="3F04FCF8" w14:textId="67045562" w:rsidR="00136379" w:rsidRDefault="00136379" w:rsidP="00136379">
            <w:pPr>
              <w:ind w:left="1440" w:hanging="432"/>
              <w:rPr>
                <w:sz w:val="20"/>
                <w:szCs w:val="20"/>
              </w:rPr>
            </w:pPr>
            <w:r>
              <w:rPr>
                <w:sz w:val="20"/>
                <w:szCs w:val="20"/>
              </w:rPr>
              <w:t>(</w:t>
            </w:r>
            <w:r w:rsidRPr="00136379">
              <w:rPr>
                <w:sz w:val="20"/>
                <w:szCs w:val="20"/>
              </w:rPr>
              <w:t xml:space="preserve">b) </w:t>
            </w:r>
            <w:r w:rsidRPr="00136379">
              <w:rPr>
                <w:sz w:val="20"/>
                <w:szCs w:val="20"/>
              </w:rPr>
              <w:tab/>
              <w:t>Adapt its performance of the DDT in accordance with the severity of the fault provided the resulting performance complies with the requirements of section 5.1.</w:t>
            </w:r>
          </w:p>
        </w:tc>
        <w:tc>
          <w:tcPr>
            <w:tcW w:w="4317" w:type="dxa"/>
          </w:tcPr>
          <w:p w14:paraId="3D698AD7" w14:textId="77777777" w:rsidR="00136379" w:rsidRPr="009A3323" w:rsidRDefault="00136379" w:rsidP="00996BBF">
            <w:pPr>
              <w:ind w:left="1008" w:hanging="1008"/>
              <w:rPr>
                <w:sz w:val="20"/>
                <w:szCs w:val="20"/>
              </w:rPr>
            </w:pPr>
          </w:p>
        </w:tc>
        <w:tc>
          <w:tcPr>
            <w:tcW w:w="4317" w:type="dxa"/>
          </w:tcPr>
          <w:p w14:paraId="15001E4B" w14:textId="77777777" w:rsidR="00136379" w:rsidRPr="009A3323" w:rsidRDefault="00136379">
            <w:pPr>
              <w:rPr>
                <w:sz w:val="20"/>
                <w:szCs w:val="20"/>
              </w:rPr>
            </w:pPr>
          </w:p>
        </w:tc>
      </w:tr>
      <w:tr w:rsidR="00136379" w:rsidRPr="009A3323" w14:paraId="2A429EDD" w14:textId="77777777" w:rsidTr="005A693A">
        <w:tc>
          <w:tcPr>
            <w:tcW w:w="4316" w:type="dxa"/>
            <w:shd w:val="clear" w:color="auto" w:fill="D9F2D0" w:themeFill="accent6" w:themeFillTint="33"/>
          </w:tcPr>
          <w:p w14:paraId="350550C6" w14:textId="5064A79D" w:rsidR="00136379" w:rsidRPr="00176A88" w:rsidRDefault="009471AD" w:rsidP="00996BBF">
            <w:pPr>
              <w:ind w:left="1008" w:hanging="1008"/>
              <w:rPr>
                <w:sz w:val="20"/>
                <w:szCs w:val="20"/>
              </w:rPr>
            </w:pPr>
            <w:r w:rsidRPr="009471AD">
              <w:rPr>
                <w:sz w:val="20"/>
                <w:szCs w:val="20"/>
              </w:rPr>
              <w:t>5.1.4.4.</w:t>
            </w:r>
            <w:r w:rsidRPr="009471AD">
              <w:rPr>
                <w:sz w:val="20"/>
                <w:szCs w:val="20"/>
              </w:rPr>
              <w:tab/>
              <w:t>The ADS shall be capable of remote termination</w:t>
            </w:r>
            <w:r>
              <w:rPr>
                <w:sz w:val="20"/>
                <w:szCs w:val="20"/>
              </w:rPr>
              <w:t>.</w:t>
            </w:r>
          </w:p>
        </w:tc>
        <w:tc>
          <w:tcPr>
            <w:tcW w:w="4317" w:type="dxa"/>
          </w:tcPr>
          <w:p w14:paraId="27F894DF" w14:textId="77777777" w:rsidR="00136379" w:rsidRPr="009A3323" w:rsidRDefault="00136379" w:rsidP="00996BBF">
            <w:pPr>
              <w:ind w:left="1008" w:hanging="1008"/>
              <w:rPr>
                <w:sz w:val="20"/>
                <w:szCs w:val="20"/>
              </w:rPr>
            </w:pPr>
          </w:p>
        </w:tc>
        <w:tc>
          <w:tcPr>
            <w:tcW w:w="4317" w:type="dxa"/>
          </w:tcPr>
          <w:p w14:paraId="0673F9CB" w14:textId="77777777" w:rsidR="00136379" w:rsidRPr="009A3323" w:rsidRDefault="00136379">
            <w:pPr>
              <w:rPr>
                <w:sz w:val="20"/>
                <w:szCs w:val="20"/>
              </w:rPr>
            </w:pPr>
          </w:p>
        </w:tc>
      </w:tr>
      <w:tr w:rsidR="00136379" w:rsidRPr="009A3323" w14:paraId="06FD9CB6" w14:textId="77777777" w:rsidTr="009471AD">
        <w:tc>
          <w:tcPr>
            <w:tcW w:w="4316" w:type="dxa"/>
            <w:shd w:val="clear" w:color="auto" w:fill="D9F2D0" w:themeFill="accent6" w:themeFillTint="33"/>
          </w:tcPr>
          <w:p w14:paraId="61EEB90D" w14:textId="42DAB14B" w:rsidR="00136379" w:rsidRPr="00176A88" w:rsidRDefault="009471AD" w:rsidP="00996BBF">
            <w:pPr>
              <w:ind w:left="1008" w:hanging="1008"/>
              <w:rPr>
                <w:sz w:val="20"/>
                <w:szCs w:val="20"/>
              </w:rPr>
            </w:pPr>
            <w:r w:rsidRPr="009471AD">
              <w:rPr>
                <w:sz w:val="20"/>
                <w:szCs w:val="20"/>
              </w:rPr>
              <w:t>5.1.4.4.1.</w:t>
            </w:r>
            <w:r w:rsidRPr="009471AD">
              <w:rPr>
                <w:sz w:val="20"/>
                <w:szCs w:val="20"/>
              </w:rPr>
              <w:tab/>
              <w:t>Remote termination for an ADS performing the DDT shall be capable of triggering an ADS fallback response.</w:t>
            </w:r>
          </w:p>
        </w:tc>
        <w:tc>
          <w:tcPr>
            <w:tcW w:w="4317" w:type="dxa"/>
          </w:tcPr>
          <w:p w14:paraId="1E3E0F6D" w14:textId="77777777" w:rsidR="00136379" w:rsidRPr="009A3323" w:rsidRDefault="00136379" w:rsidP="00996BBF">
            <w:pPr>
              <w:ind w:left="1008" w:hanging="1008"/>
              <w:rPr>
                <w:sz w:val="20"/>
                <w:szCs w:val="20"/>
              </w:rPr>
            </w:pPr>
          </w:p>
        </w:tc>
        <w:tc>
          <w:tcPr>
            <w:tcW w:w="4317" w:type="dxa"/>
          </w:tcPr>
          <w:p w14:paraId="4DE28B0F" w14:textId="77777777" w:rsidR="00136379" w:rsidRPr="009A3323" w:rsidRDefault="00136379">
            <w:pPr>
              <w:rPr>
                <w:sz w:val="20"/>
                <w:szCs w:val="20"/>
              </w:rPr>
            </w:pPr>
          </w:p>
        </w:tc>
      </w:tr>
      <w:tr w:rsidR="009471AD" w:rsidRPr="009A3323" w14:paraId="714305A0" w14:textId="77777777" w:rsidTr="009471AD">
        <w:tc>
          <w:tcPr>
            <w:tcW w:w="4316" w:type="dxa"/>
            <w:shd w:val="clear" w:color="auto" w:fill="D9F2D0" w:themeFill="accent6" w:themeFillTint="33"/>
          </w:tcPr>
          <w:p w14:paraId="5216F492" w14:textId="1E9F3E8D" w:rsidR="009471AD" w:rsidRPr="00176A88" w:rsidRDefault="009471AD" w:rsidP="00996BBF">
            <w:pPr>
              <w:ind w:left="1008" w:hanging="1008"/>
              <w:rPr>
                <w:sz w:val="20"/>
                <w:szCs w:val="20"/>
              </w:rPr>
            </w:pPr>
            <w:r w:rsidRPr="009471AD">
              <w:rPr>
                <w:sz w:val="20"/>
                <w:szCs w:val="20"/>
              </w:rPr>
              <w:t>5.1.4.4.2.</w:t>
            </w:r>
            <w:r w:rsidRPr="009471AD">
              <w:rPr>
                <w:sz w:val="20"/>
                <w:szCs w:val="20"/>
              </w:rPr>
              <w:tab/>
              <w:t>Remote termination of an ADS or ADS feature(s) shall render it unable to be activated by a user until such time as the remote termination is rescinded.</w:t>
            </w:r>
          </w:p>
        </w:tc>
        <w:tc>
          <w:tcPr>
            <w:tcW w:w="4317" w:type="dxa"/>
          </w:tcPr>
          <w:p w14:paraId="55B15E21" w14:textId="77777777" w:rsidR="009471AD" w:rsidRPr="009A3323" w:rsidRDefault="009471AD" w:rsidP="00996BBF">
            <w:pPr>
              <w:ind w:left="1008" w:hanging="1008"/>
              <w:rPr>
                <w:sz w:val="20"/>
                <w:szCs w:val="20"/>
              </w:rPr>
            </w:pPr>
          </w:p>
        </w:tc>
        <w:tc>
          <w:tcPr>
            <w:tcW w:w="4317" w:type="dxa"/>
          </w:tcPr>
          <w:p w14:paraId="1074F0B5" w14:textId="77777777" w:rsidR="009471AD" w:rsidRPr="009A3323" w:rsidRDefault="009471AD">
            <w:pPr>
              <w:rPr>
                <w:sz w:val="20"/>
                <w:szCs w:val="20"/>
              </w:rPr>
            </w:pPr>
          </w:p>
        </w:tc>
      </w:tr>
      <w:tr w:rsidR="009471AD" w:rsidRPr="009A3323" w14:paraId="55B0C999" w14:textId="77777777" w:rsidTr="009F0882">
        <w:tc>
          <w:tcPr>
            <w:tcW w:w="4316" w:type="dxa"/>
            <w:shd w:val="clear" w:color="auto" w:fill="D9F2D0" w:themeFill="accent6" w:themeFillTint="33"/>
          </w:tcPr>
          <w:p w14:paraId="4BDE6E74" w14:textId="2FCDA166" w:rsidR="009471AD" w:rsidRPr="00176A88" w:rsidRDefault="009471AD" w:rsidP="00996BBF">
            <w:pPr>
              <w:ind w:left="1008" w:hanging="1008"/>
              <w:rPr>
                <w:sz w:val="20"/>
                <w:szCs w:val="20"/>
              </w:rPr>
            </w:pPr>
            <w:r w:rsidRPr="009471AD">
              <w:rPr>
                <w:sz w:val="20"/>
                <w:szCs w:val="20"/>
              </w:rPr>
              <w:t>5.1.5.</w:t>
            </w:r>
            <w:r w:rsidRPr="009471AD">
              <w:rPr>
                <w:sz w:val="20"/>
                <w:szCs w:val="20"/>
              </w:rPr>
              <w:tab/>
              <w:t>ADS Performance of the DDT at ODD Boundaries</w:t>
            </w:r>
          </w:p>
        </w:tc>
        <w:tc>
          <w:tcPr>
            <w:tcW w:w="4317" w:type="dxa"/>
          </w:tcPr>
          <w:p w14:paraId="2F40440A" w14:textId="77777777" w:rsidR="009471AD" w:rsidRPr="009A3323" w:rsidRDefault="009471AD" w:rsidP="00996BBF">
            <w:pPr>
              <w:ind w:left="1008" w:hanging="1008"/>
              <w:rPr>
                <w:sz w:val="20"/>
                <w:szCs w:val="20"/>
              </w:rPr>
            </w:pPr>
          </w:p>
        </w:tc>
        <w:tc>
          <w:tcPr>
            <w:tcW w:w="4317" w:type="dxa"/>
          </w:tcPr>
          <w:p w14:paraId="4F7EFCB0" w14:textId="77777777" w:rsidR="009471AD" w:rsidRPr="009A3323" w:rsidRDefault="009471AD">
            <w:pPr>
              <w:rPr>
                <w:sz w:val="20"/>
                <w:szCs w:val="20"/>
              </w:rPr>
            </w:pPr>
          </w:p>
        </w:tc>
      </w:tr>
      <w:tr w:rsidR="009471AD" w:rsidRPr="009A3323" w14:paraId="66364199" w14:textId="77777777" w:rsidTr="009F0882">
        <w:tc>
          <w:tcPr>
            <w:tcW w:w="4316" w:type="dxa"/>
            <w:shd w:val="clear" w:color="auto" w:fill="D9F2D0" w:themeFill="accent6" w:themeFillTint="33"/>
          </w:tcPr>
          <w:p w14:paraId="2507E552" w14:textId="12F794FF" w:rsidR="009471AD" w:rsidRPr="00176A88" w:rsidRDefault="009471AD" w:rsidP="00996BBF">
            <w:pPr>
              <w:ind w:left="1008" w:hanging="1008"/>
              <w:rPr>
                <w:sz w:val="20"/>
                <w:szCs w:val="20"/>
              </w:rPr>
            </w:pPr>
            <w:r w:rsidRPr="009471AD">
              <w:rPr>
                <w:sz w:val="20"/>
                <w:szCs w:val="20"/>
              </w:rPr>
              <w:t>5.1.5.1.</w:t>
            </w:r>
            <w:r w:rsidRPr="009471AD">
              <w:rPr>
                <w:sz w:val="20"/>
                <w:szCs w:val="20"/>
              </w:rPr>
              <w:tab/>
              <w:t>The ADS shall recognise the conditions and boundaries of the ODD of its feature(s).</w:t>
            </w:r>
          </w:p>
        </w:tc>
        <w:tc>
          <w:tcPr>
            <w:tcW w:w="4317" w:type="dxa"/>
          </w:tcPr>
          <w:p w14:paraId="3AF53C6D" w14:textId="77777777" w:rsidR="009471AD" w:rsidRPr="009A3323" w:rsidRDefault="009471AD" w:rsidP="00996BBF">
            <w:pPr>
              <w:ind w:left="1008" w:hanging="1008"/>
              <w:rPr>
                <w:sz w:val="20"/>
                <w:szCs w:val="20"/>
              </w:rPr>
            </w:pPr>
          </w:p>
        </w:tc>
        <w:tc>
          <w:tcPr>
            <w:tcW w:w="4317" w:type="dxa"/>
          </w:tcPr>
          <w:p w14:paraId="6D1BFFEE" w14:textId="77777777" w:rsidR="009471AD" w:rsidRPr="009A3323" w:rsidRDefault="009471AD">
            <w:pPr>
              <w:rPr>
                <w:sz w:val="20"/>
                <w:szCs w:val="20"/>
              </w:rPr>
            </w:pPr>
          </w:p>
        </w:tc>
      </w:tr>
      <w:tr w:rsidR="009471AD" w:rsidRPr="009A3323" w14:paraId="4EA9C20A" w14:textId="77777777" w:rsidTr="009F0882">
        <w:tc>
          <w:tcPr>
            <w:tcW w:w="4316" w:type="dxa"/>
            <w:shd w:val="clear" w:color="auto" w:fill="D9F2D0" w:themeFill="accent6" w:themeFillTint="33"/>
          </w:tcPr>
          <w:p w14:paraId="419A4A7C" w14:textId="3088E777" w:rsidR="009471AD" w:rsidRPr="00176A88" w:rsidRDefault="009F0882" w:rsidP="00996BBF">
            <w:pPr>
              <w:ind w:left="1008" w:hanging="1008"/>
              <w:rPr>
                <w:sz w:val="20"/>
                <w:szCs w:val="20"/>
              </w:rPr>
            </w:pPr>
            <w:r w:rsidRPr="009F0882">
              <w:rPr>
                <w:sz w:val="20"/>
                <w:szCs w:val="20"/>
              </w:rPr>
              <w:t>5.1.5.2.</w:t>
            </w:r>
            <w:r w:rsidRPr="009F0882">
              <w:rPr>
                <w:sz w:val="20"/>
                <w:szCs w:val="20"/>
              </w:rPr>
              <w:tab/>
              <w:t>The ADS shall be able to determine when the conditions are met for activation of each feature.</w:t>
            </w:r>
          </w:p>
        </w:tc>
        <w:tc>
          <w:tcPr>
            <w:tcW w:w="4317" w:type="dxa"/>
          </w:tcPr>
          <w:p w14:paraId="57284E30" w14:textId="77777777" w:rsidR="009471AD" w:rsidRPr="009A3323" w:rsidRDefault="009471AD" w:rsidP="00996BBF">
            <w:pPr>
              <w:ind w:left="1008" w:hanging="1008"/>
              <w:rPr>
                <w:sz w:val="20"/>
                <w:szCs w:val="20"/>
              </w:rPr>
            </w:pPr>
          </w:p>
        </w:tc>
        <w:tc>
          <w:tcPr>
            <w:tcW w:w="4317" w:type="dxa"/>
          </w:tcPr>
          <w:p w14:paraId="404C6ACB" w14:textId="77777777" w:rsidR="009471AD" w:rsidRPr="009A3323" w:rsidRDefault="009471AD">
            <w:pPr>
              <w:rPr>
                <w:sz w:val="20"/>
                <w:szCs w:val="20"/>
              </w:rPr>
            </w:pPr>
          </w:p>
        </w:tc>
      </w:tr>
      <w:tr w:rsidR="009471AD" w:rsidRPr="009A3323" w14:paraId="50ECDA66" w14:textId="77777777" w:rsidTr="009F0882">
        <w:tc>
          <w:tcPr>
            <w:tcW w:w="4316" w:type="dxa"/>
            <w:shd w:val="clear" w:color="auto" w:fill="D9F2D0" w:themeFill="accent6" w:themeFillTint="33"/>
          </w:tcPr>
          <w:p w14:paraId="0B7F58DB" w14:textId="62664C72" w:rsidR="009471AD" w:rsidRPr="00176A88" w:rsidRDefault="009F0882" w:rsidP="00996BBF">
            <w:pPr>
              <w:ind w:left="1008" w:hanging="1008"/>
              <w:rPr>
                <w:sz w:val="20"/>
                <w:szCs w:val="20"/>
              </w:rPr>
            </w:pPr>
            <w:r w:rsidRPr="009F0882">
              <w:rPr>
                <w:sz w:val="20"/>
                <w:szCs w:val="20"/>
              </w:rPr>
              <w:t>5.1.5.3.</w:t>
            </w:r>
            <w:r w:rsidRPr="009F0882">
              <w:rPr>
                <w:sz w:val="20"/>
                <w:szCs w:val="20"/>
              </w:rPr>
              <w:tab/>
              <w:t>The ADS shall prevent activation of a feature unless the ODD conditions of the feature are met.</w:t>
            </w:r>
          </w:p>
        </w:tc>
        <w:tc>
          <w:tcPr>
            <w:tcW w:w="4317" w:type="dxa"/>
          </w:tcPr>
          <w:p w14:paraId="2F808BCC" w14:textId="77777777" w:rsidR="009471AD" w:rsidRPr="009A3323" w:rsidRDefault="009471AD" w:rsidP="00996BBF">
            <w:pPr>
              <w:ind w:left="1008" w:hanging="1008"/>
              <w:rPr>
                <w:sz w:val="20"/>
                <w:szCs w:val="20"/>
              </w:rPr>
            </w:pPr>
          </w:p>
        </w:tc>
        <w:tc>
          <w:tcPr>
            <w:tcW w:w="4317" w:type="dxa"/>
          </w:tcPr>
          <w:p w14:paraId="717FDA76" w14:textId="77777777" w:rsidR="009471AD" w:rsidRPr="009A3323" w:rsidRDefault="009471AD">
            <w:pPr>
              <w:rPr>
                <w:sz w:val="20"/>
                <w:szCs w:val="20"/>
              </w:rPr>
            </w:pPr>
          </w:p>
        </w:tc>
      </w:tr>
      <w:tr w:rsidR="009471AD" w:rsidRPr="009A3323" w14:paraId="6117C281" w14:textId="77777777" w:rsidTr="009F0882">
        <w:tc>
          <w:tcPr>
            <w:tcW w:w="4316" w:type="dxa"/>
            <w:shd w:val="clear" w:color="auto" w:fill="D9F2D0" w:themeFill="accent6" w:themeFillTint="33"/>
          </w:tcPr>
          <w:p w14:paraId="05C05990" w14:textId="49B1709B" w:rsidR="009471AD" w:rsidRPr="00176A88" w:rsidRDefault="009F0882" w:rsidP="00996BBF">
            <w:pPr>
              <w:ind w:left="1008" w:hanging="1008"/>
              <w:rPr>
                <w:sz w:val="20"/>
                <w:szCs w:val="20"/>
              </w:rPr>
            </w:pPr>
            <w:r w:rsidRPr="009F0882">
              <w:rPr>
                <w:sz w:val="20"/>
                <w:szCs w:val="20"/>
              </w:rPr>
              <w:t>5.1.5.4.</w:t>
            </w:r>
            <w:r w:rsidRPr="009F0882">
              <w:rPr>
                <w:sz w:val="20"/>
                <w:szCs w:val="20"/>
              </w:rPr>
              <w:tab/>
              <w:t>The ADS shall execute a fallback response when one or more ODD conditions of the feature in use are no longer met.</w:t>
            </w:r>
          </w:p>
        </w:tc>
        <w:tc>
          <w:tcPr>
            <w:tcW w:w="4317" w:type="dxa"/>
          </w:tcPr>
          <w:p w14:paraId="3F389958" w14:textId="77777777" w:rsidR="009471AD" w:rsidRPr="009A3323" w:rsidRDefault="009471AD" w:rsidP="00996BBF">
            <w:pPr>
              <w:ind w:left="1008" w:hanging="1008"/>
              <w:rPr>
                <w:sz w:val="20"/>
                <w:szCs w:val="20"/>
              </w:rPr>
            </w:pPr>
          </w:p>
        </w:tc>
        <w:tc>
          <w:tcPr>
            <w:tcW w:w="4317" w:type="dxa"/>
          </w:tcPr>
          <w:p w14:paraId="795F8900" w14:textId="77777777" w:rsidR="009471AD" w:rsidRPr="009A3323" w:rsidRDefault="009471AD">
            <w:pPr>
              <w:rPr>
                <w:sz w:val="20"/>
                <w:szCs w:val="20"/>
              </w:rPr>
            </w:pPr>
          </w:p>
        </w:tc>
      </w:tr>
      <w:tr w:rsidR="009F0882" w:rsidRPr="009A3323" w14:paraId="7FFD30EB" w14:textId="77777777" w:rsidTr="009F0882">
        <w:tc>
          <w:tcPr>
            <w:tcW w:w="4316" w:type="dxa"/>
            <w:shd w:val="clear" w:color="auto" w:fill="D9F2D0" w:themeFill="accent6" w:themeFillTint="33"/>
          </w:tcPr>
          <w:p w14:paraId="45912F01" w14:textId="4B2607B2" w:rsidR="009F0882" w:rsidRPr="00176A88" w:rsidRDefault="009F0882" w:rsidP="00996BBF">
            <w:pPr>
              <w:ind w:left="1008" w:hanging="1008"/>
              <w:rPr>
                <w:sz w:val="20"/>
                <w:szCs w:val="20"/>
              </w:rPr>
            </w:pPr>
            <w:r w:rsidRPr="009F0882">
              <w:rPr>
                <w:sz w:val="20"/>
                <w:szCs w:val="20"/>
              </w:rPr>
              <w:lastRenderedPageBreak/>
              <w:t>5.1.5.5.</w:t>
            </w:r>
            <w:r w:rsidRPr="009F0882">
              <w:rPr>
                <w:sz w:val="20"/>
                <w:szCs w:val="20"/>
              </w:rPr>
              <w:tab/>
              <w:t>The ADS shall be able to anticipate and safely respond to foreseeable exits from the ODD of each feature.</w:t>
            </w:r>
          </w:p>
        </w:tc>
        <w:tc>
          <w:tcPr>
            <w:tcW w:w="4317" w:type="dxa"/>
          </w:tcPr>
          <w:p w14:paraId="6DC5130D" w14:textId="77777777" w:rsidR="009F0882" w:rsidRPr="009A3323" w:rsidRDefault="009F0882" w:rsidP="00996BBF">
            <w:pPr>
              <w:ind w:left="1008" w:hanging="1008"/>
              <w:rPr>
                <w:sz w:val="20"/>
                <w:szCs w:val="20"/>
              </w:rPr>
            </w:pPr>
          </w:p>
        </w:tc>
        <w:tc>
          <w:tcPr>
            <w:tcW w:w="4317" w:type="dxa"/>
          </w:tcPr>
          <w:p w14:paraId="3C78C3D2" w14:textId="77777777" w:rsidR="009F0882" w:rsidRPr="009A3323" w:rsidRDefault="009F0882">
            <w:pPr>
              <w:rPr>
                <w:sz w:val="20"/>
                <w:szCs w:val="20"/>
              </w:rPr>
            </w:pPr>
          </w:p>
        </w:tc>
      </w:tr>
      <w:tr w:rsidR="009F0882" w:rsidRPr="009A3323" w14:paraId="123F63FA" w14:textId="77777777" w:rsidTr="00030DC5">
        <w:tc>
          <w:tcPr>
            <w:tcW w:w="4316" w:type="dxa"/>
            <w:shd w:val="clear" w:color="auto" w:fill="FAE2D5" w:themeFill="accent2" w:themeFillTint="33"/>
          </w:tcPr>
          <w:p w14:paraId="7179F737" w14:textId="7DAB5DB8" w:rsidR="009F0882" w:rsidRPr="009F0882" w:rsidRDefault="009F0882" w:rsidP="00996BBF">
            <w:pPr>
              <w:ind w:left="1008" w:hanging="1008"/>
              <w:rPr>
                <w:sz w:val="20"/>
                <w:szCs w:val="20"/>
              </w:rPr>
            </w:pPr>
            <w:r w:rsidRPr="009F0882">
              <w:rPr>
                <w:sz w:val="20"/>
                <w:szCs w:val="20"/>
              </w:rPr>
              <w:t>5.1.6.</w:t>
            </w:r>
            <w:r w:rsidRPr="009F0882">
              <w:rPr>
                <w:sz w:val="20"/>
                <w:szCs w:val="20"/>
              </w:rPr>
              <w:tab/>
              <w:t>Mitigated Risk Condition Requirements</w:t>
            </w:r>
          </w:p>
        </w:tc>
        <w:tc>
          <w:tcPr>
            <w:tcW w:w="4317" w:type="dxa"/>
          </w:tcPr>
          <w:p w14:paraId="6F0DFA61" w14:textId="77777777" w:rsidR="009F0882" w:rsidRPr="009A3323" w:rsidRDefault="009F0882" w:rsidP="00996BBF">
            <w:pPr>
              <w:ind w:left="1008" w:hanging="1008"/>
              <w:rPr>
                <w:sz w:val="20"/>
                <w:szCs w:val="20"/>
              </w:rPr>
            </w:pPr>
          </w:p>
        </w:tc>
        <w:tc>
          <w:tcPr>
            <w:tcW w:w="4317" w:type="dxa"/>
          </w:tcPr>
          <w:p w14:paraId="064B4FC1" w14:textId="62E89D43" w:rsidR="009F0882" w:rsidRPr="00030DC5" w:rsidRDefault="00030DC5">
            <w:pPr>
              <w:rPr>
                <w:color w:val="0070C0"/>
                <w:sz w:val="20"/>
                <w:szCs w:val="20"/>
              </w:rPr>
            </w:pPr>
            <w:r w:rsidRPr="00030DC5">
              <w:rPr>
                <w:color w:val="0070C0"/>
                <w:sz w:val="20"/>
                <w:szCs w:val="20"/>
              </w:rPr>
              <w:t>Review: Does this section set requirements for the MRC (the criteria for determining whether the scenario outcome achieves a stopped stable condition that reduces the risk of a crash) or for fallbacks to an MRC (requirements for the safety of the fallback process to achieve the MRC)?</w:t>
            </w:r>
          </w:p>
        </w:tc>
      </w:tr>
      <w:tr w:rsidR="009F0882" w:rsidRPr="009A3323" w14:paraId="645342F3" w14:textId="77777777" w:rsidTr="005A693A">
        <w:tc>
          <w:tcPr>
            <w:tcW w:w="4316" w:type="dxa"/>
            <w:shd w:val="clear" w:color="auto" w:fill="FAE2D5" w:themeFill="accent2" w:themeFillTint="33"/>
          </w:tcPr>
          <w:p w14:paraId="4864AA95" w14:textId="173382E4" w:rsidR="009F0882" w:rsidRPr="009F0882" w:rsidRDefault="00030DC5" w:rsidP="00996BBF">
            <w:pPr>
              <w:ind w:left="1008" w:hanging="1008"/>
              <w:rPr>
                <w:sz w:val="20"/>
                <w:szCs w:val="20"/>
              </w:rPr>
            </w:pPr>
            <w:r w:rsidRPr="00030DC5">
              <w:rPr>
                <w:sz w:val="20"/>
                <w:szCs w:val="20"/>
              </w:rPr>
              <w:t>5.1.6.</w:t>
            </w:r>
            <w:r>
              <w:rPr>
                <w:sz w:val="20"/>
                <w:szCs w:val="20"/>
              </w:rPr>
              <w:t>1</w:t>
            </w:r>
            <w:r w:rsidRPr="00030DC5">
              <w:rPr>
                <w:sz w:val="20"/>
                <w:szCs w:val="20"/>
              </w:rPr>
              <w:t>.</w:t>
            </w:r>
            <w:r w:rsidRPr="00030DC5">
              <w:rPr>
                <w:sz w:val="20"/>
                <w:szCs w:val="20"/>
              </w:rPr>
              <w:tab/>
              <w:t>In an ADS vehicle that does not require the presence of a fallback user, the ADS fallback response shall be to place the vehicle in an MRC.</w:t>
            </w:r>
          </w:p>
        </w:tc>
        <w:tc>
          <w:tcPr>
            <w:tcW w:w="4317" w:type="dxa"/>
            <w:shd w:val="clear" w:color="auto" w:fill="FAE2D5" w:themeFill="accent2" w:themeFillTint="33"/>
          </w:tcPr>
          <w:p w14:paraId="58F0F117" w14:textId="543480CC" w:rsidR="009F0882" w:rsidRPr="009A3323" w:rsidRDefault="005A693A" w:rsidP="005A693A">
            <w:pPr>
              <w:ind w:left="1008" w:hanging="1008"/>
              <w:rPr>
                <w:sz w:val="20"/>
                <w:szCs w:val="20"/>
              </w:rPr>
            </w:pPr>
            <w:r w:rsidRPr="005A693A">
              <w:rPr>
                <w:sz w:val="20"/>
                <w:szCs w:val="20"/>
              </w:rPr>
              <w:t xml:space="preserve">5.1.6.1. </w:t>
            </w:r>
            <w:r>
              <w:rPr>
                <w:sz w:val="20"/>
                <w:szCs w:val="20"/>
              </w:rPr>
              <w:tab/>
            </w:r>
            <w:r w:rsidRPr="005A693A">
              <w:rPr>
                <w:sz w:val="20"/>
                <w:szCs w:val="20"/>
              </w:rPr>
              <w:t>For ADS features of type 2, the ADS</w:t>
            </w:r>
            <w:r>
              <w:rPr>
                <w:sz w:val="20"/>
                <w:szCs w:val="20"/>
              </w:rPr>
              <w:t xml:space="preserve"> f</w:t>
            </w:r>
            <w:r w:rsidRPr="005A693A">
              <w:rPr>
                <w:sz w:val="20"/>
                <w:szCs w:val="20"/>
              </w:rPr>
              <w:t>allback response shall be to place the vehicle in an</w:t>
            </w:r>
            <w:r>
              <w:rPr>
                <w:sz w:val="20"/>
                <w:szCs w:val="20"/>
              </w:rPr>
              <w:t xml:space="preserve"> </w:t>
            </w:r>
            <w:r w:rsidRPr="005A693A">
              <w:rPr>
                <w:sz w:val="20"/>
                <w:szCs w:val="20"/>
              </w:rPr>
              <w:t>MRC.</w:t>
            </w:r>
          </w:p>
        </w:tc>
        <w:tc>
          <w:tcPr>
            <w:tcW w:w="4317" w:type="dxa"/>
          </w:tcPr>
          <w:p w14:paraId="2E5DECD4" w14:textId="0793E8C2" w:rsidR="009F0882" w:rsidRPr="00030DC5" w:rsidRDefault="00030DC5">
            <w:pPr>
              <w:rPr>
                <w:color w:val="0070C0"/>
                <w:sz w:val="20"/>
                <w:szCs w:val="20"/>
              </w:rPr>
            </w:pPr>
            <w:r w:rsidRPr="005A693A">
              <w:rPr>
                <w:color w:val="BF4E14" w:themeColor="accent2" w:themeShade="BF"/>
                <w:sz w:val="20"/>
                <w:szCs w:val="20"/>
              </w:rPr>
              <w:t>Revise based on definition of terms for “ADS feature of type 1” and “…type 2”.</w:t>
            </w:r>
          </w:p>
        </w:tc>
      </w:tr>
      <w:tr w:rsidR="009F0882" w:rsidRPr="009A3323" w14:paraId="1900725E" w14:textId="77777777" w:rsidTr="005A693A">
        <w:tc>
          <w:tcPr>
            <w:tcW w:w="4316" w:type="dxa"/>
            <w:shd w:val="clear" w:color="auto" w:fill="FAE2D5" w:themeFill="accent2" w:themeFillTint="33"/>
          </w:tcPr>
          <w:p w14:paraId="489DCAF8" w14:textId="170CC004" w:rsidR="009F0882" w:rsidRPr="009F0882" w:rsidRDefault="00030DC5" w:rsidP="00996BBF">
            <w:pPr>
              <w:ind w:left="1008" w:hanging="1008"/>
              <w:rPr>
                <w:sz w:val="20"/>
                <w:szCs w:val="20"/>
              </w:rPr>
            </w:pPr>
            <w:r>
              <w:rPr>
                <w:sz w:val="20"/>
                <w:szCs w:val="20"/>
              </w:rPr>
              <w:t>5.1.6.2.</w:t>
            </w:r>
            <w:r>
              <w:rPr>
                <w:sz w:val="20"/>
                <w:szCs w:val="20"/>
              </w:rPr>
              <w:tab/>
            </w:r>
            <w:r w:rsidRPr="00030DC5">
              <w:rPr>
                <w:sz w:val="20"/>
                <w:szCs w:val="20"/>
              </w:rPr>
              <w:t>If it has not been possible to complete a system-initiated deactivation process, the ADS shall execute a fallback to an MRC.</w:t>
            </w:r>
          </w:p>
        </w:tc>
        <w:tc>
          <w:tcPr>
            <w:tcW w:w="4317" w:type="dxa"/>
            <w:shd w:val="clear" w:color="auto" w:fill="FAE2D5" w:themeFill="accent2" w:themeFillTint="33"/>
          </w:tcPr>
          <w:p w14:paraId="6880767D" w14:textId="7E1EB49D" w:rsidR="009F0882" w:rsidRPr="009A3323" w:rsidRDefault="005A693A" w:rsidP="00996BBF">
            <w:pPr>
              <w:ind w:left="1008" w:hanging="1008"/>
              <w:rPr>
                <w:sz w:val="20"/>
                <w:szCs w:val="20"/>
              </w:rPr>
            </w:pPr>
            <w:r w:rsidRPr="005A693A">
              <w:rPr>
                <w:sz w:val="20"/>
                <w:szCs w:val="20"/>
              </w:rPr>
              <w:t xml:space="preserve">5.1.6.2. </w:t>
            </w:r>
            <w:r>
              <w:rPr>
                <w:sz w:val="20"/>
                <w:szCs w:val="20"/>
              </w:rPr>
              <w:tab/>
            </w:r>
            <w:r w:rsidRPr="005A693A">
              <w:rPr>
                <w:sz w:val="20"/>
                <w:szCs w:val="20"/>
              </w:rPr>
              <w:t>For ADS feature of type 1, if it has not been possible to complete a system-initiated deactivation process, the ADS shall execute a fallback to an MRC.</w:t>
            </w:r>
          </w:p>
        </w:tc>
        <w:tc>
          <w:tcPr>
            <w:tcW w:w="4317" w:type="dxa"/>
          </w:tcPr>
          <w:p w14:paraId="234E96EB" w14:textId="0C0CFEEC" w:rsidR="009F0882" w:rsidRPr="009A3323" w:rsidRDefault="00B25DCA">
            <w:pPr>
              <w:rPr>
                <w:sz w:val="20"/>
                <w:szCs w:val="20"/>
              </w:rPr>
            </w:pPr>
            <w:r w:rsidRPr="005A693A">
              <w:rPr>
                <w:color w:val="BF4E14" w:themeColor="accent2" w:themeShade="BF"/>
                <w:sz w:val="20"/>
                <w:szCs w:val="20"/>
              </w:rPr>
              <w:t>Revise based on definition of terms for “ADS feature of type 1” and “…type 2”.</w:t>
            </w:r>
          </w:p>
        </w:tc>
      </w:tr>
      <w:tr w:rsidR="009F0882" w:rsidRPr="009A3323" w14:paraId="74E6D7A4" w14:textId="77777777" w:rsidTr="00B25DCA">
        <w:tc>
          <w:tcPr>
            <w:tcW w:w="4316" w:type="dxa"/>
            <w:shd w:val="clear" w:color="auto" w:fill="D9F2D0" w:themeFill="accent6" w:themeFillTint="33"/>
          </w:tcPr>
          <w:p w14:paraId="5D440ECB" w14:textId="15BEE1BD" w:rsidR="009F0882" w:rsidRPr="009F0882" w:rsidRDefault="00B25DCA" w:rsidP="00996BBF">
            <w:pPr>
              <w:ind w:left="1008" w:hanging="1008"/>
              <w:rPr>
                <w:sz w:val="20"/>
                <w:szCs w:val="20"/>
              </w:rPr>
            </w:pPr>
            <w:r w:rsidRPr="00B25DCA">
              <w:rPr>
                <w:sz w:val="20"/>
                <w:szCs w:val="20"/>
              </w:rPr>
              <w:t>5.1.6.4.</w:t>
            </w:r>
            <w:r w:rsidRPr="00B25DCA">
              <w:rPr>
                <w:sz w:val="20"/>
                <w:szCs w:val="20"/>
              </w:rPr>
              <w:tab/>
              <w:t>Upon completion of an ADS fallback to an MRC, a user may be permitted to assume control of the vehicle.</w:t>
            </w:r>
          </w:p>
        </w:tc>
        <w:tc>
          <w:tcPr>
            <w:tcW w:w="4317" w:type="dxa"/>
          </w:tcPr>
          <w:p w14:paraId="16F872E4" w14:textId="77777777" w:rsidR="009F0882" w:rsidRPr="009A3323" w:rsidRDefault="009F0882" w:rsidP="00996BBF">
            <w:pPr>
              <w:ind w:left="1008" w:hanging="1008"/>
              <w:rPr>
                <w:sz w:val="20"/>
                <w:szCs w:val="20"/>
              </w:rPr>
            </w:pPr>
          </w:p>
        </w:tc>
        <w:tc>
          <w:tcPr>
            <w:tcW w:w="4317" w:type="dxa"/>
          </w:tcPr>
          <w:p w14:paraId="545C52F1" w14:textId="77777777" w:rsidR="009F0882" w:rsidRPr="009A3323" w:rsidRDefault="009F0882">
            <w:pPr>
              <w:rPr>
                <w:sz w:val="20"/>
                <w:szCs w:val="20"/>
              </w:rPr>
            </w:pPr>
          </w:p>
        </w:tc>
      </w:tr>
    </w:tbl>
    <w:p w14:paraId="0D51B28F" w14:textId="77777777" w:rsidR="005A693A" w:rsidRDefault="005A693A"/>
    <w:tbl>
      <w:tblPr>
        <w:tblStyle w:val="TableGrid"/>
        <w:tblW w:w="0" w:type="auto"/>
        <w:tblLayout w:type="fixed"/>
        <w:tblCellMar>
          <w:top w:w="58" w:type="dxa"/>
          <w:left w:w="58" w:type="dxa"/>
          <w:bottom w:w="58" w:type="dxa"/>
          <w:right w:w="58" w:type="dxa"/>
        </w:tblCellMar>
        <w:tblLook w:val="04A0" w:firstRow="1" w:lastRow="0" w:firstColumn="1" w:lastColumn="0" w:noHBand="0" w:noVBand="1"/>
      </w:tblPr>
      <w:tblGrid>
        <w:gridCol w:w="4316"/>
        <w:gridCol w:w="4317"/>
        <w:gridCol w:w="4317"/>
      </w:tblGrid>
      <w:tr w:rsidR="005A693A" w:rsidRPr="009A3323" w14:paraId="7D620082" w14:textId="77777777" w:rsidTr="005A693A">
        <w:tc>
          <w:tcPr>
            <w:tcW w:w="4316" w:type="dxa"/>
            <w:shd w:val="clear" w:color="auto" w:fill="FAE2D5" w:themeFill="accent2" w:themeFillTint="33"/>
          </w:tcPr>
          <w:p w14:paraId="1556233A" w14:textId="41598E1D" w:rsidR="005A693A" w:rsidRPr="00B25DCA" w:rsidRDefault="005A693A" w:rsidP="00996BBF">
            <w:pPr>
              <w:ind w:left="1008" w:hanging="1008"/>
              <w:rPr>
                <w:sz w:val="20"/>
                <w:szCs w:val="20"/>
              </w:rPr>
            </w:pPr>
            <w:r>
              <w:rPr>
                <w:sz w:val="20"/>
                <w:szCs w:val="20"/>
              </w:rPr>
              <w:tab/>
            </w:r>
            <w:r w:rsidRPr="005A693A">
              <w:rPr>
                <w:sz w:val="20"/>
                <w:szCs w:val="20"/>
              </w:rPr>
              <w:t>The ADS shall be able to determine whether itself is unmanned when performing the DDT.</w:t>
            </w:r>
          </w:p>
        </w:tc>
        <w:tc>
          <w:tcPr>
            <w:tcW w:w="4317" w:type="dxa"/>
          </w:tcPr>
          <w:p w14:paraId="24921435" w14:textId="77777777" w:rsidR="005A693A" w:rsidRPr="009A3323" w:rsidRDefault="005A693A" w:rsidP="00996BBF">
            <w:pPr>
              <w:ind w:left="1008" w:hanging="1008"/>
              <w:rPr>
                <w:sz w:val="20"/>
                <w:szCs w:val="20"/>
              </w:rPr>
            </w:pPr>
          </w:p>
        </w:tc>
        <w:tc>
          <w:tcPr>
            <w:tcW w:w="4317" w:type="dxa"/>
          </w:tcPr>
          <w:p w14:paraId="131DE835" w14:textId="1B4052D5" w:rsidR="005A693A" w:rsidRPr="009A3323" w:rsidRDefault="005A693A">
            <w:pPr>
              <w:rPr>
                <w:sz w:val="20"/>
                <w:szCs w:val="20"/>
              </w:rPr>
            </w:pPr>
            <w:r w:rsidRPr="005A693A">
              <w:rPr>
                <w:sz w:val="20"/>
                <w:szCs w:val="20"/>
              </w:rPr>
              <w:t>German proposal made in August, has not had substantial discussion yet</w:t>
            </w:r>
            <w:r w:rsidR="007B0BCE">
              <w:rPr>
                <w:sz w:val="20"/>
                <w:szCs w:val="20"/>
              </w:rPr>
              <w:t>.</w:t>
            </w:r>
          </w:p>
        </w:tc>
      </w:tr>
      <w:tr w:rsidR="005A693A" w:rsidRPr="009A3323" w14:paraId="1FFE3C32" w14:textId="77777777" w:rsidTr="005A693A">
        <w:tc>
          <w:tcPr>
            <w:tcW w:w="4316" w:type="dxa"/>
            <w:shd w:val="clear" w:color="auto" w:fill="FAE2D5" w:themeFill="accent2" w:themeFillTint="33"/>
          </w:tcPr>
          <w:p w14:paraId="7E4D4EBE" w14:textId="59091A21" w:rsidR="005A693A" w:rsidRDefault="005A693A" w:rsidP="00996BBF">
            <w:pPr>
              <w:ind w:left="1008" w:hanging="1008"/>
              <w:rPr>
                <w:sz w:val="20"/>
                <w:szCs w:val="20"/>
              </w:rPr>
            </w:pPr>
            <w:r>
              <w:rPr>
                <w:sz w:val="20"/>
                <w:szCs w:val="20"/>
              </w:rPr>
              <w:tab/>
            </w:r>
            <w:r w:rsidRPr="005A693A">
              <w:rPr>
                <w:sz w:val="20"/>
                <w:szCs w:val="20"/>
              </w:rPr>
              <w:t>The ADS shall adapt its performance of the DDT in accordance if it is unmanned.</w:t>
            </w:r>
          </w:p>
        </w:tc>
        <w:tc>
          <w:tcPr>
            <w:tcW w:w="4317" w:type="dxa"/>
          </w:tcPr>
          <w:p w14:paraId="76D2D597" w14:textId="77777777" w:rsidR="005A693A" w:rsidRPr="009A3323" w:rsidRDefault="005A693A" w:rsidP="00996BBF">
            <w:pPr>
              <w:ind w:left="1008" w:hanging="1008"/>
              <w:rPr>
                <w:sz w:val="20"/>
                <w:szCs w:val="20"/>
              </w:rPr>
            </w:pPr>
          </w:p>
        </w:tc>
        <w:tc>
          <w:tcPr>
            <w:tcW w:w="4317" w:type="dxa"/>
          </w:tcPr>
          <w:p w14:paraId="11590AC1" w14:textId="09143121" w:rsidR="005A693A" w:rsidRPr="009A3323" w:rsidRDefault="007B0BCE">
            <w:pPr>
              <w:rPr>
                <w:sz w:val="20"/>
                <w:szCs w:val="20"/>
              </w:rPr>
            </w:pPr>
            <w:r w:rsidRPr="007B0BCE">
              <w:rPr>
                <w:sz w:val="20"/>
                <w:szCs w:val="20"/>
              </w:rPr>
              <w:t>German proposal made in August, has not had substantial discussion yet</w:t>
            </w:r>
            <w:r>
              <w:rPr>
                <w:sz w:val="20"/>
                <w:szCs w:val="20"/>
              </w:rPr>
              <w:t>.</w:t>
            </w:r>
          </w:p>
        </w:tc>
      </w:tr>
    </w:tbl>
    <w:p w14:paraId="70151918" w14:textId="21FC23D5" w:rsidR="00996BBF" w:rsidRPr="00996BBF" w:rsidRDefault="009F0882">
      <w:pPr>
        <w:rPr>
          <w:lang w:val="en-US"/>
        </w:rPr>
      </w:pPr>
      <w:r>
        <w:rPr>
          <w:lang w:val="en-US"/>
        </w:rPr>
        <w:tab/>
      </w:r>
      <w:r>
        <w:rPr>
          <w:lang w:val="en-US"/>
        </w:rPr>
        <w:tab/>
      </w:r>
    </w:p>
    <w:sectPr w:rsidR="00996BBF" w:rsidRPr="00996BBF" w:rsidSect="00996BB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63218" w14:textId="77777777" w:rsidR="000422D3" w:rsidRDefault="000422D3" w:rsidP="00C100BA">
      <w:pPr>
        <w:spacing w:after="0" w:line="240" w:lineRule="auto"/>
      </w:pPr>
      <w:r>
        <w:separator/>
      </w:r>
    </w:p>
  </w:endnote>
  <w:endnote w:type="continuationSeparator" w:id="0">
    <w:p w14:paraId="34EF9383" w14:textId="77777777" w:rsidR="000422D3" w:rsidRDefault="000422D3" w:rsidP="00C1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41BF" w14:textId="77777777" w:rsidR="005E1854" w:rsidRDefault="005E1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664C0" w14:textId="77777777" w:rsidR="005E1854" w:rsidRDefault="005E1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0699" w14:textId="77777777" w:rsidR="005E1854" w:rsidRDefault="005E1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D48FF" w14:textId="77777777" w:rsidR="000422D3" w:rsidRDefault="000422D3" w:rsidP="00C100BA">
      <w:pPr>
        <w:spacing w:after="0" w:line="240" w:lineRule="auto"/>
      </w:pPr>
      <w:r>
        <w:separator/>
      </w:r>
    </w:p>
  </w:footnote>
  <w:footnote w:type="continuationSeparator" w:id="0">
    <w:p w14:paraId="7FD4A8E1" w14:textId="77777777" w:rsidR="000422D3" w:rsidRDefault="000422D3" w:rsidP="00C100BA">
      <w:pPr>
        <w:spacing w:after="0" w:line="240" w:lineRule="auto"/>
      </w:pPr>
      <w:r>
        <w:continuationSeparator/>
      </w:r>
    </w:p>
  </w:footnote>
  <w:footnote w:id="1">
    <w:p w14:paraId="285EF991" w14:textId="5A7C5967" w:rsidR="00C100BA" w:rsidRPr="00C100BA" w:rsidRDefault="00C100BA" w:rsidP="00C100BA">
      <w:pPr>
        <w:pStyle w:val="footnote"/>
        <w:rPr>
          <w:lang w:val="en-US"/>
        </w:rPr>
      </w:pPr>
      <w:r>
        <w:rPr>
          <w:rStyle w:val="FootnoteReference"/>
        </w:rPr>
        <w:footnoteRef/>
      </w:r>
      <w:r>
        <w:t xml:space="preserve"> Para. 5.2.4.1.: “</w:t>
      </w:r>
      <w:r w:rsidRPr="00C100BA">
        <w:t>The ADS shall provide the passenger(s) with means to request to stop the vehicle.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5FC8" w14:textId="77777777" w:rsidR="005E1854" w:rsidRDefault="005E1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9F4A" w14:textId="161693E2" w:rsidR="005E1854" w:rsidRPr="005E1854" w:rsidRDefault="005E1854" w:rsidP="005E1854">
    <w:pPr>
      <w:pStyle w:val="Header"/>
      <w:tabs>
        <w:tab w:val="clear" w:pos="9026"/>
        <w:tab w:val="right" w:pos="12870"/>
      </w:tabs>
      <w:rPr>
        <w:lang w:val="en-US"/>
      </w:rPr>
    </w:pPr>
    <w:r w:rsidRPr="005E1854">
      <w:rPr>
        <w:lang w:val="en-US"/>
      </w:rPr>
      <w:t>Prepared by the ADS IWG secretary</w:t>
    </w:r>
    <w:r w:rsidRPr="005E1854">
      <w:rPr>
        <w:lang w:val="en-US"/>
      </w:rPr>
      <w:tab/>
    </w:r>
    <w:r w:rsidRPr="005E1854">
      <w:rPr>
        <w:lang w:val="en-US"/>
      </w:rPr>
      <w:tab/>
      <w:t>Document ADS-08-04/Rev.1/Add.</w:t>
    </w:r>
    <w:r>
      <w:rPr>
        <w:lang w:val="en-US"/>
      </w:rPr>
      <w:t>2</w:t>
    </w:r>
  </w:p>
  <w:p w14:paraId="16B9C21C" w14:textId="77777777" w:rsidR="005E1854" w:rsidRPr="005E1854" w:rsidRDefault="005E1854" w:rsidP="005E1854">
    <w:pPr>
      <w:pStyle w:val="Header"/>
      <w:tabs>
        <w:tab w:val="clear" w:pos="9026"/>
        <w:tab w:val="right" w:pos="12870"/>
      </w:tabs>
      <w:rPr>
        <w:lang w:val="en-US"/>
      </w:rPr>
    </w:pPr>
    <w:r w:rsidRPr="005E1854">
      <w:rPr>
        <w:lang w:val="en-US"/>
      </w:rPr>
      <w:tab/>
    </w:r>
    <w:r w:rsidRPr="005E1854">
      <w:rPr>
        <w:lang w:val="en-US"/>
      </w:rPr>
      <w:tab/>
      <w:t>8</w:t>
    </w:r>
    <w:r w:rsidRPr="005E1854">
      <w:rPr>
        <w:vertAlign w:val="superscript"/>
        <w:lang w:val="en-US"/>
      </w:rPr>
      <w:t>th</w:t>
    </w:r>
    <w:r w:rsidRPr="005E1854">
      <w:rPr>
        <w:lang w:val="en-US"/>
      </w:rPr>
      <w:t xml:space="preserve"> ADS IWG session</w:t>
    </w:r>
  </w:p>
  <w:p w14:paraId="6F58790C" w14:textId="77777777" w:rsidR="005E1854" w:rsidRPr="005E1854" w:rsidRDefault="005E1854" w:rsidP="005E1854">
    <w:pPr>
      <w:pStyle w:val="Header"/>
      <w:tabs>
        <w:tab w:val="clear" w:pos="9026"/>
        <w:tab w:val="right" w:pos="12870"/>
      </w:tabs>
      <w:rPr>
        <w:lang w:val="en-US"/>
      </w:rPr>
    </w:pPr>
    <w:r w:rsidRPr="005E1854">
      <w:rPr>
        <w:lang w:val="en-US"/>
      </w:rPr>
      <w:tab/>
    </w:r>
    <w:r w:rsidRPr="005E1854">
      <w:rPr>
        <w:lang w:val="en-US"/>
      </w:rPr>
      <w:tab/>
      <w:t>14-18 April 2025</w:t>
    </w:r>
  </w:p>
  <w:p w14:paraId="326796AC" w14:textId="77777777" w:rsidR="005E1854" w:rsidRDefault="005E1854" w:rsidP="005E1854">
    <w:pPr>
      <w:pStyle w:val="Header"/>
      <w:tabs>
        <w:tab w:val="clear" w:pos="9026"/>
        <w:tab w:val="right" w:pos="128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94473" w14:textId="77777777" w:rsidR="005E1854" w:rsidRDefault="005E1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636370">
    <w:abstractNumId w:val="1"/>
  </w:num>
  <w:num w:numId="2" w16cid:durableId="2083943190">
    <w:abstractNumId w:val="0"/>
  </w:num>
  <w:num w:numId="3" w16cid:durableId="826358993">
    <w:abstractNumId w:val="0"/>
  </w:num>
  <w:num w:numId="4" w16cid:durableId="1993020458">
    <w:abstractNumId w:val="0"/>
  </w:num>
  <w:num w:numId="5" w16cid:durableId="9249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BF"/>
    <w:rsid w:val="000149BA"/>
    <w:rsid w:val="00030DC5"/>
    <w:rsid w:val="000422D3"/>
    <w:rsid w:val="000E616A"/>
    <w:rsid w:val="00136379"/>
    <w:rsid w:val="00142370"/>
    <w:rsid w:val="00156494"/>
    <w:rsid w:val="0015676B"/>
    <w:rsid w:val="00176A88"/>
    <w:rsid w:val="0041564F"/>
    <w:rsid w:val="004E4A62"/>
    <w:rsid w:val="0056046C"/>
    <w:rsid w:val="00564E1E"/>
    <w:rsid w:val="005937B3"/>
    <w:rsid w:val="005A693A"/>
    <w:rsid w:val="005E1854"/>
    <w:rsid w:val="006267E5"/>
    <w:rsid w:val="00646A6B"/>
    <w:rsid w:val="00740A2F"/>
    <w:rsid w:val="00782156"/>
    <w:rsid w:val="007B0BCE"/>
    <w:rsid w:val="00922D24"/>
    <w:rsid w:val="009471AD"/>
    <w:rsid w:val="00996BBF"/>
    <w:rsid w:val="009A3323"/>
    <w:rsid w:val="009D7C5C"/>
    <w:rsid w:val="009F0882"/>
    <w:rsid w:val="00A27445"/>
    <w:rsid w:val="00B25DCA"/>
    <w:rsid w:val="00C100BA"/>
    <w:rsid w:val="00CD3E56"/>
    <w:rsid w:val="00D73DCC"/>
    <w:rsid w:val="00EE55D6"/>
    <w:rsid w:val="00F13D8C"/>
    <w:rsid w:val="00F15342"/>
    <w:rsid w:val="00F35ACF"/>
    <w:rsid w:val="00F43EAA"/>
    <w:rsid w:val="00F46F4E"/>
    <w:rsid w:val="00F73125"/>
    <w:rsid w:val="00F9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1093"/>
  <w15:chartTrackingRefBased/>
  <w15:docId w15:val="{6C5295B2-1378-4D8C-85B5-D9634593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62"/>
    <w:rPr>
      <w:lang w:val="en-GB"/>
    </w:rPr>
  </w:style>
  <w:style w:type="paragraph" w:styleId="Heading1">
    <w:name w:val="heading 1"/>
    <w:basedOn w:val="Normal"/>
    <w:next w:val="Normal"/>
    <w:link w:val="Heading1Char"/>
    <w:uiPriority w:val="9"/>
    <w:qFormat/>
    <w:rsid w:val="00996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B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B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6B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6B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6B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6B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6B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style>
  <w:style w:type="paragraph" w:styleId="ListParagraph">
    <w:name w:val="List Paragraph"/>
    <w:basedOn w:val="Normal"/>
    <w:uiPriority w:val="34"/>
    <w:qFormat/>
    <w:rsid w:val="004E4A62"/>
    <w:pPr>
      <w:numPr>
        <w:numId w:val="5"/>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style>
  <w:style w:type="paragraph" w:customStyle="1" w:styleId="footnote">
    <w:name w:val="footnote"/>
    <w:basedOn w:val="FootnoteText"/>
    <w:link w:val="footnoteChar"/>
    <w:qFormat/>
    <w:rsid w:val="004E4A62"/>
    <w:pPr>
      <w:ind w:left="187" w:hanging="187"/>
    </w:pPr>
  </w:style>
  <w:style w:type="character" w:customStyle="1" w:styleId="footnoteChar">
    <w:name w:val="footnote Char"/>
    <w:basedOn w:val="FootnoteTextChar"/>
    <w:link w:val="footnote"/>
    <w:rsid w:val="004E4A62"/>
    <w:rPr>
      <w:sz w:val="20"/>
      <w:szCs w:val="20"/>
    </w:rPr>
  </w:style>
  <w:style w:type="paragraph" w:styleId="FootnoteText">
    <w:name w:val="footnote text"/>
    <w:basedOn w:val="Normal"/>
    <w:link w:val="FootnoteTextChar"/>
    <w:uiPriority w:val="99"/>
    <w:semiHidden/>
    <w:unhideWhenUsed/>
    <w:rsid w:val="004E4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A62"/>
    <w:rPr>
      <w:sz w:val="20"/>
      <w:szCs w:val="20"/>
    </w:rPr>
  </w:style>
  <w:style w:type="character" w:customStyle="1" w:styleId="Heading1Char">
    <w:name w:val="Heading 1 Char"/>
    <w:basedOn w:val="DefaultParagraphFont"/>
    <w:link w:val="Heading1"/>
    <w:uiPriority w:val="9"/>
    <w:rsid w:val="00996BB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96BB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96BBF"/>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96BBF"/>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96BBF"/>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996BBF"/>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96BBF"/>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996BBF"/>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96BBF"/>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996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BB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96B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BBF"/>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96BBF"/>
    <w:pPr>
      <w:spacing w:before="160"/>
      <w:jc w:val="center"/>
    </w:pPr>
    <w:rPr>
      <w:i/>
      <w:iCs/>
      <w:color w:val="404040" w:themeColor="text1" w:themeTint="BF"/>
    </w:rPr>
  </w:style>
  <w:style w:type="character" w:customStyle="1" w:styleId="QuoteChar">
    <w:name w:val="Quote Char"/>
    <w:basedOn w:val="DefaultParagraphFont"/>
    <w:link w:val="Quote"/>
    <w:uiPriority w:val="29"/>
    <w:rsid w:val="00996BBF"/>
    <w:rPr>
      <w:i/>
      <w:iCs/>
      <w:color w:val="404040" w:themeColor="text1" w:themeTint="BF"/>
      <w:lang w:val="en-GB"/>
    </w:rPr>
  </w:style>
  <w:style w:type="character" w:styleId="IntenseEmphasis">
    <w:name w:val="Intense Emphasis"/>
    <w:basedOn w:val="DefaultParagraphFont"/>
    <w:uiPriority w:val="21"/>
    <w:qFormat/>
    <w:rsid w:val="00996BBF"/>
    <w:rPr>
      <w:i/>
      <w:iCs/>
      <w:color w:val="0F4761" w:themeColor="accent1" w:themeShade="BF"/>
    </w:rPr>
  </w:style>
  <w:style w:type="paragraph" w:styleId="IntenseQuote">
    <w:name w:val="Intense Quote"/>
    <w:basedOn w:val="Normal"/>
    <w:next w:val="Normal"/>
    <w:link w:val="IntenseQuoteChar"/>
    <w:uiPriority w:val="30"/>
    <w:qFormat/>
    <w:rsid w:val="00996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BBF"/>
    <w:rPr>
      <w:i/>
      <w:iCs/>
      <w:color w:val="0F4761" w:themeColor="accent1" w:themeShade="BF"/>
      <w:lang w:val="en-GB"/>
    </w:rPr>
  </w:style>
  <w:style w:type="character" w:styleId="IntenseReference">
    <w:name w:val="Intense Reference"/>
    <w:basedOn w:val="DefaultParagraphFont"/>
    <w:uiPriority w:val="32"/>
    <w:qFormat/>
    <w:rsid w:val="00996BBF"/>
    <w:rPr>
      <w:b/>
      <w:bCs/>
      <w:smallCaps/>
      <w:color w:val="0F4761" w:themeColor="accent1" w:themeShade="BF"/>
      <w:spacing w:val="5"/>
    </w:rPr>
  </w:style>
  <w:style w:type="table" w:styleId="TableGrid">
    <w:name w:val="Table Grid"/>
    <w:basedOn w:val="TableNormal"/>
    <w:uiPriority w:val="39"/>
    <w:rsid w:val="0099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100BA"/>
    <w:rPr>
      <w:vertAlign w:val="superscript"/>
    </w:rPr>
  </w:style>
  <w:style w:type="paragraph" w:styleId="Header">
    <w:name w:val="header"/>
    <w:basedOn w:val="Normal"/>
    <w:link w:val="HeaderChar"/>
    <w:uiPriority w:val="99"/>
    <w:unhideWhenUsed/>
    <w:rsid w:val="005E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854"/>
    <w:rPr>
      <w:lang w:val="en-GB"/>
    </w:rPr>
  </w:style>
  <w:style w:type="paragraph" w:styleId="Footer">
    <w:name w:val="footer"/>
    <w:basedOn w:val="Normal"/>
    <w:link w:val="FooterChar"/>
    <w:uiPriority w:val="99"/>
    <w:unhideWhenUsed/>
    <w:rsid w:val="005E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85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137">
      <w:bodyDiv w:val="1"/>
      <w:marLeft w:val="0"/>
      <w:marRight w:val="0"/>
      <w:marTop w:val="0"/>
      <w:marBottom w:val="0"/>
      <w:divBdr>
        <w:top w:val="none" w:sz="0" w:space="0" w:color="auto"/>
        <w:left w:val="none" w:sz="0" w:space="0" w:color="auto"/>
        <w:bottom w:val="none" w:sz="0" w:space="0" w:color="auto"/>
        <w:right w:val="none" w:sz="0" w:space="0" w:color="auto"/>
      </w:divBdr>
    </w:div>
    <w:div w:id="1095444703">
      <w:bodyDiv w:val="1"/>
      <w:marLeft w:val="0"/>
      <w:marRight w:val="0"/>
      <w:marTop w:val="0"/>
      <w:marBottom w:val="0"/>
      <w:divBdr>
        <w:top w:val="none" w:sz="0" w:space="0" w:color="auto"/>
        <w:left w:val="none" w:sz="0" w:space="0" w:color="auto"/>
        <w:bottom w:val="none" w:sz="0" w:space="0" w:color="auto"/>
        <w:right w:val="none" w:sz="0" w:space="0" w:color="auto"/>
      </w:divBdr>
    </w:div>
    <w:div w:id="1182553697">
      <w:bodyDiv w:val="1"/>
      <w:marLeft w:val="0"/>
      <w:marRight w:val="0"/>
      <w:marTop w:val="0"/>
      <w:marBottom w:val="0"/>
      <w:divBdr>
        <w:top w:val="none" w:sz="0" w:space="0" w:color="auto"/>
        <w:left w:val="none" w:sz="0" w:space="0" w:color="auto"/>
        <w:bottom w:val="none" w:sz="0" w:space="0" w:color="auto"/>
        <w:right w:val="none" w:sz="0" w:space="0" w:color="auto"/>
      </w:divBdr>
    </w:div>
    <w:div w:id="1936747628">
      <w:bodyDiv w:val="1"/>
      <w:marLeft w:val="0"/>
      <w:marRight w:val="0"/>
      <w:marTop w:val="0"/>
      <w:marBottom w:val="0"/>
      <w:divBdr>
        <w:top w:val="none" w:sz="0" w:space="0" w:color="auto"/>
        <w:left w:val="none" w:sz="0" w:space="0" w:color="auto"/>
        <w:bottom w:val="none" w:sz="0" w:space="0" w:color="auto"/>
        <w:right w:val="none" w:sz="0" w:space="0" w:color="auto"/>
      </w:divBdr>
    </w:div>
    <w:div w:id="208125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B8C71-A43E-4793-A9C5-32AC0919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7</cp:revision>
  <dcterms:created xsi:type="dcterms:W3CDTF">2025-03-22T06:40:00Z</dcterms:created>
  <dcterms:modified xsi:type="dcterms:W3CDTF">2025-04-10T15:59:00Z</dcterms:modified>
</cp:coreProperties>
</file>