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731AD0B6" w:rsidR="00ED7F18" w:rsidRDefault="00ED7F18" w:rsidP="00ED7F18">
      <w:pPr>
        <w:pStyle w:val="HChG"/>
      </w:pPr>
      <w:r w:rsidRPr="00ED2B0E">
        <w:tab/>
      </w:r>
      <w:r w:rsidRPr="00ED2B0E">
        <w:tab/>
      </w:r>
      <w:r w:rsidR="00E61EA2" w:rsidRPr="00E61EA2">
        <w:t xml:space="preserve">Proposal for a </w:t>
      </w:r>
      <w:r w:rsidR="00E61EA2">
        <w:t>c</w:t>
      </w:r>
      <w:r w:rsidR="00E61EA2" w:rsidRPr="00E61EA2">
        <w:t xml:space="preserve">orrigendum 2 to the original series of </w:t>
      </w:r>
      <w:r w:rsidR="00A23E00">
        <w:t>a</w:t>
      </w:r>
      <w:r w:rsidR="00E61EA2" w:rsidRPr="00E61EA2">
        <w:t>mendments to UN Regulation No. 145 (</w:t>
      </w:r>
      <w:r w:rsidR="00473BCE" w:rsidRPr="00223262">
        <w:rPr>
          <w:bCs/>
        </w:rPr>
        <w:t>ISOFIX anchorage systems, ISOFIX top tether anchorages and i-Size seating positions</w:t>
      </w:r>
      <w:r w:rsidR="00E61EA2" w:rsidRPr="00E61EA2">
        <w:t>)</w:t>
      </w:r>
    </w:p>
    <w:p w14:paraId="5187C4B5" w14:textId="5B61EC30" w:rsidR="00917FFB" w:rsidRDefault="00917FFB" w:rsidP="00531173">
      <w:pPr>
        <w:pStyle w:val="SingleTxtG"/>
        <w:rPr>
          <w:color w:val="000000" w:themeColor="text1"/>
        </w:rPr>
      </w:pPr>
      <w:r w:rsidRPr="00EF4BCC">
        <w:rPr>
          <w:color w:val="000000" w:themeColor="text1"/>
        </w:rPr>
        <w:t xml:space="preserve">The text reproduced below was prepared by the experts from Republic of Korea aiming to correct a typo in the original series of </w:t>
      </w:r>
      <w:r w:rsidR="005760CB">
        <w:rPr>
          <w:color w:val="000000" w:themeColor="text1"/>
        </w:rPr>
        <w:t>a</w:t>
      </w:r>
      <w:r w:rsidRPr="00EF4BCC">
        <w:rPr>
          <w:color w:val="000000" w:themeColor="text1"/>
        </w:rPr>
        <w:t xml:space="preserve">mendments to UN Regulation No. 145. </w:t>
      </w:r>
      <w:r w:rsidRPr="00EF4BCC">
        <w:rPr>
          <w:color w:val="000000" w:themeColor="text1"/>
        </w:rPr>
        <w:br/>
        <w:t>The modifications are marked in bold for new and strikethrough for deleted characters.</w:t>
      </w:r>
    </w:p>
    <w:p w14:paraId="37CBB239" w14:textId="1F010F66" w:rsidR="005760CB" w:rsidRPr="00831D3D" w:rsidRDefault="00831D3D" w:rsidP="00831D3D">
      <w:pPr>
        <w:pStyle w:val="HChG"/>
      </w:pPr>
      <w:r>
        <w:tab/>
        <w:t>I.</w:t>
      </w:r>
      <w:r>
        <w:tab/>
      </w:r>
      <w:r w:rsidR="005760CB" w:rsidRPr="00831D3D">
        <w:t>Proposal</w:t>
      </w:r>
    </w:p>
    <w:p w14:paraId="1C811717" w14:textId="77777777" w:rsidR="005760CB" w:rsidRPr="00B66079" w:rsidRDefault="005760CB" w:rsidP="00831D3D">
      <w:pPr>
        <w:pStyle w:val="SingleTxtG"/>
      </w:pPr>
      <w:r w:rsidRPr="00831D3D">
        <w:rPr>
          <w:i/>
          <w:iCs/>
        </w:rPr>
        <w:t>Paragraph 6.2.5.1.,</w:t>
      </w:r>
      <w:r w:rsidRPr="00B66079">
        <w:t xml:space="preserve"> amend to read:</w:t>
      </w:r>
    </w:p>
    <w:p w14:paraId="30B57C55" w14:textId="2450C820" w:rsidR="005760CB" w:rsidRPr="00831D3D" w:rsidRDefault="00B46509" w:rsidP="00831D3D">
      <w:pPr>
        <w:pStyle w:val="SingleTxtG"/>
        <w:tabs>
          <w:tab w:val="clear" w:pos="1701"/>
          <w:tab w:val="clear" w:pos="2268"/>
          <w:tab w:val="clear" w:pos="2835"/>
        </w:tabs>
        <w:ind w:left="2268" w:hanging="1134"/>
      </w:pPr>
      <w:r>
        <w:t>“</w:t>
      </w:r>
      <w:r w:rsidR="005760CB" w:rsidRPr="00831D3D">
        <w:rPr>
          <w:rFonts w:hint="eastAsia"/>
        </w:rPr>
        <w:t>6.2.5.1.</w:t>
      </w:r>
      <w:r w:rsidR="005760CB" w:rsidRPr="00831D3D">
        <w:rPr>
          <w:rFonts w:hint="eastAsia"/>
        </w:rPr>
        <w:tab/>
      </w:r>
      <w:r w:rsidR="005760CB" w:rsidRPr="00831D3D">
        <w:t>Seat inertia forces.</w:t>
      </w:r>
    </w:p>
    <w:p w14:paraId="3D6F9B73" w14:textId="116ECD95"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For the installation position where the load is transferred into a vehicle seat assembly, and not directly into the vehicle structure, a test shall be carried out to ensure that the strength of the vehicle seat anchorages to the vehicle structure is sufficient. In this test, a force equal to 20 times the mass of the relevant parts of the seat assembly shall be applied horizontally and longitudinally in a forward direction to the seat or the relevant part of the seat assembly corresponding to the physical effect of the mass of the seat in question to the seat anchorages. The determination of the additional applied load or loads and the load distribution shall be made by the manufacturer and agreed by the Technical Service. </w:t>
      </w:r>
    </w:p>
    <w:p w14:paraId="7DAB6B0F" w14:textId="62D18DA4" w:rsidR="005760CB" w:rsidRPr="00831D3D" w:rsidRDefault="00831D3D" w:rsidP="00831D3D">
      <w:pPr>
        <w:pStyle w:val="SingleTxtG"/>
        <w:tabs>
          <w:tab w:val="clear" w:pos="1701"/>
          <w:tab w:val="clear" w:pos="2268"/>
          <w:tab w:val="clear" w:pos="2835"/>
        </w:tabs>
        <w:ind w:left="2268" w:hanging="1134"/>
      </w:pPr>
      <w:r>
        <w:tab/>
      </w:r>
      <w:r w:rsidR="005760CB" w:rsidRPr="00831D3D">
        <w:t>At the request of the manufacturer, the additional load can be applied at the X point of SFAD during the static tests described above.</w:t>
      </w:r>
    </w:p>
    <w:p w14:paraId="343707F3" w14:textId="1C33B57B" w:rsidR="005760CB" w:rsidRPr="00831D3D" w:rsidRDefault="00831D3D" w:rsidP="00831D3D">
      <w:pPr>
        <w:pStyle w:val="SingleTxtG"/>
        <w:tabs>
          <w:tab w:val="clear" w:pos="1701"/>
          <w:tab w:val="clear" w:pos="2268"/>
          <w:tab w:val="clear" w:pos="2835"/>
        </w:tabs>
        <w:ind w:left="2268" w:hanging="1134"/>
      </w:pPr>
      <w:r>
        <w:tab/>
      </w:r>
      <w:r w:rsidR="005760CB" w:rsidRPr="00831D3D">
        <w:t>If the top tether anchorage is integrated to the vehicle seat, this test shall be performed with the ISOFIX top tether strap.</w:t>
      </w:r>
    </w:p>
    <w:p w14:paraId="3E38C587" w14:textId="06C5EE8D"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No breakage shall occur and excursion requirements given in the Table 2 have to be fulfilled. </w:t>
      </w:r>
    </w:p>
    <w:p w14:paraId="22FE9420" w14:textId="6243449D" w:rsidR="005760CB" w:rsidRPr="00831D3D" w:rsidRDefault="00831D3D" w:rsidP="00831D3D">
      <w:pPr>
        <w:pStyle w:val="SingleTxtG"/>
        <w:tabs>
          <w:tab w:val="clear" w:pos="1701"/>
          <w:tab w:val="clear" w:pos="2268"/>
          <w:tab w:val="clear" w:pos="2835"/>
        </w:tabs>
        <w:ind w:left="2268" w:hanging="1134"/>
      </w:pPr>
      <w:r>
        <w:tab/>
      </w:r>
      <w:r w:rsidR="005760CB" w:rsidRPr="00831D3D">
        <w:rPr>
          <w:i/>
          <w:iCs/>
        </w:rPr>
        <w:t>Note:</w:t>
      </w:r>
      <w:r w:rsidR="005760CB" w:rsidRPr="00831D3D">
        <w:t xml:space="preserve"> This test does not have to be performed in case of any anchorage of the vehicle safety-belt system is integrated to the vehicle seat structure, and the vehicle seat is already tested and approved to meet the anchorage load tests required by </w:t>
      </w:r>
      <w:r w:rsidR="005760CB" w:rsidRPr="00831D3D">
        <w:rPr>
          <w:b/>
          <w:bCs/>
        </w:rPr>
        <w:t>UN Regulation No. 14</w:t>
      </w:r>
      <w:r w:rsidR="000529F4">
        <w:rPr>
          <w:b/>
          <w:bCs/>
        </w:rPr>
        <w:t>, 08 series of amendments or later,</w:t>
      </w:r>
      <w:r w:rsidR="005760CB" w:rsidRPr="00831D3D">
        <w:t xml:space="preserve"> </w:t>
      </w:r>
      <w:r w:rsidR="005760CB" w:rsidRPr="00831D3D">
        <w:rPr>
          <w:strike/>
        </w:rPr>
        <w:t>this Regulation</w:t>
      </w:r>
      <w:r w:rsidR="005760CB" w:rsidRPr="00831D3D">
        <w:t xml:space="preserve"> for adult passenger restraint.</w:t>
      </w:r>
      <w:r w:rsidR="00B46509">
        <w:t>”</w:t>
      </w:r>
    </w:p>
    <w:p w14:paraId="3A5EC8F6" w14:textId="77777777" w:rsidR="005760CB" w:rsidRPr="0079666C" w:rsidRDefault="005760CB" w:rsidP="00831D3D">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rsidRPr="0079666C">
        <w:t>Justification</w:t>
      </w:r>
    </w:p>
    <w:p w14:paraId="615047C0" w14:textId="79E9E33E" w:rsidR="005760CB" w:rsidRPr="00831D3D" w:rsidRDefault="00831D3D" w:rsidP="00831D3D">
      <w:pPr>
        <w:pStyle w:val="SingleTxtG"/>
      </w:pPr>
      <w:r>
        <w:t>1.</w:t>
      </w:r>
      <w:r>
        <w:tab/>
      </w:r>
      <w:r w:rsidR="005760CB" w:rsidRPr="00831D3D">
        <w:t xml:space="preserve">The purpose of the proposed amendment is to correct an </w:t>
      </w:r>
      <w:r w:rsidR="005760CB" w:rsidRPr="00831D3D">
        <w:rPr>
          <w:rFonts w:hint="eastAsia"/>
        </w:rPr>
        <w:t xml:space="preserve">editorial </w:t>
      </w:r>
      <w:r w:rsidR="005760CB" w:rsidRPr="00831D3D">
        <w:t>error. The regulation requiring anchorage load tests for adult passenger restraint is not UN Regulation No.145 but UN Regulation No.14. Therefore, “this Regulation” in the note of this paragraph must be “UN Regulation No.14</w:t>
      </w:r>
      <w:r w:rsidR="00F41D3E">
        <w:t>”</w:t>
      </w:r>
      <w:r w:rsidR="005760CB" w:rsidRPr="00831D3D">
        <w:t>.</w:t>
      </w:r>
    </w:p>
    <w:p w14:paraId="592D294E" w14:textId="55907B4F" w:rsidR="00C2074A" w:rsidRPr="00831D3D" w:rsidRDefault="00831D3D" w:rsidP="00831D3D">
      <w:pPr>
        <w:pStyle w:val="SingleTxtG"/>
      </w:pPr>
      <w:r>
        <w:t>2.</w:t>
      </w:r>
      <w:r>
        <w:tab/>
      </w:r>
      <w:r w:rsidR="005760CB" w:rsidRPr="00831D3D">
        <w:t xml:space="preserve">The proposal is made as a </w:t>
      </w:r>
      <w:r w:rsidR="0077422D">
        <w:t>c</w:t>
      </w:r>
      <w:r w:rsidR="005760CB" w:rsidRPr="00831D3D">
        <w:t>orrigendum, to make sure that the exception to the additional load test for the installation position where the ISOFIX load is transferred into a vehicle seat assembly rather than the vehicle structure is applied correctly.</w:t>
      </w:r>
    </w:p>
    <w:p w14:paraId="7732544E" w14:textId="41DAD699" w:rsidR="00657764" w:rsidRPr="00DE6AD4" w:rsidRDefault="00DE6AD4" w:rsidP="00DE6AD4">
      <w:pPr>
        <w:spacing w:before="240"/>
        <w:jc w:val="center"/>
        <w:rPr>
          <w:u w:val="single"/>
        </w:rPr>
      </w:pPr>
      <w:r>
        <w:rPr>
          <w:u w:val="single"/>
        </w:rPr>
        <w:tab/>
      </w:r>
      <w:r>
        <w:rPr>
          <w:u w:val="single"/>
        </w:rPr>
        <w:tab/>
      </w:r>
      <w:r>
        <w:rPr>
          <w:u w:val="single"/>
        </w:rPr>
        <w:tab/>
      </w:r>
    </w:p>
    <w:sectPr w:rsidR="00657764" w:rsidRPr="00DE6AD4"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0C70" w14:textId="77777777" w:rsidR="00B26596" w:rsidRDefault="00B26596"/>
  </w:endnote>
  <w:endnote w:type="continuationSeparator" w:id="0">
    <w:p w14:paraId="6AED5183" w14:textId="77777777" w:rsidR="00B26596" w:rsidRDefault="00B26596"/>
  </w:endnote>
  <w:endnote w:type="continuationNotice" w:id="1">
    <w:p w14:paraId="623023F8" w14:textId="77777777" w:rsidR="00B26596" w:rsidRDefault="00B2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769F" w14:textId="77777777" w:rsidR="00B26596" w:rsidRPr="000B175B" w:rsidRDefault="00B26596" w:rsidP="000B175B">
      <w:pPr>
        <w:tabs>
          <w:tab w:val="right" w:pos="2155"/>
        </w:tabs>
        <w:spacing w:after="80"/>
        <w:ind w:left="680"/>
        <w:rPr>
          <w:u w:val="single"/>
        </w:rPr>
      </w:pPr>
      <w:r>
        <w:rPr>
          <w:u w:val="single"/>
        </w:rPr>
        <w:tab/>
      </w:r>
    </w:p>
  </w:footnote>
  <w:footnote w:type="continuationSeparator" w:id="0">
    <w:p w14:paraId="122B9147" w14:textId="77777777" w:rsidR="00B26596" w:rsidRPr="00FC68B7" w:rsidRDefault="00B26596" w:rsidP="00FC68B7">
      <w:pPr>
        <w:tabs>
          <w:tab w:val="left" w:pos="2155"/>
        </w:tabs>
        <w:spacing w:after="80"/>
        <w:ind w:left="680"/>
        <w:rPr>
          <w:u w:val="single"/>
        </w:rPr>
      </w:pPr>
      <w:r>
        <w:rPr>
          <w:u w:val="single"/>
        </w:rPr>
        <w:tab/>
      </w:r>
    </w:p>
  </w:footnote>
  <w:footnote w:type="continuationNotice" w:id="1">
    <w:p w14:paraId="08B4A61C" w14:textId="77777777" w:rsidR="00B26596" w:rsidRDefault="00B26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C726" w14:textId="485E7805" w:rsidR="007053F0" w:rsidRPr="007053F0" w:rsidRDefault="00BB4BFD" w:rsidP="007053F0">
    <w:pPr>
      <w:pStyle w:val="Header"/>
      <w:tabs>
        <w:tab w:val="right" w:pos="9639"/>
      </w:tabs>
      <w:rPr>
        <w:sz w:val="24"/>
        <w:szCs w:val="28"/>
        <w:lang w:val="en-US"/>
      </w:rPr>
    </w:pPr>
    <w:r w:rsidRPr="00BB4BFD">
      <w:rPr>
        <w:b w:val="0"/>
        <w:bCs/>
        <w:lang w:val="en-US"/>
      </w:rPr>
      <w:t xml:space="preserve">Submitted by the </w:t>
    </w:r>
    <w:r w:rsidR="00202781" w:rsidRPr="00202781">
      <w:rPr>
        <w:b w:val="0"/>
        <w:bCs/>
        <w:lang w:val="en-US"/>
      </w:rPr>
      <w:t>Republic of Korea</w:t>
    </w:r>
    <w:r w:rsidRPr="00BB4BFD">
      <w:rPr>
        <w:b w:val="0"/>
        <w:bCs/>
        <w:lang w:val="en-US"/>
      </w:rPr>
      <w:tab/>
    </w:r>
    <w:r w:rsidRPr="00B73C54">
      <w:rPr>
        <w:sz w:val="24"/>
        <w:szCs w:val="28"/>
        <w:lang w:val="en-US"/>
      </w:rPr>
      <w:t>GRSP-77-</w:t>
    </w:r>
    <w:r w:rsidR="00BF5695">
      <w:rPr>
        <w:sz w:val="24"/>
        <w:szCs w:val="28"/>
        <w:lang w:val="en-US"/>
      </w:rPr>
      <w:t>13</w:t>
    </w:r>
    <w:r w:rsidR="007053F0">
      <w:rPr>
        <w:sz w:val="24"/>
        <w:szCs w:val="28"/>
        <w:lang w:val="en-US"/>
      </w:rPr>
      <w:t>-Rev.1</w:t>
    </w:r>
  </w:p>
  <w:p w14:paraId="6A318103" w14:textId="07C279B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7631AC">
      <w:rPr>
        <w:b w:val="0"/>
        <w:bCs/>
        <w:lang w:val="en-US"/>
      </w:rPr>
      <w:t>24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6"/>
  </w:num>
  <w:num w:numId="12" w16cid:durableId="1415778789">
    <w:abstractNumId w:val="14"/>
  </w:num>
  <w:num w:numId="13" w16cid:durableId="112525587">
    <w:abstractNumId w:val="10"/>
  </w:num>
  <w:num w:numId="14" w16cid:durableId="597950943">
    <w:abstractNumId w:val="12"/>
  </w:num>
  <w:num w:numId="15" w16cid:durableId="1924677541">
    <w:abstractNumId w:val="17"/>
  </w:num>
  <w:num w:numId="16" w16cid:durableId="764957565">
    <w:abstractNumId w:val="13"/>
  </w:num>
  <w:num w:numId="17" w16cid:durableId="490950738">
    <w:abstractNumId w:val="19"/>
  </w:num>
  <w:num w:numId="18" w16cid:durableId="1995598346">
    <w:abstractNumId w:val="20"/>
  </w:num>
  <w:num w:numId="19" w16cid:durableId="1552426132">
    <w:abstractNumId w:val="11"/>
  </w:num>
  <w:num w:numId="20" w16cid:durableId="80416414">
    <w:abstractNumId w:val="15"/>
  </w:num>
  <w:num w:numId="21" w16cid:durableId="45036395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7624"/>
    <w:rsid w:val="00050F6B"/>
    <w:rsid w:val="000529F4"/>
    <w:rsid w:val="00061E89"/>
    <w:rsid w:val="00066E6B"/>
    <w:rsid w:val="000678CD"/>
    <w:rsid w:val="00072C8C"/>
    <w:rsid w:val="00081CE0"/>
    <w:rsid w:val="00084D30"/>
    <w:rsid w:val="00090320"/>
    <w:rsid w:val="000931C0"/>
    <w:rsid w:val="000953A0"/>
    <w:rsid w:val="00097003"/>
    <w:rsid w:val="000A2E09"/>
    <w:rsid w:val="000B0BAB"/>
    <w:rsid w:val="000B175B"/>
    <w:rsid w:val="000B3A0F"/>
    <w:rsid w:val="000B55C7"/>
    <w:rsid w:val="000E0415"/>
    <w:rsid w:val="000E2A5A"/>
    <w:rsid w:val="000E5AB1"/>
    <w:rsid w:val="000F7715"/>
    <w:rsid w:val="0010176D"/>
    <w:rsid w:val="001140B2"/>
    <w:rsid w:val="00117807"/>
    <w:rsid w:val="00137704"/>
    <w:rsid w:val="001463BB"/>
    <w:rsid w:val="0015490D"/>
    <w:rsid w:val="00156B99"/>
    <w:rsid w:val="00162FDB"/>
    <w:rsid w:val="00166124"/>
    <w:rsid w:val="00172DD4"/>
    <w:rsid w:val="00183B2B"/>
    <w:rsid w:val="00184DDA"/>
    <w:rsid w:val="001900CD"/>
    <w:rsid w:val="001A0452"/>
    <w:rsid w:val="001B4B04"/>
    <w:rsid w:val="001B5875"/>
    <w:rsid w:val="001C3E64"/>
    <w:rsid w:val="001C4B9C"/>
    <w:rsid w:val="001C6663"/>
    <w:rsid w:val="001C7895"/>
    <w:rsid w:val="001D07F5"/>
    <w:rsid w:val="001D26DF"/>
    <w:rsid w:val="001F1599"/>
    <w:rsid w:val="001F19C4"/>
    <w:rsid w:val="002012B6"/>
    <w:rsid w:val="00202781"/>
    <w:rsid w:val="002043F0"/>
    <w:rsid w:val="00211E0B"/>
    <w:rsid w:val="0021321E"/>
    <w:rsid w:val="00213AB7"/>
    <w:rsid w:val="002202AC"/>
    <w:rsid w:val="002233E6"/>
    <w:rsid w:val="00232575"/>
    <w:rsid w:val="00240C29"/>
    <w:rsid w:val="00247258"/>
    <w:rsid w:val="002516C7"/>
    <w:rsid w:val="00257CAC"/>
    <w:rsid w:val="0027224D"/>
    <w:rsid w:val="0027237A"/>
    <w:rsid w:val="0029719E"/>
    <w:rsid w:val="002974E9"/>
    <w:rsid w:val="002A306B"/>
    <w:rsid w:val="002A3384"/>
    <w:rsid w:val="002A7F94"/>
    <w:rsid w:val="002B109A"/>
    <w:rsid w:val="002C0990"/>
    <w:rsid w:val="002C12EA"/>
    <w:rsid w:val="002C4397"/>
    <w:rsid w:val="002C6D45"/>
    <w:rsid w:val="002D6E53"/>
    <w:rsid w:val="002E2078"/>
    <w:rsid w:val="002E3AAE"/>
    <w:rsid w:val="002E7D1D"/>
    <w:rsid w:val="002F046D"/>
    <w:rsid w:val="002F3023"/>
    <w:rsid w:val="00301764"/>
    <w:rsid w:val="003229D8"/>
    <w:rsid w:val="00336C97"/>
    <w:rsid w:val="00337F88"/>
    <w:rsid w:val="00342432"/>
    <w:rsid w:val="0035223F"/>
    <w:rsid w:val="00352D4B"/>
    <w:rsid w:val="0035638C"/>
    <w:rsid w:val="00365B8A"/>
    <w:rsid w:val="00372E83"/>
    <w:rsid w:val="0037531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4B89"/>
    <w:rsid w:val="00401FD9"/>
    <w:rsid w:val="004112A2"/>
    <w:rsid w:val="00413520"/>
    <w:rsid w:val="004138EC"/>
    <w:rsid w:val="00423025"/>
    <w:rsid w:val="004325CB"/>
    <w:rsid w:val="00440A07"/>
    <w:rsid w:val="0045663B"/>
    <w:rsid w:val="00461435"/>
    <w:rsid w:val="00462880"/>
    <w:rsid w:val="0046310A"/>
    <w:rsid w:val="00466044"/>
    <w:rsid w:val="00473BCE"/>
    <w:rsid w:val="00476F24"/>
    <w:rsid w:val="00490FE0"/>
    <w:rsid w:val="004A1F3B"/>
    <w:rsid w:val="004A5D33"/>
    <w:rsid w:val="004A6C8D"/>
    <w:rsid w:val="004C55B0"/>
    <w:rsid w:val="004D5410"/>
    <w:rsid w:val="004E72DC"/>
    <w:rsid w:val="004F6BA0"/>
    <w:rsid w:val="00503BEA"/>
    <w:rsid w:val="00521FF9"/>
    <w:rsid w:val="00531173"/>
    <w:rsid w:val="00533616"/>
    <w:rsid w:val="00535ABA"/>
    <w:rsid w:val="0053768B"/>
    <w:rsid w:val="005420F2"/>
    <w:rsid w:val="0054285C"/>
    <w:rsid w:val="00547182"/>
    <w:rsid w:val="00553FBD"/>
    <w:rsid w:val="00573AC9"/>
    <w:rsid w:val="005760CB"/>
    <w:rsid w:val="00584173"/>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C2C"/>
    <w:rsid w:val="00604DDD"/>
    <w:rsid w:val="006107D6"/>
    <w:rsid w:val="006115CC"/>
    <w:rsid w:val="00611FC4"/>
    <w:rsid w:val="006176FB"/>
    <w:rsid w:val="00630FCB"/>
    <w:rsid w:val="006317CB"/>
    <w:rsid w:val="006347E5"/>
    <w:rsid w:val="006405A1"/>
    <w:rsid w:val="00640B26"/>
    <w:rsid w:val="00644DE2"/>
    <w:rsid w:val="0065766B"/>
    <w:rsid w:val="00657764"/>
    <w:rsid w:val="006770B2"/>
    <w:rsid w:val="00680915"/>
    <w:rsid w:val="00683E55"/>
    <w:rsid w:val="00684D27"/>
    <w:rsid w:val="00686A48"/>
    <w:rsid w:val="0068763C"/>
    <w:rsid w:val="00691D35"/>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53F0"/>
    <w:rsid w:val="0070701E"/>
    <w:rsid w:val="0072632A"/>
    <w:rsid w:val="007358E8"/>
    <w:rsid w:val="00736ECE"/>
    <w:rsid w:val="00741637"/>
    <w:rsid w:val="0074533B"/>
    <w:rsid w:val="00752E0D"/>
    <w:rsid w:val="007631AC"/>
    <w:rsid w:val="007643BC"/>
    <w:rsid w:val="0077422D"/>
    <w:rsid w:val="00780C68"/>
    <w:rsid w:val="007959FE"/>
    <w:rsid w:val="007A0CF1"/>
    <w:rsid w:val="007A2FA4"/>
    <w:rsid w:val="007B6BA5"/>
    <w:rsid w:val="007C3390"/>
    <w:rsid w:val="007C42D8"/>
    <w:rsid w:val="007C4F4B"/>
    <w:rsid w:val="007C6F8D"/>
    <w:rsid w:val="007D5A51"/>
    <w:rsid w:val="007D6F65"/>
    <w:rsid w:val="007D7362"/>
    <w:rsid w:val="007F5CE2"/>
    <w:rsid w:val="007F6611"/>
    <w:rsid w:val="00800E7D"/>
    <w:rsid w:val="0080624A"/>
    <w:rsid w:val="00807123"/>
    <w:rsid w:val="00810BAC"/>
    <w:rsid w:val="00814C29"/>
    <w:rsid w:val="008175E9"/>
    <w:rsid w:val="0082294F"/>
    <w:rsid w:val="008242D7"/>
    <w:rsid w:val="0082577B"/>
    <w:rsid w:val="00825CB5"/>
    <w:rsid w:val="00831D3D"/>
    <w:rsid w:val="00833AAA"/>
    <w:rsid w:val="00835D52"/>
    <w:rsid w:val="00840217"/>
    <w:rsid w:val="00866893"/>
    <w:rsid w:val="00866F02"/>
    <w:rsid w:val="00867D18"/>
    <w:rsid w:val="00871F9A"/>
    <w:rsid w:val="00871FD5"/>
    <w:rsid w:val="00874153"/>
    <w:rsid w:val="0088172E"/>
    <w:rsid w:val="00881EFA"/>
    <w:rsid w:val="008879CB"/>
    <w:rsid w:val="008979B1"/>
    <w:rsid w:val="008A67D9"/>
    <w:rsid w:val="008A6B25"/>
    <w:rsid w:val="008A6C4F"/>
    <w:rsid w:val="008B389E"/>
    <w:rsid w:val="008B5440"/>
    <w:rsid w:val="008C025D"/>
    <w:rsid w:val="008D045E"/>
    <w:rsid w:val="008D21F5"/>
    <w:rsid w:val="008D3F25"/>
    <w:rsid w:val="008D4D82"/>
    <w:rsid w:val="008E0E46"/>
    <w:rsid w:val="008E1EDD"/>
    <w:rsid w:val="008E7116"/>
    <w:rsid w:val="008F143B"/>
    <w:rsid w:val="008F3882"/>
    <w:rsid w:val="008F4B7C"/>
    <w:rsid w:val="0090426C"/>
    <w:rsid w:val="00917FFB"/>
    <w:rsid w:val="0092556A"/>
    <w:rsid w:val="00926E47"/>
    <w:rsid w:val="0093075E"/>
    <w:rsid w:val="00931348"/>
    <w:rsid w:val="009334DB"/>
    <w:rsid w:val="00937CE6"/>
    <w:rsid w:val="00947162"/>
    <w:rsid w:val="0095610E"/>
    <w:rsid w:val="009610D0"/>
    <w:rsid w:val="00962870"/>
    <w:rsid w:val="0096375C"/>
    <w:rsid w:val="009662E6"/>
    <w:rsid w:val="0097095E"/>
    <w:rsid w:val="009821D7"/>
    <w:rsid w:val="0098592B"/>
    <w:rsid w:val="00985FC4"/>
    <w:rsid w:val="00990766"/>
    <w:rsid w:val="00991261"/>
    <w:rsid w:val="009964C4"/>
    <w:rsid w:val="009A7B81"/>
    <w:rsid w:val="009B011B"/>
    <w:rsid w:val="009B7EB7"/>
    <w:rsid w:val="009C07B7"/>
    <w:rsid w:val="009D01C0"/>
    <w:rsid w:val="009D19F9"/>
    <w:rsid w:val="009D6744"/>
    <w:rsid w:val="009D6A08"/>
    <w:rsid w:val="009E0A16"/>
    <w:rsid w:val="009E65AE"/>
    <w:rsid w:val="009E6CB7"/>
    <w:rsid w:val="009E7970"/>
    <w:rsid w:val="009F1396"/>
    <w:rsid w:val="009F2EAC"/>
    <w:rsid w:val="009F57E3"/>
    <w:rsid w:val="00A01846"/>
    <w:rsid w:val="00A0184C"/>
    <w:rsid w:val="00A077A2"/>
    <w:rsid w:val="00A10F4F"/>
    <w:rsid w:val="00A11067"/>
    <w:rsid w:val="00A1704A"/>
    <w:rsid w:val="00A23E00"/>
    <w:rsid w:val="00A343DF"/>
    <w:rsid w:val="00A36AC2"/>
    <w:rsid w:val="00A425EB"/>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F58C1"/>
    <w:rsid w:val="00B0350A"/>
    <w:rsid w:val="00B04A3F"/>
    <w:rsid w:val="00B06643"/>
    <w:rsid w:val="00B148CE"/>
    <w:rsid w:val="00B15055"/>
    <w:rsid w:val="00B20551"/>
    <w:rsid w:val="00B23F38"/>
    <w:rsid w:val="00B26596"/>
    <w:rsid w:val="00B30179"/>
    <w:rsid w:val="00B31E0B"/>
    <w:rsid w:val="00B321BF"/>
    <w:rsid w:val="00B33FC7"/>
    <w:rsid w:val="00B37B15"/>
    <w:rsid w:val="00B4162A"/>
    <w:rsid w:val="00B45C02"/>
    <w:rsid w:val="00B46509"/>
    <w:rsid w:val="00B70B63"/>
    <w:rsid w:val="00B72A1E"/>
    <w:rsid w:val="00B73C54"/>
    <w:rsid w:val="00B74717"/>
    <w:rsid w:val="00B80F3E"/>
    <w:rsid w:val="00B81E12"/>
    <w:rsid w:val="00B8502E"/>
    <w:rsid w:val="00B91F37"/>
    <w:rsid w:val="00BA339B"/>
    <w:rsid w:val="00BB21DE"/>
    <w:rsid w:val="00BB22B8"/>
    <w:rsid w:val="00BB23CC"/>
    <w:rsid w:val="00BB4BFD"/>
    <w:rsid w:val="00BC1E7E"/>
    <w:rsid w:val="00BC2596"/>
    <w:rsid w:val="00BC29D0"/>
    <w:rsid w:val="00BC74E9"/>
    <w:rsid w:val="00BE36A9"/>
    <w:rsid w:val="00BE60E1"/>
    <w:rsid w:val="00BE618E"/>
    <w:rsid w:val="00BE7BEC"/>
    <w:rsid w:val="00BF0A5A"/>
    <w:rsid w:val="00BF0E63"/>
    <w:rsid w:val="00BF12A3"/>
    <w:rsid w:val="00BF16D7"/>
    <w:rsid w:val="00BF2373"/>
    <w:rsid w:val="00BF279B"/>
    <w:rsid w:val="00BF5695"/>
    <w:rsid w:val="00C044E2"/>
    <w:rsid w:val="00C048CB"/>
    <w:rsid w:val="00C066F3"/>
    <w:rsid w:val="00C1161B"/>
    <w:rsid w:val="00C2074A"/>
    <w:rsid w:val="00C334CC"/>
    <w:rsid w:val="00C44775"/>
    <w:rsid w:val="00C463DD"/>
    <w:rsid w:val="00C745C3"/>
    <w:rsid w:val="00C8522F"/>
    <w:rsid w:val="00C978F5"/>
    <w:rsid w:val="00CA24A4"/>
    <w:rsid w:val="00CB08CC"/>
    <w:rsid w:val="00CB348D"/>
    <w:rsid w:val="00CC65B7"/>
    <w:rsid w:val="00CC6981"/>
    <w:rsid w:val="00CD3C03"/>
    <w:rsid w:val="00CD46F5"/>
    <w:rsid w:val="00CD5093"/>
    <w:rsid w:val="00CE4A8F"/>
    <w:rsid w:val="00CF071D"/>
    <w:rsid w:val="00CF6E3F"/>
    <w:rsid w:val="00D0123D"/>
    <w:rsid w:val="00D15B04"/>
    <w:rsid w:val="00D2031B"/>
    <w:rsid w:val="00D25FE2"/>
    <w:rsid w:val="00D37DA9"/>
    <w:rsid w:val="00D406A7"/>
    <w:rsid w:val="00D41AE9"/>
    <w:rsid w:val="00D43252"/>
    <w:rsid w:val="00D44D86"/>
    <w:rsid w:val="00D4539E"/>
    <w:rsid w:val="00D50B7D"/>
    <w:rsid w:val="00D52012"/>
    <w:rsid w:val="00D52228"/>
    <w:rsid w:val="00D53135"/>
    <w:rsid w:val="00D53D0C"/>
    <w:rsid w:val="00D704E5"/>
    <w:rsid w:val="00D72727"/>
    <w:rsid w:val="00D72BBD"/>
    <w:rsid w:val="00D82689"/>
    <w:rsid w:val="00D90BC3"/>
    <w:rsid w:val="00D935FE"/>
    <w:rsid w:val="00D978C6"/>
    <w:rsid w:val="00D97C51"/>
    <w:rsid w:val="00DA0956"/>
    <w:rsid w:val="00DA357F"/>
    <w:rsid w:val="00DA3E12"/>
    <w:rsid w:val="00DC18AD"/>
    <w:rsid w:val="00DE6AD4"/>
    <w:rsid w:val="00DF2C61"/>
    <w:rsid w:val="00DF7CAE"/>
    <w:rsid w:val="00E032FD"/>
    <w:rsid w:val="00E149B5"/>
    <w:rsid w:val="00E257A6"/>
    <w:rsid w:val="00E30EA0"/>
    <w:rsid w:val="00E423C0"/>
    <w:rsid w:val="00E445D1"/>
    <w:rsid w:val="00E52978"/>
    <w:rsid w:val="00E57190"/>
    <w:rsid w:val="00E61EA2"/>
    <w:rsid w:val="00E6414C"/>
    <w:rsid w:val="00E70E0F"/>
    <w:rsid w:val="00E7260F"/>
    <w:rsid w:val="00E8702D"/>
    <w:rsid w:val="00E905F4"/>
    <w:rsid w:val="00E916A9"/>
    <w:rsid w:val="00E916DE"/>
    <w:rsid w:val="00E925AD"/>
    <w:rsid w:val="00E96630"/>
    <w:rsid w:val="00EB0A66"/>
    <w:rsid w:val="00EB4D0B"/>
    <w:rsid w:val="00EB6912"/>
    <w:rsid w:val="00EC23DE"/>
    <w:rsid w:val="00ED18DC"/>
    <w:rsid w:val="00ED4883"/>
    <w:rsid w:val="00ED59BC"/>
    <w:rsid w:val="00ED6201"/>
    <w:rsid w:val="00ED7A2A"/>
    <w:rsid w:val="00ED7F18"/>
    <w:rsid w:val="00EE41AF"/>
    <w:rsid w:val="00EF1D7F"/>
    <w:rsid w:val="00F0137E"/>
    <w:rsid w:val="00F04E44"/>
    <w:rsid w:val="00F05B93"/>
    <w:rsid w:val="00F205C1"/>
    <w:rsid w:val="00F21786"/>
    <w:rsid w:val="00F24C2D"/>
    <w:rsid w:val="00F25D06"/>
    <w:rsid w:val="00F25FAF"/>
    <w:rsid w:val="00F31CFF"/>
    <w:rsid w:val="00F3742B"/>
    <w:rsid w:val="00F41D3E"/>
    <w:rsid w:val="00F41FDB"/>
    <w:rsid w:val="00F50597"/>
    <w:rsid w:val="00F51019"/>
    <w:rsid w:val="00F51AA6"/>
    <w:rsid w:val="00F56D63"/>
    <w:rsid w:val="00F609A9"/>
    <w:rsid w:val="00F6401D"/>
    <w:rsid w:val="00F678B7"/>
    <w:rsid w:val="00F73AD4"/>
    <w:rsid w:val="00F803C8"/>
    <w:rsid w:val="00F80C99"/>
    <w:rsid w:val="00F85846"/>
    <w:rsid w:val="00F85BF4"/>
    <w:rsid w:val="00F867EC"/>
    <w:rsid w:val="00F87F88"/>
    <w:rsid w:val="00F91B2B"/>
    <w:rsid w:val="00FA065B"/>
    <w:rsid w:val="00FA2052"/>
    <w:rsid w:val="00FB4412"/>
    <w:rsid w:val="00FB7CD1"/>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D1EDB-4FAD-44E7-BF7E-2D417C8D115D}"/>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9</TotalTime>
  <Pages>1</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GRSP-77-13</vt:lpstr>
      <vt:lpstr/>
    </vt:vector>
  </TitlesOfParts>
  <Company>CSD</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GRSP-77-13-Rev.1</dc:title>
  <dc:creator>Editorial</dc:creator>
  <cp:lastModifiedBy>Armando Serrano Lombillo</cp:lastModifiedBy>
  <cp:revision>5</cp:revision>
  <cp:lastPrinted>2009-02-18T09:36:00Z</cp:lastPrinted>
  <dcterms:created xsi:type="dcterms:W3CDTF">2025-07-01T08:05:00Z</dcterms:created>
  <dcterms:modified xsi:type="dcterms:W3CDTF">2025-07-01T08:14:00Z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