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37A13BB8" w:rsidR="009E6CB7" w:rsidRPr="00D47EEA" w:rsidRDefault="009C0BD0" w:rsidP="009C0BD0">
            <w:pPr>
              <w:jc w:val="right"/>
            </w:pPr>
            <w:r w:rsidRPr="009C0BD0">
              <w:rPr>
                <w:sz w:val="40"/>
              </w:rPr>
              <w:t>ECE</w:t>
            </w:r>
            <w:r>
              <w:t>/TRANS/WP.29/202</w:t>
            </w:r>
            <w:r w:rsidR="002F7550">
              <w:t>6</w:t>
            </w:r>
            <w:r>
              <w:t>/</w:t>
            </w:r>
            <w:r w:rsidR="006D5A3C">
              <w:t>20</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77F1D35C" w:rsidR="009C0BD0" w:rsidRDefault="00212003" w:rsidP="009C0BD0">
            <w:pPr>
              <w:spacing w:line="240" w:lineRule="exact"/>
            </w:pPr>
            <w:r>
              <w:t>23</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731A531E" w:rsidR="00DD6CDA" w:rsidRPr="001D703D" w:rsidRDefault="00DD6CDA" w:rsidP="00DD6CDA">
      <w:r w:rsidRPr="001D703D">
        <w:t>Ite</w:t>
      </w:r>
      <w:r w:rsidRPr="0012673E">
        <w:t xml:space="preserve">m </w:t>
      </w:r>
      <w:r w:rsidR="005A29EF">
        <w:t>4.7.</w:t>
      </w:r>
      <w:r w:rsidR="006D5A3C">
        <w:t>11</w:t>
      </w:r>
      <w:r>
        <w:t xml:space="preserve"> </w:t>
      </w:r>
      <w:r w:rsidRPr="001D703D">
        <w:t>of the provisional agenda</w:t>
      </w:r>
    </w:p>
    <w:p w14:paraId="4758C743" w14:textId="77777777" w:rsidR="00DD6CDA" w:rsidRDefault="00DD6CDA" w:rsidP="00DD6CDA">
      <w:pPr>
        <w:rPr>
          <w:b/>
        </w:rPr>
      </w:pPr>
      <w:r>
        <w:rPr>
          <w:b/>
        </w:rPr>
        <w:t>1958 Agreement:</w:t>
      </w:r>
    </w:p>
    <w:p w14:paraId="607CEDA6" w14:textId="19B5C6C0" w:rsidR="00DD6CDA" w:rsidRDefault="005A29EF" w:rsidP="005A29EF">
      <w:pPr>
        <w:rPr>
          <w:b/>
          <w:bCs/>
        </w:rPr>
      </w:pPr>
      <w:r w:rsidRPr="005A29EF">
        <w:rPr>
          <w:b/>
          <w:bCs/>
        </w:rPr>
        <w:t xml:space="preserve">Consideration of draft amendments to existing </w:t>
      </w:r>
      <w:r w:rsidR="00D63183">
        <w:rPr>
          <w:b/>
          <w:bCs/>
        </w:rPr>
        <w:br/>
      </w:r>
      <w:r w:rsidRPr="005A29EF">
        <w:rPr>
          <w:b/>
          <w:bCs/>
        </w:rPr>
        <w:t>UN Regulations submitted by GRVA</w:t>
      </w:r>
    </w:p>
    <w:p w14:paraId="33B5E79A" w14:textId="3BFA4A70" w:rsidR="00DD6CDA" w:rsidRDefault="00197324" w:rsidP="006D5A3C">
      <w:pPr>
        <w:pStyle w:val="HChG"/>
        <w:ind w:left="1124" w:right="1138"/>
      </w:pPr>
      <w:r>
        <w:rPr>
          <w:bCs/>
        </w:rPr>
        <w:tab/>
      </w:r>
      <w:r>
        <w:rPr>
          <w:bCs/>
        </w:rPr>
        <w:tab/>
      </w:r>
      <w:r w:rsidR="006D5A3C" w:rsidRPr="006D5A3C">
        <w:rPr>
          <w:bCs/>
        </w:rPr>
        <w:t>Proposal for Supplement 7 to the original version of UN Regulation No. 140 (ESC)</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1E206054" w:rsidR="00DD6CDA" w:rsidRPr="00B143A1" w:rsidRDefault="00DD6CDA" w:rsidP="006F0860">
      <w:pPr>
        <w:pStyle w:val="SingleTxtG"/>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 xml:space="preserve">para. </w:t>
      </w:r>
      <w:r w:rsidR="006F0860">
        <w:t>55</w:t>
      </w:r>
      <w:r w:rsidR="00B143A1">
        <w:t>)</w:t>
      </w:r>
      <w:r>
        <w:rPr>
          <w:lang w:val="en-US"/>
        </w:rPr>
        <w:t>.</w:t>
      </w:r>
      <w:r>
        <w:rPr>
          <w:lang w:val="en-US" w:eastAsia="en-GB"/>
        </w:rPr>
        <w:t xml:space="preserve"> </w:t>
      </w:r>
      <w:r>
        <w:rPr>
          <w:lang w:eastAsia="en-GB"/>
        </w:rPr>
        <w:t>It is based on</w:t>
      </w:r>
      <w:r w:rsidR="006F0860">
        <w:rPr>
          <w:lang w:eastAsia="en-GB"/>
        </w:rPr>
        <w:t xml:space="preserve"> </w:t>
      </w:r>
      <w:r w:rsidR="006F0860" w:rsidRPr="006F0860">
        <w:t xml:space="preserve">informal document </w:t>
      </w:r>
      <w:r w:rsidR="006F0860">
        <w:br/>
      </w:r>
      <w:r w:rsidR="006F0860" w:rsidRPr="006F0860">
        <w:t>GRVA-23-3</w:t>
      </w:r>
      <w:r w:rsidR="006F0860">
        <w:t>1</w:t>
      </w:r>
      <w:r w:rsidR="008D1C79">
        <w:t>.</w:t>
      </w:r>
      <w:r w:rsidR="00C06C09">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w:t>
      </w:r>
      <w:r w:rsidR="00936D1B">
        <w:rPr>
          <w:lang w:val="en-US"/>
        </w:rPr>
        <w:t xml:space="preserve">and vote </w:t>
      </w:r>
      <w:r w:rsidR="00AE6D41">
        <w:rPr>
          <w:lang w:val="en-US"/>
        </w:rPr>
        <w:t xml:space="preserve">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09DA32FD" w14:textId="77777777" w:rsidR="006F0860" w:rsidRPr="00E279E0" w:rsidRDefault="006F0860" w:rsidP="006F0860">
      <w:pPr>
        <w:pStyle w:val="SingleTxtG"/>
        <w:ind w:left="2268" w:hanging="1134"/>
        <w:rPr>
          <w:iCs/>
        </w:rPr>
      </w:pPr>
      <w:r w:rsidRPr="00E279E0">
        <w:rPr>
          <w:i/>
        </w:rPr>
        <w:lastRenderedPageBreak/>
        <w:t>Paragraph 7.4.1.2.</w:t>
      </w:r>
      <w:r w:rsidRPr="001936E2">
        <w:rPr>
          <w:i/>
        </w:rPr>
        <w:t>,</w:t>
      </w:r>
      <w:r w:rsidRPr="00E279E0">
        <w:rPr>
          <w:i/>
        </w:rPr>
        <w:t xml:space="preserve"> </w:t>
      </w:r>
      <w:r w:rsidRPr="00E279E0">
        <w:rPr>
          <w:iCs/>
        </w:rPr>
        <w:t>amend to read:</w:t>
      </w:r>
    </w:p>
    <w:p w14:paraId="12E2C6B7" w14:textId="3487EAB7" w:rsidR="006F0860" w:rsidRPr="00E279E0" w:rsidRDefault="006F0860" w:rsidP="006F0860">
      <w:pPr>
        <w:pStyle w:val="SingleTxtG"/>
        <w:ind w:left="2268" w:hanging="1134"/>
        <w:rPr>
          <w:iCs/>
        </w:rPr>
      </w:pPr>
      <w:r w:rsidRPr="00E279E0">
        <w:rPr>
          <w:iCs/>
        </w:rPr>
        <w:t xml:space="preserve">7.4.1.2. </w:t>
      </w:r>
      <w:r w:rsidRPr="00E279E0">
        <w:rPr>
          <w:iCs/>
        </w:rPr>
        <w:tab/>
        <w:t>Except as provided in paragraph 7.4.1.3., the ESC malfunction tell-tale shall illuminate when a malfunction exists and shall remain continuously illuminated under the conditions specified in paragraph 7.4. for as long as the malfunction exists whenever the powertrain</w:t>
      </w:r>
      <w:r w:rsidRPr="00E279E0">
        <w:rPr>
          <w:iCs/>
          <w:vertAlign w:val="superscript"/>
        </w:rPr>
        <w:t>6</w:t>
      </w:r>
      <w:r w:rsidRPr="00E279E0">
        <w:rPr>
          <w:iCs/>
        </w:rPr>
        <w:t xml:space="preserve"> is initiated;</w:t>
      </w:r>
    </w:p>
    <w:p w14:paraId="20EE13CE" w14:textId="77777777" w:rsidR="006F0860" w:rsidRPr="00E279E0" w:rsidRDefault="006F0860" w:rsidP="006F0860">
      <w:pPr>
        <w:pStyle w:val="SingleTxtG"/>
        <w:ind w:left="2268" w:hanging="1134"/>
        <w:rPr>
          <w:iCs/>
        </w:rPr>
      </w:pPr>
      <w:r w:rsidRPr="00E279E0">
        <w:rPr>
          <w:i/>
        </w:rPr>
        <w:t xml:space="preserve">Insert new footnote 6, </w:t>
      </w:r>
      <w:r w:rsidRPr="00E279E0">
        <w:rPr>
          <w:iCs/>
        </w:rPr>
        <w:t>to read:</w:t>
      </w:r>
    </w:p>
    <w:p w14:paraId="687A7796" w14:textId="7225F07D" w:rsidR="006F0860" w:rsidRPr="00E279E0" w:rsidRDefault="006F0860" w:rsidP="006F0860">
      <w:pPr>
        <w:pStyle w:val="SingleTxtG"/>
        <w:ind w:left="2268"/>
        <w:rPr>
          <w:iCs/>
          <w:sz w:val="18"/>
          <w:szCs w:val="18"/>
          <w:lang w:val="en-US"/>
        </w:rPr>
      </w:pPr>
      <w:r w:rsidRPr="00E279E0">
        <w:rPr>
          <w:iCs/>
          <w:sz w:val="18"/>
          <w:szCs w:val="18"/>
          <w:vertAlign w:val="superscript"/>
        </w:rPr>
        <w:t>6</w:t>
      </w:r>
      <w:r w:rsidRPr="00E279E0">
        <w:rPr>
          <w:iCs/>
          <w:sz w:val="18"/>
          <w:szCs w:val="18"/>
        </w:rPr>
        <w:t xml:space="preserve"> As defined in Mutual Resolution No. 2 (M.R.2) of the 1958 and the 1998 Agreements containing vehicle propulsion system definitions, see document ECE/TRANS/WP.29/1121.</w:t>
      </w:r>
    </w:p>
    <w:p w14:paraId="3D4AA6B6" w14:textId="77777777" w:rsidR="006F0860" w:rsidRPr="00E279E0" w:rsidRDefault="006F0860" w:rsidP="006F0860">
      <w:pPr>
        <w:pStyle w:val="SingleTxtG"/>
        <w:ind w:left="2268" w:hanging="1134"/>
        <w:rPr>
          <w:i/>
        </w:rPr>
      </w:pPr>
      <w:r w:rsidRPr="00E279E0">
        <w:rPr>
          <w:i/>
        </w:rPr>
        <w:t>Renumber subsequent footnotes as appropriate.</w:t>
      </w:r>
    </w:p>
    <w:p w14:paraId="73EA5933" w14:textId="77777777" w:rsidR="006F0860" w:rsidRPr="00E279E0" w:rsidRDefault="006F0860" w:rsidP="006F0860">
      <w:pPr>
        <w:pStyle w:val="SingleTxtG"/>
        <w:ind w:left="2268" w:hanging="1134"/>
        <w:rPr>
          <w:iCs/>
        </w:rPr>
      </w:pPr>
      <w:r w:rsidRPr="00E279E0">
        <w:rPr>
          <w:i/>
        </w:rPr>
        <w:t>Paragraph 7.4.1.3.</w:t>
      </w:r>
      <w:r w:rsidRPr="001936E2">
        <w:rPr>
          <w:i/>
        </w:rPr>
        <w:t>,</w:t>
      </w:r>
      <w:r w:rsidRPr="00E279E0">
        <w:rPr>
          <w:i/>
        </w:rPr>
        <w:t xml:space="preserve"> </w:t>
      </w:r>
      <w:r w:rsidRPr="00E279E0">
        <w:rPr>
          <w:iCs/>
        </w:rPr>
        <w:t>amend to read:</w:t>
      </w:r>
    </w:p>
    <w:p w14:paraId="006CE581" w14:textId="02DF6171" w:rsidR="006F0860" w:rsidRPr="00E279E0" w:rsidRDefault="006F0860" w:rsidP="006F0860">
      <w:pPr>
        <w:pStyle w:val="SingleTxtG"/>
        <w:ind w:left="2268" w:hanging="1134"/>
        <w:rPr>
          <w:iCs/>
        </w:rPr>
      </w:pPr>
      <w:r w:rsidRPr="00E279E0">
        <w:rPr>
          <w:iCs/>
        </w:rPr>
        <w:t>7.4.1.3.</w:t>
      </w:r>
      <w:r w:rsidRPr="00E279E0">
        <w:rPr>
          <w:iCs/>
        </w:rPr>
        <w:tab/>
        <w:t>Except as provided in paragraph 7.4.2., each ESC malfunction tell-tale shall be activated as a check of lamp function either at each initiation of the powertrain or in a condition that is designated by the manufacturer as a check condition.</w:t>
      </w:r>
    </w:p>
    <w:p w14:paraId="6CAD2F99" w14:textId="7BF86248" w:rsidR="006F0860" w:rsidRPr="00E279E0" w:rsidRDefault="006F0860" w:rsidP="006F0860">
      <w:pPr>
        <w:pStyle w:val="SingleTxtG"/>
        <w:ind w:left="2268"/>
        <w:rPr>
          <w:iCs/>
        </w:rPr>
      </w:pPr>
      <w:r w:rsidRPr="00E279E0">
        <w:rPr>
          <w:iCs/>
          <w:lang w:val="en-US"/>
        </w:rPr>
        <w:t>A new engine start/run cycle (or run cycle) which is performed automatically, e.g. by the operation of a stop/start system, shall not be considered an “initiation of the powertrain” wherever that term is used in this Regulation</w:t>
      </w:r>
      <w:r w:rsidRPr="00E279E0">
        <w:rPr>
          <w:iCs/>
        </w:rPr>
        <w:t>;</w:t>
      </w:r>
    </w:p>
    <w:p w14:paraId="4B07E117" w14:textId="77777777" w:rsidR="006F0860" w:rsidRPr="00E279E0" w:rsidRDefault="006F0860" w:rsidP="006F0860">
      <w:pPr>
        <w:pStyle w:val="SingleTxtG"/>
        <w:ind w:left="2268" w:hanging="1134"/>
        <w:rPr>
          <w:iCs/>
        </w:rPr>
      </w:pPr>
      <w:r w:rsidRPr="00E279E0">
        <w:rPr>
          <w:i/>
        </w:rPr>
        <w:t>Paragraph 7.4.1.4.</w:t>
      </w:r>
      <w:r w:rsidRPr="001936E2">
        <w:rPr>
          <w:i/>
        </w:rPr>
        <w:t>,</w:t>
      </w:r>
      <w:r w:rsidRPr="00E279E0">
        <w:rPr>
          <w:i/>
        </w:rPr>
        <w:t xml:space="preserve"> </w:t>
      </w:r>
      <w:r w:rsidRPr="00E279E0">
        <w:rPr>
          <w:iCs/>
        </w:rPr>
        <w:t>amend to read:</w:t>
      </w:r>
    </w:p>
    <w:p w14:paraId="085312F0" w14:textId="15DDE073" w:rsidR="006F0860" w:rsidRPr="00E279E0" w:rsidRDefault="006F0860" w:rsidP="006F0860">
      <w:pPr>
        <w:pStyle w:val="SingleTxtG"/>
        <w:ind w:left="2268" w:hanging="1134"/>
        <w:rPr>
          <w:iCs/>
        </w:rPr>
      </w:pPr>
      <w:r w:rsidRPr="00E279E0">
        <w:rPr>
          <w:iCs/>
        </w:rPr>
        <w:t xml:space="preserve">7.4.1.4. </w:t>
      </w:r>
      <w:r w:rsidRPr="00E279E0">
        <w:rPr>
          <w:iCs/>
        </w:rPr>
        <w:tab/>
        <w:t>Shall extinguish at the next initiation of the powertrain</w:t>
      </w:r>
      <w:r w:rsidRPr="00E279E0">
        <w:rPr>
          <w:b/>
          <w:bCs/>
          <w:iCs/>
        </w:rPr>
        <w:t xml:space="preserve"> </w:t>
      </w:r>
      <w:r w:rsidRPr="00E279E0">
        <w:rPr>
          <w:iCs/>
        </w:rPr>
        <w:t>after the malfunction has been corrected in accordance with paragraph 9.10.4.;</w:t>
      </w:r>
    </w:p>
    <w:p w14:paraId="760A4405" w14:textId="77777777" w:rsidR="006F0860" w:rsidRPr="00E279E0" w:rsidRDefault="006F0860" w:rsidP="006F0860">
      <w:pPr>
        <w:pStyle w:val="SingleTxtG"/>
        <w:ind w:left="2268" w:hanging="1134"/>
        <w:rPr>
          <w:iCs/>
        </w:rPr>
      </w:pPr>
      <w:r w:rsidRPr="00E279E0">
        <w:rPr>
          <w:i/>
        </w:rPr>
        <w:t>Paragraph 7.5.1.</w:t>
      </w:r>
      <w:r w:rsidRPr="001936E2">
        <w:rPr>
          <w:i/>
        </w:rPr>
        <w:t>,</w:t>
      </w:r>
      <w:r w:rsidRPr="00E279E0">
        <w:rPr>
          <w:iCs/>
        </w:rPr>
        <w:t xml:space="preserve"> amend to read:</w:t>
      </w:r>
    </w:p>
    <w:p w14:paraId="02E074EC" w14:textId="7EB71DE2" w:rsidR="006F0860" w:rsidRPr="00E279E0" w:rsidRDefault="006F0860" w:rsidP="00576257">
      <w:pPr>
        <w:pStyle w:val="SingleTxtG"/>
        <w:tabs>
          <w:tab w:val="clear" w:pos="1701"/>
        </w:tabs>
        <w:ind w:left="2268" w:hanging="1134"/>
        <w:rPr>
          <w:iCs/>
        </w:rPr>
      </w:pPr>
      <w:r w:rsidRPr="00E279E0">
        <w:rPr>
          <w:iCs/>
        </w:rPr>
        <w:t>7.5.1.</w:t>
      </w:r>
      <w:r w:rsidRPr="00E279E0">
        <w:rPr>
          <w:iCs/>
        </w:rPr>
        <w:tab/>
        <w:t>The vehicle's ESC system shall always return to the manufacturer's original default mode that satisfies the requirements of paragraphs 6. and 7. at each initiation of the powertrain, regardless of what mode the driver had previously selected. However, the vehicle's ESC system need not return to a mode that satisfies the requirements of paragraphs 7. through 7.3. at each initiation of the powertrain if:</w:t>
      </w:r>
    </w:p>
    <w:p w14:paraId="77F23402" w14:textId="26A627DD" w:rsidR="006F0860" w:rsidRPr="00E279E0" w:rsidRDefault="006F0860" w:rsidP="006F0860">
      <w:pPr>
        <w:pStyle w:val="SingleTxtG"/>
        <w:ind w:left="2268"/>
        <w:rPr>
          <w:iCs/>
        </w:rPr>
      </w:pPr>
      <w:r w:rsidRPr="00E279E0">
        <w:rPr>
          <w:iCs/>
        </w:rPr>
        <w:t>…</w:t>
      </w:r>
    </w:p>
    <w:p w14:paraId="21C22C5D" w14:textId="77777777" w:rsidR="006F0860" w:rsidRPr="00E279E0" w:rsidRDefault="006F0860" w:rsidP="006F0860">
      <w:pPr>
        <w:pStyle w:val="SingleTxtG"/>
        <w:ind w:left="2268" w:hanging="1134"/>
        <w:rPr>
          <w:i/>
        </w:rPr>
      </w:pPr>
      <w:r w:rsidRPr="00E279E0">
        <w:rPr>
          <w:i/>
        </w:rPr>
        <w:t>Paragraph 7.6.2.3.</w:t>
      </w:r>
      <w:r w:rsidRPr="001936E2">
        <w:rPr>
          <w:i/>
        </w:rPr>
        <w:t>,</w:t>
      </w:r>
      <w:r w:rsidRPr="00E279E0">
        <w:rPr>
          <w:iCs/>
        </w:rPr>
        <w:t xml:space="preserve"> amend to read:</w:t>
      </w:r>
    </w:p>
    <w:p w14:paraId="312CAB1A" w14:textId="0B0DACAD" w:rsidR="006F0860" w:rsidRPr="00E279E0" w:rsidRDefault="006F0860" w:rsidP="006F0860">
      <w:pPr>
        <w:pStyle w:val="SingleTxtG"/>
        <w:ind w:left="2268" w:hanging="1134"/>
        <w:rPr>
          <w:iCs/>
        </w:rPr>
      </w:pPr>
      <w:r w:rsidRPr="00E279E0">
        <w:rPr>
          <w:iCs/>
        </w:rPr>
        <w:t xml:space="preserve">7.6.2.3. </w:t>
      </w:r>
      <w:r w:rsidRPr="00E279E0">
        <w:rPr>
          <w:iCs/>
        </w:rPr>
        <w:tab/>
        <w:t>Except as provided in paragraphs 7.6.3. and 7.6.4. each "ESC Off" tell-tale shall be activated as a check of lamp function either when powertrain is initiated or whatever method that is designated by the manufacturer as a check position.</w:t>
      </w:r>
    </w:p>
    <w:p w14:paraId="19ACCA95" w14:textId="77777777" w:rsidR="006F0860" w:rsidRPr="00E279E0" w:rsidRDefault="006F0860" w:rsidP="006F0860">
      <w:pPr>
        <w:pStyle w:val="SingleTxtG"/>
        <w:keepNext/>
        <w:ind w:left="2268" w:hanging="1134"/>
        <w:rPr>
          <w:i/>
        </w:rPr>
      </w:pPr>
      <w:r w:rsidRPr="00E279E0">
        <w:rPr>
          <w:i/>
        </w:rPr>
        <w:t>Paragraph 9.2.</w:t>
      </w:r>
      <w:r w:rsidRPr="001936E2">
        <w:rPr>
          <w:i/>
        </w:rPr>
        <w:t>,</w:t>
      </w:r>
      <w:r w:rsidRPr="00E279E0">
        <w:rPr>
          <w:i/>
        </w:rPr>
        <w:t xml:space="preserve"> </w:t>
      </w:r>
      <w:r w:rsidRPr="00E279E0">
        <w:rPr>
          <w:iCs/>
        </w:rPr>
        <w:t>amend to read:</w:t>
      </w:r>
    </w:p>
    <w:p w14:paraId="14E46A35" w14:textId="1031D724" w:rsidR="006F0860" w:rsidRPr="00E279E0" w:rsidRDefault="006F0860" w:rsidP="006F0860">
      <w:pPr>
        <w:pStyle w:val="SingleTxtG"/>
        <w:ind w:left="2268" w:hanging="1134"/>
      </w:pPr>
      <w:r w:rsidRPr="00E279E0">
        <w:t xml:space="preserve">9.2. </w:t>
      </w:r>
      <w:r w:rsidRPr="00E279E0">
        <w:tab/>
      </w:r>
      <w:r w:rsidRPr="00E279E0">
        <w:tab/>
        <w:t>Tell-tale bulb check. With the vehicle stationary and powertrain deactivated, initiate the powertrain or, where applicable, the appropriate condition for the lamp check. The ESC malfunction tell-tale shall be illuminated as a check of lamp function, as specified in paragraph 7.4.1.3., and if equipped, the "ESC Off" tell-tale shall also be illuminated as a check of lamp function, as specified in paragraph 7.6.2.3. The tell-tale bulb check is not required for a tell-tale shown in a common space as specified in paragraphs 7.4.3. and 7.6.4.</w:t>
      </w:r>
    </w:p>
    <w:p w14:paraId="19CB2FF3" w14:textId="77777777" w:rsidR="006F0860" w:rsidRPr="00E279E0" w:rsidRDefault="006F0860" w:rsidP="006F0860">
      <w:pPr>
        <w:pStyle w:val="SingleTxtG"/>
        <w:ind w:left="2268" w:hanging="1134"/>
        <w:rPr>
          <w:i/>
        </w:rPr>
      </w:pPr>
      <w:r w:rsidRPr="00E279E0">
        <w:rPr>
          <w:i/>
        </w:rPr>
        <w:t>Paragraph 9.3.</w:t>
      </w:r>
      <w:r w:rsidRPr="001936E2">
        <w:rPr>
          <w:i/>
        </w:rPr>
        <w:t>,</w:t>
      </w:r>
      <w:r w:rsidRPr="00E279E0">
        <w:rPr>
          <w:iCs/>
        </w:rPr>
        <w:t xml:space="preserve"> amend to read:</w:t>
      </w:r>
    </w:p>
    <w:p w14:paraId="22FB35B3" w14:textId="76960896" w:rsidR="006F0860" w:rsidRPr="00E279E0" w:rsidRDefault="006F0860" w:rsidP="006F0860">
      <w:pPr>
        <w:pStyle w:val="SingleTxtG"/>
        <w:ind w:left="2268" w:hanging="1134"/>
      </w:pPr>
      <w:r w:rsidRPr="00E279E0">
        <w:t xml:space="preserve">9.3. </w:t>
      </w:r>
      <w:r w:rsidRPr="00E279E0">
        <w:tab/>
      </w:r>
      <w:r w:rsidRPr="00E279E0">
        <w:tab/>
        <w:t>"ESC Off" control check. For vehicles equipped with an "ESC Off" control, with the vehicle stationary and the powertrain deactivated, initiate the powertrain. Activate the "ESC Off" control and verify that the "ESC Off" tell</w:t>
      </w:r>
      <w:r w:rsidRPr="001936E2">
        <w:t>-</w:t>
      </w:r>
      <w:r w:rsidRPr="00E279E0">
        <w:t>tale is illuminated, as specified in paragraph 7.6.2. Deactivate the powertrain, then again, initiate the powertrain and verify that the "ESC Off" tell-tale has extinguished indicating that the ESC system has been restored as specified in paragraph 7.5.1.</w:t>
      </w:r>
    </w:p>
    <w:p w14:paraId="1A47E541" w14:textId="77777777" w:rsidR="006F0860" w:rsidRPr="00E279E0" w:rsidRDefault="006F0860" w:rsidP="00D63183">
      <w:pPr>
        <w:pStyle w:val="SingleTxtG"/>
        <w:keepNext/>
        <w:keepLines/>
        <w:ind w:left="2268" w:hanging="1134"/>
        <w:rPr>
          <w:i/>
        </w:rPr>
      </w:pPr>
      <w:r w:rsidRPr="00E279E0">
        <w:rPr>
          <w:i/>
        </w:rPr>
        <w:lastRenderedPageBreak/>
        <w:t>Paragraph 9.10.2.</w:t>
      </w:r>
      <w:r w:rsidRPr="001936E2">
        <w:rPr>
          <w:i/>
        </w:rPr>
        <w:t>,</w:t>
      </w:r>
      <w:r w:rsidRPr="00E279E0">
        <w:rPr>
          <w:iCs/>
        </w:rPr>
        <w:t xml:space="preserve"> amend to read:</w:t>
      </w:r>
    </w:p>
    <w:p w14:paraId="53329E31" w14:textId="35101E36" w:rsidR="006F0860" w:rsidRPr="00E279E0" w:rsidRDefault="006F0860" w:rsidP="00576257">
      <w:pPr>
        <w:pStyle w:val="SingleTxtG"/>
        <w:tabs>
          <w:tab w:val="clear" w:pos="1701"/>
        </w:tabs>
        <w:ind w:left="2268" w:hanging="1134"/>
      </w:pPr>
      <w:r w:rsidRPr="00E279E0">
        <w:t>9.10.2.</w:t>
      </w:r>
      <w:r>
        <w:tab/>
      </w:r>
      <w:r w:rsidRPr="00E279E0">
        <w:t xml:space="preserve">With the vehicle initially stationary and the powertrain deactivated, initiate the powertrain. Drive the vehicle forward to obtain a vehicle speed of 48 ± 8 km/h. </w:t>
      </w:r>
      <w:r w:rsidR="00576257">
        <w:t>Thirty</w:t>
      </w:r>
      <w:r w:rsidRPr="00E279E0">
        <w:t xml:space="preserve"> seconds, at the latest, after the initiation of the powertrain and within the next two minutes at this speed, conduct at least one left and one right smooth turning manoeuvre without losing directional stability and one brake application. Verify that the ESC malfunction indicator illuminates in accordance with paragraph 7.4. by the end of these manoeuvres.</w:t>
      </w:r>
    </w:p>
    <w:p w14:paraId="57EBA4C0" w14:textId="77777777" w:rsidR="006F0860" w:rsidRPr="00E279E0" w:rsidRDefault="006F0860" w:rsidP="006F0860">
      <w:pPr>
        <w:pStyle w:val="SingleTxtG"/>
        <w:ind w:left="2268" w:hanging="1134"/>
        <w:rPr>
          <w:i/>
        </w:rPr>
      </w:pPr>
      <w:r w:rsidRPr="00E279E0">
        <w:rPr>
          <w:i/>
        </w:rPr>
        <w:t>Paragraph 9.10.3.</w:t>
      </w:r>
      <w:r w:rsidRPr="001936E2">
        <w:rPr>
          <w:i/>
        </w:rPr>
        <w:t>,</w:t>
      </w:r>
      <w:r w:rsidRPr="00E279E0">
        <w:rPr>
          <w:iCs/>
        </w:rPr>
        <w:t xml:space="preserve"> amend to read:</w:t>
      </w:r>
    </w:p>
    <w:p w14:paraId="061C499F" w14:textId="16B4A907" w:rsidR="006F0860" w:rsidRPr="00E279E0" w:rsidRDefault="006F0860" w:rsidP="00576257">
      <w:pPr>
        <w:pStyle w:val="SingleTxtG"/>
        <w:tabs>
          <w:tab w:val="clear" w:pos="1701"/>
        </w:tabs>
        <w:ind w:left="2268" w:hanging="1134"/>
      </w:pPr>
      <w:r w:rsidRPr="00E279E0">
        <w:t>9.10.3.</w:t>
      </w:r>
      <w:r w:rsidRPr="00E279E0">
        <w:tab/>
        <w:t>Stop the vehicle</w:t>
      </w:r>
      <w:r w:rsidRPr="001936E2">
        <w:t xml:space="preserve"> </w:t>
      </w:r>
      <w:r w:rsidRPr="00E279E0">
        <w:t>and deactivate the powertrain. After a five-minute period, initiate the powertrain. Verify that the ESC malfunction indicator again illuminates to signal a malfunction and remains illuminated as long as the powertrain is initiated or until the fault is corrected.</w:t>
      </w:r>
    </w:p>
    <w:p w14:paraId="06411382" w14:textId="77777777" w:rsidR="006F0860" w:rsidRPr="00E279E0" w:rsidRDefault="006F0860" w:rsidP="006F0860">
      <w:pPr>
        <w:pStyle w:val="SingleTxtG"/>
        <w:ind w:left="2268" w:hanging="1134"/>
        <w:rPr>
          <w:i/>
        </w:rPr>
      </w:pPr>
      <w:r w:rsidRPr="00E279E0">
        <w:rPr>
          <w:i/>
        </w:rPr>
        <w:t>Paragraph 9.10.4.</w:t>
      </w:r>
      <w:r w:rsidRPr="001936E2">
        <w:rPr>
          <w:iCs/>
        </w:rPr>
        <w:t>,</w:t>
      </w:r>
      <w:r w:rsidRPr="00E279E0">
        <w:rPr>
          <w:iCs/>
        </w:rPr>
        <w:t xml:space="preserve"> amend to read:</w:t>
      </w:r>
    </w:p>
    <w:p w14:paraId="4BC68E99" w14:textId="1F9F1CF8" w:rsidR="00B143A1" w:rsidRPr="004F1AE5" w:rsidRDefault="006F0860" w:rsidP="00576257">
      <w:pPr>
        <w:pStyle w:val="SingleTxtG"/>
        <w:tabs>
          <w:tab w:val="clear" w:pos="1701"/>
        </w:tabs>
        <w:ind w:left="2268" w:hanging="1134"/>
      </w:pPr>
      <w:r w:rsidRPr="00E279E0">
        <w:t>9.10.4.</w:t>
      </w:r>
      <w:r w:rsidRPr="00E279E0">
        <w:tab/>
        <w:t>Deactivate the powertrain. Restore the ESC system to normal operation</w:t>
      </w:r>
      <w:r w:rsidRPr="001936E2">
        <w:t>,</w:t>
      </w:r>
      <w:r w:rsidRPr="00E279E0">
        <w:t xml:space="preserve"> initiate the powertrain. Re-perform the manoeuvre described in paragraph</w:t>
      </w:r>
      <w:r>
        <w:t> </w:t>
      </w:r>
      <w:r w:rsidRPr="00E279E0">
        <w:t>9.10.2. and verify that the tell-tale has extinguished within this time or immediately afterwards.</w:t>
      </w:r>
    </w:p>
    <w:p w14:paraId="7B364DBC" w14:textId="695FB784"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CAD3" w14:textId="77777777" w:rsidR="00D405F1" w:rsidRDefault="00D405F1"/>
  </w:endnote>
  <w:endnote w:type="continuationSeparator" w:id="0">
    <w:p w14:paraId="26E31B4E" w14:textId="77777777" w:rsidR="00D405F1" w:rsidRDefault="00D405F1"/>
  </w:endnote>
  <w:endnote w:type="continuationNotice" w:id="1">
    <w:p w14:paraId="6ACAFDCB" w14:textId="77777777" w:rsidR="00D405F1" w:rsidRDefault="00D40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DAE1" w14:textId="77777777" w:rsidR="00D405F1" w:rsidRPr="000B175B" w:rsidRDefault="00D405F1" w:rsidP="000B175B">
      <w:pPr>
        <w:tabs>
          <w:tab w:val="right" w:pos="2155"/>
        </w:tabs>
        <w:spacing w:after="80"/>
        <w:ind w:left="680"/>
        <w:rPr>
          <w:u w:val="single"/>
        </w:rPr>
      </w:pPr>
      <w:r>
        <w:rPr>
          <w:u w:val="single"/>
        </w:rPr>
        <w:tab/>
      </w:r>
    </w:p>
  </w:footnote>
  <w:footnote w:type="continuationSeparator" w:id="0">
    <w:p w14:paraId="3A4AFCA9" w14:textId="77777777" w:rsidR="00D405F1" w:rsidRPr="00FC68B7" w:rsidRDefault="00D405F1" w:rsidP="00FC68B7">
      <w:pPr>
        <w:tabs>
          <w:tab w:val="left" w:pos="2155"/>
        </w:tabs>
        <w:spacing w:after="80"/>
        <w:ind w:left="680"/>
        <w:rPr>
          <w:u w:val="single"/>
        </w:rPr>
      </w:pPr>
      <w:r>
        <w:rPr>
          <w:u w:val="single"/>
        </w:rPr>
        <w:tab/>
      </w:r>
    </w:p>
  </w:footnote>
  <w:footnote w:type="continuationNotice" w:id="1">
    <w:p w14:paraId="49628F63" w14:textId="77777777" w:rsidR="00D405F1" w:rsidRDefault="00D405F1"/>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 xml:space="preserve">In accordance with the </w:t>
      </w:r>
      <w:proofErr w:type="spellStart"/>
      <w:r w:rsidR="00197324" w:rsidRPr="00197324">
        <w:rPr>
          <w:szCs w:val="18"/>
          <w:lang w:val="en-US"/>
        </w:rPr>
        <w:t>programme</w:t>
      </w:r>
      <w:proofErr w:type="spellEnd"/>
      <w:r w:rsidR="00197324" w:rsidRPr="00197324">
        <w:rPr>
          <w:szCs w:val="18"/>
          <w:lang w:val="en-US"/>
        </w:rPr>
        <w:t xml:space="preserve"> of work of the Inland Transport Committee for 2026 as outlined in proposed </w:t>
      </w:r>
      <w:proofErr w:type="spellStart"/>
      <w:r w:rsidR="00197324" w:rsidRPr="00197324">
        <w:rPr>
          <w:szCs w:val="18"/>
          <w:lang w:val="en-US"/>
        </w:rPr>
        <w:t>programme</w:t>
      </w:r>
      <w:proofErr w:type="spellEnd"/>
      <w:r w:rsidR="00197324" w:rsidRPr="00197324">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2E077FC8" w:rsidR="009C0BD0" w:rsidRPr="009C0BD0" w:rsidRDefault="004E3F24">
    <w:pPr>
      <w:pStyle w:val="Header"/>
    </w:pPr>
    <w:r>
      <w:t>ECE/TRANS/WP.29/2025/</w:t>
    </w:r>
    <w:r w:rsidR="006D5A3C">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62E2E585" w:rsidR="009C0BD0" w:rsidRPr="009C0BD0" w:rsidRDefault="004E3F24" w:rsidP="009C0BD0">
    <w:pPr>
      <w:pStyle w:val="Header"/>
      <w:jc w:val="right"/>
    </w:pPr>
    <w:r>
      <w:t>ECE/TRANS/WP.29/2025/</w:t>
    </w:r>
    <w:r w:rsidR="006F0860">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8"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4"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5"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9"/>
  </w:num>
  <w:num w:numId="12" w16cid:durableId="1492715315">
    <w:abstractNumId w:val="15"/>
  </w:num>
  <w:num w:numId="13" w16cid:durableId="1396975989">
    <w:abstractNumId w:val="10"/>
  </w:num>
  <w:num w:numId="14" w16cid:durableId="304507896">
    <w:abstractNumId w:val="13"/>
  </w:num>
  <w:num w:numId="15" w16cid:durableId="327945471">
    <w:abstractNumId w:val="21"/>
  </w:num>
  <w:num w:numId="16" w16cid:durableId="2127002688">
    <w:abstractNumId w:val="14"/>
  </w:num>
  <w:num w:numId="17" w16cid:durableId="237521305">
    <w:abstractNumId w:val="26"/>
  </w:num>
  <w:num w:numId="18" w16cid:durableId="1401321970">
    <w:abstractNumId w:val="30"/>
  </w:num>
  <w:num w:numId="19" w16cid:durableId="1612278803">
    <w:abstractNumId w:val="12"/>
  </w:num>
  <w:num w:numId="20" w16cid:durableId="574047798">
    <w:abstractNumId w:val="29"/>
  </w:num>
  <w:num w:numId="21" w16cid:durableId="1464494582">
    <w:abstractNumId w:val="27"/>
  </w:num>
  <w:num w:numId="22" w16cid:durableId="2059934419">
    <w:abstractNumId w:val="22"/>
  </w:num>
  <w:num w:numId="23" w16cid:durableId="1349022356">
    <w:abstractNumId w:val="24"/>
  </w:num>
  <w:num w:numId="24" w16cid:durableId="1548225525">
    <w:abstractNumId w:val="20"/>
  </w:num>
  <w:num w:numId="25" w16cid:durableId="1091782387">
    <w:abstractNumId w:val="18"/>
  </w:num>
  <w:num w:numId="26" w16cid:durableId="533424898">
    <w:abstractNumId w:val="11"/>
  </w:num>
  <w:num w:numId="27" w16cid:durableId="98280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3"/>
  </w:num>
  <w:num w:numId="29" w16cid:durableId="1959027185">
    <w:abstractNumId w:val="25"/>
  </w:num>
  <w:num w:numId="30" w16cid:durableId="1961179401">
    <w:abstractNumId w:val="16"/>
  </w:num>
  <w:num w:numId="31" w16cid:durableId="30547856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324B3"/>
    <w:rsid w:val="0004342D"/>
    <w:rsid w:val="00050F6B"/>
    <w:rsid w:val="0006705A"/>
    <w:rsid w:val="000678CD"/>
    <w:rsid w:val="00067BDE"/>
    <w:rsid w:val="00072C8C"/>
    <w:rsid w:val="0007639E"/>
    <w:rsid w:val="00081CE0"/>
    <w:rsid w:val="00084D30"/>
    <w:rsid w:val="00090320"/>
    <w:rsid w:val="000931C0"/>
    <w:rsid w:val="00097003"/>
    <w:rsid w:val="000A0C97"/>
    <w:rsid w:val="000A2E09"/>
    <w:rsid w:val="000B175B"/>
    <w:rsid w:val="000B3A0F"/>
    <w:rsid w:val="000C3985"/>
    <w:rsid w:val="000C6A2B"/>
    <w:rsid w:val="000D1A6E"/>
    <w:rsid w:val="000D7DB2"/>
    <w:rsid w:val="000E0415"/>
    <w:rsid w:val="000E2BF3"/>
    <w:rsid w:val="000F7715"/>
    <w:rsid w:val="00103980"/>
    <w:rsid w:val="00105EFD"/>
    <w:rsid w:val="00114F10"/>
    <w:rsid w:val="0011522A"/>
    <w:rsid w:val="00121BF8"/>
    <w:rsid w:val="00123F96"/>
    <w:rsid w:val="00133005"/>
    <w:rsid w:val="00137DB7"/>
    <w:rsid w:val="00151E75"/>
    <w:rsid w:val="0015386E"/>
    <w:rsid w:val="00156B99"/>
    <w:rsid w:val="001656CA"/>
    <w:rsid w:val="00166124"/>
    <w:rsid w:val="0017043F"/>
    <w:rsid w:val="0018203F"/>
    <w:rsid w:val="00184DDA"/>
    <w:rsid w:val="001900CD"/>
    <w:rsid w:val="001923E0"/>
    <w:rsid w:val="00197324"/>
    <w:rsid w:val="001A0452"/>
    <w:rsid w:val="001A74AA"/>
    <w:rsid w:val="001B0AC9"/>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07F4"/>
    <w:rsid w:val="00211CE0"/>
    <w:rsid w:val="00211E0B"/>
    <w:rsid w:val="00212003"/>
    <w:rsid w:val="002170B9"/>
    <w:rsid w:val="00220A1F"/>
    <w:rsid w:val="002256A9"/>
    <w:rsid w:val="0022621F"/>
    <w:rsid w:val="00232123"/>
    <w:rsid w:val="00232575"/>
    <w:rsid w:val="002375EC"/>
    <w:rsid w:val="00247258"/>
    <w:rsid w:val="0024765E"/>
    <w:rsid w:val="00257CAC"/>
    <w:rsid w:val="0027103F"/>
    <w:rsid w:val="0027237A"/>
    <w:rsid w:val="002974E9"/>
    <w:rsid w:val="002A306B"/>
    <w:rsid w:val="002A7F94"/>
    <w:rsid w:val="002B109A"/>
    <w:rsid w:val="002C541C"/>
    <w:rsid w:val="002C6D45"/>
    <w:rsid w:val="002D07DC"/>
    <w:rsid w:val="002D3F2F"/>
    <w:rsid w:val="002D5EFB"/>
    <w:rsid w:val="002D657D"/>
    <w:rsid w:val="002D6E53"/>
    <w:rsid w:val="002D7626"/>
    <w:rsid w:val="002D7B8E"/>
    <w:rsid w:val="002E5854"/>
    <w:rsid w:val="002F046D"/>
    <w:rsid w:val="002F3023"/>
    <w:rsid w:val="002F7550"/>
    <w:rsid w:val="00300E72"/>
    <w:rsid w:val="00301764"/>
    <w:rsid w:val="00311B27"/>
    <w:rsid w:val="003229D8"/>
    <w:rsid w:val="003275F4"/>
    <w:rsid w:val="00332CB2"/>
    <w:rsid w:val="00336C97"/>
    <w:rsid w:val="00336D30"/>
    <w:rsid w:val="00337F88"/>
    <w:rsid w:val="00342432"/>
    <w:rsid w:val="00347B5B"/>
    <w:rsid w:val="00350E4B"/>
    <w:rsid w:val="0035223F"/>
    <w:rsid w:val="003522AC"/>
    <w:rsid w:val="00352D4B"/>
    <w:rsid w:val="00354C5C"/>
    <w:rsid w:val="0035638C"/>
    <w:rsid w:val="00361EB3"/>
    <w:rsid w:val="00371D9B"/>
    <w:rsid w:val="00377F8D"/>
    <w:rsid w:val="003813F2"/>
    <w:rsid w:val="003A46BB"/>
    <w:rsid w:val="003A4EC7"/>
    <w:rsid w:val="003A548B"/>
    <w:rsid w:val="003A7295"/>
    <w:rsid w:val="003B1F60"/>
    <w:rsid w:val="003C2CC4"/>
    <w:rsid w:val="003D3FB9"/>
    <w:rsid w:val="003D4B23"/>
    <w:rsid w:val="003E1106"/>
    <w:rsid w:val="003E278A"/>
    <w:rsid w:val="003E697F"/>
    <w:rsid w:val="003E7D05"/>
    <w:rsid w:val="003F05B6"/>
    <w:rsid w:val="00413520"/>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16C"/>
    <w:rsid w:val="004927BA"/>
    <w:rsid w:val="004A495D"/>
    <w:rsid w:val="004A5D33"/>
    <w:rsid w:val="004B249E"/>
    <w:rsid w:val="004B5F46"/>
    <w:rsid w:val="004B67A4"/>
    <w:rsid w:val="004C52C0"/>
    <w:rsid w:val="004C55B0"/>
    <w:rsid w:val="004C7705"/>
    <w:rsid w:val="004D25C0"/>
    <w:rsid w:val="004D6585"/>
    <w:rsid w:val="004E2758"/>
    <w:rsid w:val="004E3F24"/>
    <w:rsid w:val="004E461B"/>
    <w:rsid w:val="004E493A"/>
    <w:rsid w:val="004E4D53"/>
    <w:rsid w:val="004E5BDA"/>
    <w:rsid w:val="004F6BA0"/>
    <w:rsid w:val="00501278"/>
    <w:rsid w:val="00501F75"/>
    <w:rsid w:val="00503BEA"/>
    <w:rsid w:val="00524040"/>
    <w:rsid w:val="00533616"/>
    <w:rsid w:val="0053465F"/>
    <w:rsid w:val="00535567"/>
    <w:rsid w:val="005355BD"/>
    <w:rsid w:val="00535ABA"/>
    <w:rsid w:val="0053768B"/>
    <w:rsid w:val="005414CF"/>
    <w:rsid w:val="005420F2"/>
    <w:rsid w:val="0054285C"/>
    <w:rsid w:val="005440D1"/>
    <w:rsid w:val="00550446"/>
    <w:rsid w:val="005534C9"/>
    <w:rsid w:val="0055430B"/>
    <w:rsid w:val="00557DB6"/>
    <w:rsid w:val="00563114"/>
    <w:rsid w:val="005670E0"/>
    <w:rsid w:val="00572C6C"/>
    <w:rsid w:val="00576257"/>
    <w:rsid w:val="00576765"/>
    <w:rsid w:val="00584173"/>
    <w:rsid w:val="00584319"/>
    <w:rsid w:val="005860B0"/>
    <w:rsid w:val="00595520"/>
    <w:rsid w:val="005A17C5"/>
    <w:rsid w:val="005A29EF"/>
    <w:rsid w:val="005A44B9"/>
    <w:rsid w:val="005A5201"/>
    <w:rsid w:val="005B1BA0"/>
    <w:rsid w:val="005B3DB3"/>
    <w:rsid w:val="005C0268"/>
    <w:rsid w:val="005C4250"/>
    <w:rsid w:val="005C5BF2"/>
    <w:rsid w:val="005C62F9"/>
    <w:rsid w:val="005D15CA"/>
    <w:rsid w:val="005D184A"/>
    <w:rsid w:val="005E08D5"/>
    <w:rsid w:val="005E421B"/>
    <w:rsid w:val="005F08DF"/>
    <w:rsid w:val="005F1C66"/>
    <w:rsid w:val="005F2C2E"/>
    <w:rsid w:val="005F3066"/>
    <w:rsid w:val="005F3E61"/>
    <w:rsid w:val="0060353C"/>
    <w:rsid w:val="00604DDD"/>
    <w:rsid w:val="0061041B"/>
    <w:rsid w:val="006107D6"/>
    <w:rsid w:val="006115CC"/>
    <w:rsid w:val="00611FC4"/>
    <w:rsid w:val="006155D9"/>
    <w:rsid w:val="006165E3"/>
    <w:rsid w:val="006176FB"/>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553B"/>
    <w:rsid w:val="006B67D9"/>
    <w:rsid w:val="006C3F15"/>
    <w:rsid w:val="006C4B95"/>
    <w:rsid w:val="006C5535"/>
    <w:rsid w:val="006D0589"/>
    <w:rsid w:val="006D5A3C"/>
    <w:rsid w:val="006E0929"/>
    <w:rsid w:val="006E21FE"/>
    <w:rsid w:val="006E2998"/>
    <w:rsid w:val="006E564B"/>
    <w:rsid w:val="006E7154"/>
    <w:rsid w:val="006F0860"/>
    <w:rsid w:val="006F160A"/>
    <w:rsid w:val="006F1CC9"/>
    <w:rsid w:val="007003CD"/>
    <w:rsid w:val="0070260E"/>
    <w:rsid w:val="00705411"/>
    <w:rsid w:val="0070701E"/>
    <w:rsid w:val="0071435B"/>
    <w:rsid w:val="00717ED2"/>
    <w:rsid w:val="0072632A"/>
    <w:rsid w:val="007358E8"/>
    <w:rsid w:val="00736ECE"/>
    <w:rsid w:val="00741B34"/>
    <w:rsid w:val="007445C2"/>
    <w:rsid w:val="00744AFE"/>
    <w:rsid w:val="0074533B"/>
    <w:rsid w:val="00753472"/>
    <w:rsid w:val="00757926"/>
    <w:rsid w:val="007643BC"/>
    <w:rsid w:val="00770B00"/>
    <w:rsid w:val="00772770"/>
    <w:rsid w:val="00780C59"/>
    <w:rsid w:val="00780C68"/>
    <w:rsid w:val="007916B2"/>
    <w:rsid w:val="0079310D"/>
    <w:rsid w:val="007959FE"/>
    <w:rsid w:val="00796A57"/>
    <w:rsid w:val="007A0CF1"/>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50FF"/>
    <w:rsid w:val="007E54BB"/>
    <w:rsid w:val="007F2C34"/>
    <w:rsid w:val="007F3FB0"/>
    <w:rsid w:val="007F5A74"/>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5656C"/>
    <w:rsid w:val="008629BD"/>
    <w:rsid w:val="008631E4"/>
    <w:rsid w:val="00866327"/>
    <w:rsid w:val="00866893"/>
    <w:rsid w:val="00866F02"/>
    <w:rsid w:val="00867D18"/>
    <w:rsid w:val="00871F9A"/>
    <w:rsid w:val="00871FD5"/>
    <w:rsid w:val="008801D9"/>
    <w:rsid w:val="0088172E"/>
    <w:rsid w:val="00881EFA"/>
    <w:rsid w:val="008879CB"/>
    <w:rsid w:val="008879D8"/>
    <w:rsid w:val="00895B7E"/>
    <w:rsid w:val="008979B1"/>
    <w:rsid w:val="008A6B25"/>
    <w:rsid w:val="008A6C4F"/>
    <w:rsid w:val="008B389E"/>
    <w:rsid w:val="008C0DB4"/>
    <w:rsid w:val="008C361F"/>
    <w:rsid w:val="008D045E"/>
    <w:rsid w:val="008D1C79"/>
    <w:rsid w:val="008D3F25"/>
    <w:rsid w:val="008D4D82"/>
    <w:rsid w:val="008E04FC"/>
    <w:rsid w:val="008E0E46"/>
    <w:rsid w:val="008E1B6C"/>
    <w:rsid w:val="008E23B8"/>
    <w:rsid w:val="008E66C5"/>
    <w:rsid w:val="008E7116"/>
    <w:rsid w:val="008F143B"/>
    <w:rsid w:val="008F3882"/>
    <w:rsid w:val="008F4B7C"/>
    <w:rsid w:val="008F7582"/>
    <w:rsid w:val="00902684"/>
    <w:rsid w:val="00916338"/>
    <w:rsid w:val="0091671C"/>
    <w:rsid w:val="00925113"/>
    <w:rsid w:val="0092556A"/>
    <w:rsid w:val="00926E47"/>
    <w:rsid w:val="00936D1B"/>
    <w:rsid w:val="00947162"/>
    <w:rsid w:val="0095002B"/>
    <w:rsid w:val="00952DA7"/>
    <w:rsid w:val="009610D0"/>
    <w:rsid w:val="00961874"/>
    <w:rsid w:val="00961F5F"/>
    <w:rsid w:val="0096375C"/>
    <w:rsid w:val="009662E6"/>
    <w:rsid w:val="00967647"/>
    <w:rsid w:val="0097095E"/>
    <w:rsid w:val="0098592B"/>
    <w:rsid w:val="00985FC4"/>
    <w:rsid w:val="00990766"/>
    <w:rsid w:val="00991261"/>
    <w:rsid w:val="0099368D"/>
    <w:rsid w:val="009964C4"/>
    <w:rsid w:val="009A0EB4"/>
    <w:rsid w:val="009A7B81"/>
    <w:rsid w:val="009B011B"/>
    <w:rsid w:val="009B7EB7"/>
    <w:rsid w:val="009C0BD0"/>
    <w:rsid w:val="009D01C0"/>
    <w:rsid w:val="009D172A"/>
    <w:rsid w:val="009D1CED"/>
    <w:rsid w:val="009D1FEE"/>
    <w:rsid w:val="009D24A7"/>
    <w:rsid w:val="009D6A08"/>
    <w:rsid w:val="009E0A16"/>
    <w:rsid w:val="009E6CB7"/>
    <w:rsid w:val="009E7970"/>
    <w:rsid w:val="009F2EAC"/>
    <w:rsid w:val="009F57E3"/>
    <w:rsid w:val="00A0126D"/>
    <w:rsid w:val="00A077A2"/>
    <w:rsid w:val="00A10F4F"/>
    <w:rsid w:val="00A11067"/>
    <w:rsid w:val="00A1704A"/>
    <w:rsid w:val="00A21409"/>
    <w:rsid w:val="00A27B61"/>
    <w:rsid w:val="00A36AC2"/>
    <w:rsid w:val="00A425EB"/>
    <w:rsid w:val="00A478E9"/>
    <w:rsid w:val="00A64898"/>
    <w:rsid w:val="00A72F22"/>
    <w:rsid w:val="00A733BC"/>
    <w:rsid w:val="00A748A6"/>
    <w:rsid w:val="00A7496B"/>
    <w:rsid w:val="00A76A69"/>
    <w:rsid w:val="00A8092D"/>
    <w:rsid w:val="00A879A4"/>
    <w:rsid w:val="00A949C8"/>
    <w:rsid w:val="00AA0FF8"/>
    <w:rsid w:val="00AC0F2C"/>
    <w:rsid w:val="00AC502A"/>
    <w:rsid w:val="00AE1E26"/>
    <w:rsid w:val="00AE6D41"/>
    <w:rsid w:val="00AF29A1"/>
    <w:rsid w:val="00AF58C1"/>
    <w:rsid w:val="00B04A3F"/>
    <w:rsid w:val="00B06643"/>
    <w:rsid w:val="00B143A1"/>
    <w:rsid w:val="00B15055"/>
    <w:rsid w:val="00B20551"/>
    <w:rsid w:val="00B26149"/>
    <w:rsid w:val="00B30179"/>
    <w:rsid w:val="00B310B1"/>
    <w:rsid w:val="00B31E0B"/>
    <w:rsid w:val="00B33FC7"/>
    <w:rsid w:val="00B37B15"/>
    <w:rsid w:val="00B4162A"/>
    <w:rsid w:val="00B45C02"/>
    <w:rsid w:val="00B4733D"/>
    <w:rsid w:val="00B555E3"/>
    <w:rsid w:val="00B672B1"/>
    <w:rsid w:val="00B70B63"/>
    <w:rsid w:val="00B72A1E"/>
    <w:rsid w:val="00B81E12"/>
    <w:rsid w:val="00B82F98"/>
    <w:rsid w:val="00B943C9"/>
    <w:rsid w:val="00B95713"/>
    <w:rsid w:val="00BA339B"/>
    <w:rsid w:val="00BB23CC"/>
    <w:rsid w:val="00BC1E7E"/>
    <w:rsid w:val="00BC74E9"/>
    <w:rsid w:val="00BD3F06"/>
    <w:rsid w:val="00BD414C"/>
    <w:rsid w:val="00BE3084"/>
    <w:rsid w:val="00BE36A9"/>
    <w:rsid w:val="00BE4652"/>
    <w:rsid w:val="00BE618E"/>
    <w:rsid w:val="00BE7BEC"/>
    <w:rsid w:val="00BF0A5A"/>
    <w:rsid w:val="00BF0E63"/>
    <w:rsid w:val="00BF12A3"/>
    <w:rsid w:val="00BF16D7"/>
    <w:rsid w:val="00BF2373"/>
    <w:rsid w:val="00BF279B"/>
    <w:rsid w:val="00BF7CEF"/>
    <w:rsid w:val="00C039AC"/>
    <w:rsid w:val="00C044E2"/>
    <w:rsid w:val="00C048CB"/>
    <w:rsid w:val="00C04C90"/>
    <w:rsid w:val="00C066F3"/>
    <w:rsid w:val="00C06C09"/>
    <w:rsid w:val="00C07DF8"/>
    <w:rsid w:val="00C22526"/>
    <w:rsid w:val="00C234D3"/>
    <w:rsid w:val="00C27B49"/>
    <w:rsid w:val="00C32117"/>
    <w:rsid w:val="00C327FF"/>
    <w:rsid w:val="00C33702"/>
    <w:rsid w:val="00C429A6"/>
    <w:rsid w:val="00C463DD"/>
    <w:rsid w:val="00C5331F"/>
    <w:rsid w:val="00C64A23"/>
    <w:rsid w:val="00C6791A"/>
    <w:rsid w:val="00C73265"/>
    <w:rsid w:val="00C73CB4"/>
    <w:rsid w:val="00C745C3"/>
    <w:rsid w:val="00C927BA"/>
    <w:rsid w:val="00C95A4D"/>
    <w:rsid w:val="00C95F62"/>
    <w:rsid w:val="00C978F5"/>
    <w:rsid w:val="00CA24A4"/>
    <w:rsid w:val="00CA32AA"/>
    <w:rsid w:val="00CA5BFD"/>
    <w:rsid w:val="00CB15F8"/>
    <w:rsid w:val="00CB348D"/>
    <w:rsid w:val="00CD46F5"/>
    <w:rsid w:val="00CE1656"/>
    <w:rsid w:val="00CE1B7D"/>
    <w:rsid w:val="00CE4A8F"/>
    <w:rsid w:val="00CF071D"/>
    <w:rsid w:val="00CF3A14"/>
    <w:rsid w:val="00D0123D"/>
    <w:rsid w:val="00D036A5"/>
    <w:rsid w:val="00D04356"/>
    <w:rsid w:val="00D07CEF"/>
    <w:rsid w:val="00D15B04"/>
    <w:rsid w:val="00D2031B"/>
    <w:rsid w:val="00D25FE2"/>
    <w:rsid w:val="00D31A65"/>
    <w:rsid w:val="00D37DA9"/>
    <w:rsid w:val="00D405F1"/>
    <w:rsid w:val="00D406A7"/>
    <w:rsid w:val="00D41AE9"/>
    <w:rsid w:val="00D43252"/>
    <w:rsid w:val="00D44D86"/>
    <w:rsid w:val="00D46FEC"/>
    <w:rsid w:val="00D47784"/>
    <w:rsid w:val="00D50B7D"/>
    <w:rsid w:val="00D52012"/>
    <w:rsid w:val="00D564D1"/>
    <w:rsid w:val="00D57B90"/>
    <w:rsid w:val="00D63183"/>
    <w:rsid w:val="00D6608D"/>
    <w:rsid w:val="00D704E5"/>
    <w:rsid w:val="00D72727"/>
    <w:rsid w:val="00D978C6"/>
    <w:rsid w:val="00DA0956"/>
    <w:rsid w:val="00DA2535"/>
    <w:rsid w:val="00DA357F"/>
    <w:rsid w:val="00DA3E12"/>
    <w:rsid w:val="00DB6575"/>
    <w:rsid w:val="00DC028F"/>
    <w:rsid w:val="00DC0AE9"/>
    <w:rsid w:val="00DC18AD"/>
    <w:rsid w:val="00DD6CDA"/>
    <w:rsid w:val="00DF414D"/>
    <w:rsid w:val="00DF7CAE"/>
    <w:rsid w:val="00E04B06"/>
    <w:rsid w:val="00E050C2"/>
    <w:rsid w:val="00E07728"/>
    <w:rsid w:val="00E35781"/>
    <w:rsid w:val="00E417C3"/>
    <w:rsid w:val="00E423C0"/>
    <w:rsid w:val="00E43963"/>
    <w:rsid w:val="00E51E0D"/>
    <w:rsid w:val="00E52C51"/>
    <w:rsid w:val="00E6414C"/>
    <w:rsid w:val="00E64C9D"/>
    <w:rsid w:val="00E7260F"/>
    <w:rsid w:val="00E72F25"/>
    <w:rsid w:val="00E76E46"/>
    <w:rsid w:val="00E82644"/>
    <w:rsid w:val="00E8702D"/>
    <w:rsid w:val="00E905F4"/>
    <w:rsid w:val="00E916A9"/>
    <w:rsid w:val="00E916DE"/>
    <w:rsid w:val="00E925AD"/>
    <w:rsid w:val="00E931AD"/>
    <w:rsid w:val="00E96630"/>
    <w:rsid w:val="00EA0F44"/>
    <w:rsid w:val="00EA4314"/>
    <w:rsid w:val="00EA73A2"/>
    <w:rsid w:val="00EB2F70"/>
    <w:rsid w:val="00EB4FA1"/>
    <w:rsid w:val="00EB7E44"/>
    <w:rsid w:val="00ED18DC"/>
    <w:rsid w:val="00ED285B"/>
    <w:rsid w:val="00ED2CAA"/>
    <w:rsid w:val="00ED4D0D"/>
    <w:rsid w:val="00ED6201"/>
    <w:rsid w:val="00ED7A2A"/>
    <w:rsid w:val="00EF1D7F"/>
    <w:rsid w:val="00EF7EAB"/>
    <w:rsid w:val="00F00232"/>
    <w:rsid w:val="00F002CD"/>
    <w:rsid w:val="00F0133D"/>
    <w:rsid w:val="00F0137E"/>
    <w:rsid w:val="00F04E44"/>
    <w:rsid w:val="00F0671D"/>
    <w:rsid w:val="00F1713C"/>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323F"/>
    <w:rsid w:val="00F65143"/>
    <w:rsid w:val="00F73B45"/>
    <w:rsid w:val="00F73CA2"/>
    <w:rsid w:val="00F74CC3"/>
    <w:rsid w:val="00F753AD"/>
    <w:rsid w:val="00F75B00"/>
    <w:rsid w:val="00F80C99"/>
    <w:rsid w:val="00F821BE"/>
    <w:rsid w:val="00F867EC"/>
    <w:rsid w:val="00F86873"/>
    <w:rsid w:val="00F91B2B"/>
    <w:rsid w:val="00F940A8"/>
    <w:rsid w:val="00F96313"/>
    <w:rsid w:val="00F969AA"/>
    <w:rsid w:val="00FC03CD"/>
    <w:rsid w:val="00FC0646"/>
    <w:rsid w:val="00FC68B7"/>
    <w:rsid w:val="00FC6F16"/>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c7bc2c6380779fefdf2c6ce66bac28c3">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3bae218abdf905650e897100b16d94d"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5AE0CEC6-707C-46AA-B663-BE090F01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acccb6d4-dbe5-46d2-b4d3-5733603d8cc6"/>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985ec44e-1bab-4c0b-9df0-6ba128686fc9"/>
    <ds:schemaRef ds:uri="4b4a1c0d-4a69-4996-a84a-fc699b9f49de"/>
    <ds:schemaRef ds:uri="http://purl.org/dc/dcmitype/"/>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51</TotalTime>
  <Pages>3</Pages>
  <Words>786</Words>
  <Characters>4482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Secretariat ND</cp:lastModifiedBy>
  <cp:revision>17</cp:revision>
  <cp:lastPrinted>2025-12-31T16:07:00Z</cp:lastPrinted>
  <dcterms:created xsi:type="dcterms:W3CDTF">2025-12-16T11:55:00Z</dcterms:created>
  <dcterms:modified xsi:type="dcterms:W3CDTF">2025-12-31T16:11:00Z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