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321C6C" w14:paraId="0FE01D67" w14:textId="77777777" w:rsidTr="00B20551">
        <w:trPr>
          <w:cantSplit/>
          <w:trHeight w:hRule="exact" w:val="851"/>
        </w:trPr>
        <w:tc>
          <w:tcPr>
            <w:tcW w:w="1276" w:type="dxa"/>
            <w:tcBorders>
              <w:bottom w:val="single" w:sz="4" w:space="0" w:color="auto"/>
            </w:tcBorders>
            <w:vAlign w:val="bottom"/>
          </w:tcPr>
          <w:p w14:paraId="48CB269F" w14:textId="77777777" w:rsidR="009E6CB7" w:rsidRPr="00321C6C" w:rsidRDefault="009E6CB7" w:rsidP="00B20551">
            <w:pPr>
              <w:spacing w:after="80"/>
            </w:pPr>
          </w:p>
        </w:tc>
        <w:tc>
          <w:tcPr>
            <w:tcW w:w="2268" w:type="dxa"/>
            <w:tcBorders>
              <w:bottom w:val="single" w:sz="4" w:space="0" w:color="auto"/>
            </w:tcBorders>
            <w:vAlign w:val="bottom"/>
          </w:tcPr>
          <w:p w14:paraId="34957DED" w14:textId="77777777" w:rsidR="009E6CB7" w:rsidRPr="00321C6C" w:rsidRDefault="009E6CB7" w:rsidP="00B20551">
            <w:pPr>
              <w:spacing w:after="80" w:line="300" w:lineRule="exact"/>
              <w:rPr>
                <w:b/>
                <w:sz w:val="24"/>
                <w:szCs w:val="24"/>
              </w:rPr>
            </w:pPr>
            <w:r w:rsidRPr="00321C6C">
              <w:rPr>
                <w:sz w:val="28"/>
                <w:szCs w:val="28"/>
              </w:rPr>
              <w:t>United Nations</w:t>
            </w:r>
          </w:p>
        </w:tc>
        <w:tc>
          <w:tcPr>
            <w:tcW w:w="6095" w:type="dxa"/>
            <w:gridSpan w:val="2"/>
            <w:tcBorders>
              <w:bottom w:val="single" w:sz="4" w:space="0" w:color="auto"/>
            </w:tcBorders>
            <w:vAlign w:val="bottom"/>
          </w:tcPr>
          <w:p w14:paraId="660CB09B" w14:textId="4F4797AD" w:rsidR="009E6CB7" w:rsidRPr="00321C6C" w:rsidRDefault="00B01827" w:rsidP="00B01827">
            <w:pPr>
              <w:jc w:val="right"/>
            </w:pPr>
            <w:r w:rsidRPr="00321C6C">
              <w:rPr>
                <w:sz w:val="40"/>
              </w:rPr>
              <w:t>ECE</w:t>
            </w:r>
            <w:r w:rsidRPr="00321C6C">
              <w:t>/TRANS/WP.29/GRSP/2025/20</w:t>
            </w:r>
          </w:p>
        </w:tc>
      </w:tr>
      <w:tr w:rsidR="009E6CB7" w:rsidRPr="00321C6C" w14:paraId="195E7F13" w14:textId="77777777" w:rsidTr="00B20551">
        <w:trPr>
          <w:cantSplit/>
          <w:trHeight w:hRule="exact" w:val="2835"/>
        </w:trPr>
        <w:tc>
          <w:tcPr>
            <w:tcW w:w="1276" w:type="dxa"/>
            <w:tcBorders>
              <w:top w:val="single" w:sz="4" w:space="0" w:color="auto"/>
              <w:bottom w:val="single" w:sz="12" w:space="0" w:color="auto"/>
            </w:tcBorders>
          </w:tcPr>
          <w:p w14:paraId="23D4ABE5" w14:textId="77777777" w:rsidR="009E6CB7" w:rsidRPr="00321C6C" w:rsidRDefault="00686A48" w:rsidP="00B20551">
            <w:pPr>
              <w:spacing w:before="120"/>
            </w:pPr>
            <w:r w:rsidRPr="00321C6C">
              <w:rPr>
                <w:noProof/>
                <w:lang w:eastAsia="fr-CH"/>
              </w:rPr>
              <w:drawing>
                <wp:inline distT="0" distB="0" distL="0" distR="0" wp14:anchorId="32214402" wp14:editId="413AE19C">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0D341DD" w14:textId="77777777" w:rsidR="009E6CB7" w:rsidRPr="00321C6C" w:rsidRDefault="009E6CB7" w:rsidP="00B20551">
            <w:pPr>
              <w:spacing w:before="120" w:line="420" w:lineRule="exact"/>
              <w:rPr>
                <w:sz w:val="40"/>
                <w:szCs w:val="40"/>
              </w:rPr>
            </w:pPr>
            <w:r w:rsidRPr="00321C6C">
              <w:rPr>
                <w:b/>
                <w:sz w:val="40"/>
                <w:szCs w:val="40"/>
              </w:rPr>
              <w:t>Economic and Social Council</w:t>
            </w:r>
          </w:p>
        </w:tc>
        <w:tc>
          <w:tcPr>
            <w:tcW w:w="2835" w:type="dxa"/>
            <w:tcBorders>
              <w:top w:val="single" w:sz="4" w:space="0" w:color="auto"/>
              <w:bottom w:val="single" w:sz="12" w:space="0" w:color="auto"/>
            </w:tcBorders>
          </w:tcPr>
          <w:p w14:paraId="3968C567" w14:textId="77777777" w:rsidR="009E6CB7" w:rsidRPr="00321C6C" w:rsidRDefault="00B01827" w:rsidP="00B01827">
            <w:pPr>
              <w:spacing w:before="240" w:line="240" w:lineRule="exact"/>
            </w:pPr>
            <w:r w:rsidRPr="00321C6C">
              <w:t>Distr.: General</w:t>
            </w:r>
          </w:p>
          <w:p w14:paraId="3959D45F" w14:textId="12711889" w:rsidR="00B01827" w:rsidRPr="00321C6C" w:rsidRDefault="00B475D1" w:rsidP="00B01827">
            <w:pPr>
              <w:spacing w:line="240" w:lineRule="exact"/>
            </w:pPr>
            <w:r>
              <w:t>22 September 2025</w:t>
            </w:r>
          </w:p>
          <w:p w14:paraId="7E1E41EA" w14:textId="77777777" w:rsidR="00B01827" w:rsidRPr="00321C6C" w:rsidRDefault="00B01827" w:rsidP="00B01827">
            <w:pPr>
              <w:spacing w:line="240" w:lineRule="exact"/>
            </w:pPr>
          </w:p>
          <w:p w14:paraId="339294AD" w14:textId="69D3B8D9" w:rsidR="00B01827" w:rsidRPr="00321C6C" w:rsidRDefault="00B01827" w:rsidP="00B01827">
            <w:pPr>
              <w:spacing w:line="240" w:lineRule="exact"/>
            </w:pPr>
            <w:r w:rsidRPr="00321C6C">
              <w:t>Original: English</w:t>
            </w:r>
          </w:p>
        </w:tc>
      </w:tr>
    </w:tbl>
    <w:p w14:paraId="54E073DA" w14:textId="77777777" w:rsidR="008667B9" w:rsidRPr="00321C6C" w:rsidRDefault="008667B9" w:rsidP="008667B9">
      <w:pPr>
        <w:spacing w:before="120"/>
        <w:rPr>
          <w:b/>
          <w:sz w:val="28"/>
          <w:szCs w:val="28"/>
        </w:rPr>
      </w:pPr>
      <w:r w:rsidRPr="00321C6C">
        <w:rPr>
          <w:b/>
          <w:sz w:val="28"/>
          <w:szCs w:val="28"/>
        </w:rPr>
        <w:t>Economic Commission for Europe</w:t>
      </w:r>
    </w:p>
    <w:p w14:paraId="41C9497D" w14:textId="77777777" w:rsidR="008667B9" w:rsidRPr="00321C6C" w:rsidRDefault="008667B9" w:rsidP="008667B9">
      <w:pPr>
        <w:spacing w:before="120"/>
        <w:rPr>
          <w:sz w:val="28"/>
          <w:szCs w:val="28"/>
        </w:rPr>
      </w:pPr>
      <w:r w:rsidRPr="00321C6C">
        <w:rPr>
          <w:sz w:val="28"/>
          <w:szCs w:val="28"/>
        </w:rPr>
        <w:t>Inland Transport Committee</w:t>
      </w:r>
    </w:p>
    <w:p w14:paraId="62150B56" w14:textId="77777777" w:rsidR="008667B9" w:rsidRPr="00321C6C" w:rsidRDefault="008667B9" w:rsidP="008667B9">
      <w:pPr>
        <w:spacing w:before="120"/>
        <w:rPr>
          <w:b/>
          <w:sz w:val="24"/>
          <w:szCs w:val="24"/>
        </w:rPr>
      </w:pPr>
      <w:r w:rsidRPr="00321C6C">
        <w:rPr>
          <w:b/>
          <w:sz w:val="24"/>
          <w:szCs w:val="24"/>
        </w:rPr>
        <w:t>World Forum for Harmonization of Vehicle Regulations</w:t>
      </w:r>
    </w:p>
    <w:p w14:paraId="5C60D4A8" w14:textId="77777777" w:rsidR="008667B9" w:rsidRPr="00321C6C" w:rsidRDefault="008667B9" w:rsidP="008667B9">
      <w:pPr>
        <w:spacing w:before="120" w:after="120"/>
        <w:rPr>
          <w:b/>
          <w:bCs/>
        </w:rPr>
      </w:pPr>
      <w:r w:rsidRPr="00321C6C">
        <w:rPr>
          <w:b/>
          <w:bCs/>
        </w:rPr>
        <w:t>Working Party on Passive Safety</w:t>
      </w:r>
    </w:p>
    <w:p w14:paraId="09CB18E3" w14:textId="77777777" w:rsidR="008667B9" w:rsidRPr="00321C6C" w:rsidRDefault="008667B9" w:rsidP="008667B9">
      <w:pPr>
        <w:rPr>
          <w:b/>
        </w:rPr>
      </w:pPr>
      <w:r w:rsidRPr="00321C6C">
        <w:rPr>
          <w:b/>
        </w:rPr>
        <w:t xml:space="preserve">Seventy-eighth session </w:t>
      </w:r>
    </w:p>
    <w:p w14:paraId="4F866680" w14:textId="77777777" w:rsidR="008667B9" w:rsidRPr="00321C6C" w:rsidRDefault="008667B9" w:rsidP="008667B9">
      <w:pPr>
        <w:spacing w:line="240" w:lineRule="auto"/>
      </w:pPr>
      <w:r w:rsidRPr="00321C6C">
        <w:t>Geneva, 1–4 December 2025</w:t>
      </w:r>
    </w:p>
    <w:p w14:paraId="5E9C1C79" w14:textId="77777777" w:rsidR="00D343E1" w:rsidRPr="00321C6C" w:rsidRDefault="00D343E1" w:rsidP="00D343E1">
      <w:pPr>
        <w:rPr>
          <w:rFonts w:asciiTheme="majorBidi" w:hAnsiTheme="majorBidi" w:cstheme="majorBidi"/>
        </w:rPr>
      </w:pPr>
      <w:r w:rsidRPr="00321C6C">
        <w:rPr>
          <w:rFonts w:asciiTheme="majorBidi" w:hAnsiTheme="majorBidi" w:cstheme="majorBidi"/>
        </w:rPr>
        <w:t>Item 20 of the provisional agenda</w:t>
      </w:r>
    </w:p>
    <w:p w14:paraId="25FD3CEE" w14:textId="77777777" w:rsidR="00D343E1" w:rsidRPr="00321C6C" w:rsidRDefault="00D343E1" w:rsidP="00D343E1">
      <w:r w:rsidRPr="00321C6C">
        <w:rPr>
          <w:b/>
        </w:rPr>
        <w:t>Collective amendments to UN Regulations that impact automated vehicles</w:t>
      </w:r>
    </w:p>
    <w:p w14:paraId="5B5539D5" w14:textId="750DDC9C" w:rsidR="008667B9" w:rsidRPr="00321C6C" w:rsidRDefault="008667B9" w:rsidP="008667B9">
      <w:pPr>
        <w:pStyle w:val="HChG"/>
      </w:pPr>
      <w:r w:rsidRPr="00321C6C">
        <w:tab/>
      </w:r>
      <w:r w:rsidRPr="00321C6C">
        <w:tab/>
        <w:t xml:space="preserve">Proposal for </w:t>
      </w:r>
      <w:r w:rsidR="00270B0A" w:rsidRPr="00321C6C">
        <w:t>supplement 2 to the 06 series of amendments to UN Regulation No. 95 (Lateral</w:t>
      </w:r>
      <w:r w:rsidR="00270B0A" w:rsidRPr="00321C6C">
        <w:rPr>
          <w:bCs/>
        </w:rPr>
        <w:t xml:space="preserve"> collision protection</w:t>
      </w:r>
      <w:r w:rsidR="00270B0A" w:rsidRPr="00321C6C">
        <w:t>)</w:t>
      </w:r>
    </w:p>
    <w:p w14:paraId="6F9888E7" w14:textId="54030D65" w:rsidR="008667B9" w:rsidRPr="00321C6C" w:rsidRDefault="008667B9" w:rsidP="008667B9">
      <w:pPr>
        <w:pStyle w:val="H1G"/>
        <w:rPr>
          <w:sz w:val="20"/>
        </w:rPr>
      </w:pPr>
      <w:r w:rsidRPr="00321C6C">
        <w:tab/>
      </w:r>
      <w:r w:rsidRPr="00321C6C">
        <w:tab/>
        <w:t xml:space="preserve">Submitted by the </w:t>
      </w:r>
      <w:r w:rsidRPr="00321C6C">
        <w:rPr>
          <w:spacing w:val="-4"/>
        </w:rPr>
        <w:t>expert from</w:t>
      </w:r>
      <w:r w:rsidR="00005939" w:rsidRPr="00321C6C">
        <w:t xml:space="preserve"> Germany on behalf of the GRSP Task Force on Automated Vehicles Regulation Screening (TF-AVRS)</w:t>
      </w:r>
      <w:r w:rsidRPr="00321C6C">
        <w:rPr>
          <w:spacing w:val="-4"/>
        </w:rPr>
        <w:t xml:space="preserve"> </w:t>
      </w:r>
      <w:r w:rsidRPr="00321C6C">
        <w:rPr>
          <w:rStyle w:val="FootnoteReference"/>
          <w:sz w:val="20"/>
          <w:vertAlign w:val="baseline"/>
        </w:rPr>
        <w:footnoteReference w:customMarkFollows="1" w:id="2"/>
        <w:t>*</w:t>
      </w:r>
    </w:p>
    <w:p w14:paraId="49C8EEAB" w14:textId="7E07B59C" w:rsidR="008667B9" w:rsidRPr="00321C6C" w:rsidRDefault="008667B9" w:rsidP="00091F0F">
      <w:pPr>
        <w:pStyle w:val="SingleTxtG"/>
      </w:pPr>
      <w:r w:rsidRPr="00321C6C">
        <w:rPr>
          <w:rStyle w:val="FootnoteReference"/>
          <w:sz w:val="20"/>
          <w:vertAlign w:val="baseline"/>
        </w:rPr>
        <w:tab/>
        <w:t xml:space="preserve">The text reproduced below </w:t>
      </w:r>
      <w:r w:rsidR="00D90DAB" w:rsidRPr="00321C6C">
        <w:t xml:space="preserve">was prepared by the expert from Germany on behalf of TF-AVRS, to enable the application of the regulation to vehicles equipped with an </w:t>
      </w:r>
      <w:r w:rsidR="00091F0F" w:rsidRPr="00091F0F">
        <w:t>Automated Driving System (ADS)</w:t>
      </w:r>
      <w:r w:rsidR="00D90DAB" w:rsidRPr="00321C6C">
        <w:t xml:space="preserve">. The modifications to the existing text of the UN Regulation are marked in </w:t>
      </w:r>
      <w:r w:rsidR="00D90DAB" w:rsidRPr="00321C6C">
        <w:rPr>
          <w:bCs/>
        </w:rPr>
        <w:t>bold</w:t>
      </w:r>
      <w:r w:rsidR="00D90DAB" w:rsidRPr="00321C6C">
        <w:t xml:space="preserve"> for new or strikethrough for deleted characters. This document is superseding </w:t>
      </w:r>
      <w:r w:rsidR="004D73E0" w:rsidRPr="00321C6C">
        <w:t>i</w:t>
      </w:r>
      <w:r w:rsidR="00D90DAB" w:rsidRPr="00321C6C">
        <w:t xml:space="preserve">nformal </w:t>
      </w:r>
      <w:r w:rsidR="004D73E0" w:rsidRPr="00321C6C">
        <w:t>d</w:t>
      </w:r>
      <w:r w:rsidR="00D90DAB" w:rsidRPr="00321C6C">
        <w:t>ocument GRSP-77-65.</w:t>
      </w:r>
    </w:p>
    <w:p w14:paraId="3C78ED90" w14:textId="77777777" w:rsidR="008667B9" w:rsidRPr="00321C6C" w:rsidRDefault="008667B9" w:rsidP="008667B9">
      <w:r w:rsidRPr="00321C6C">
        <w:br w:type="page"/>
      </w:r>
    </w:p>
    <w:p w14:paraId="063E862E" w14:textId="77777777" w:rsidR="008667B9" w:rsidRPr="00321C6C" w:rsidRDefault="008667B9" w:rsidP="008667B9">
      <w:pPr>
        <w:pStyle w:val="HChG"/>
      </w:pPr>
      <w:r w:rsidRPr="00321C6C">
        <w:lastRenderedPageBreak/>
        <w:tab/>
        <w:t>I.</w:t>
      </w:r>
      <w:r w:rsidRPr="00321C6C">
        <w:tab/>
        <w:t>Proposal</w:t>
      </w:r>
    </w:p>
    <w:p w14:paraId="4919E322" w14:textId="77777777" w:rsidR="007D302B" w:rsidRPr="00321C6C" w:rsidRDefault="007D302B" w:rsidP="007D302B">
      <w:pPr>
        <w:pStyle w:val="SingleTxtG"/>
        <w:ind w:left="2268" w:hanging="1134"/>
        <w:rPr>
          <w:i/>
          <w:iCs/>
        </w:rPr>
      </w:pPr>
      <w:r w:rsidRPr="00321C6C">
        <w:rPr>
          <w:i/>
          <w:iCs/>
        </w:rPr>
        <w:t xml:space="preserve">Title, </w:t>
      </w:r>
      <w:r w:rsidRPr="00321C6C">
        <w:t>amend to read:</w:t>
      </w:r>
      <w:r w:rsidRPr="00321C6C">
        <w:rPr>
          <w:i/>
          <w:iCs/>
        </w:rPr>
        <w:t xml:space="preserve"> </w:t>
      </w:r>
    </w:p>
    <w:p w14:paraId="012B65E6" w14:textId="77777777" w:rsidR="007D302B" w:rsidRPr="00321C6C" w:rsidRDefault="007D302B" w:rsidP="007D302B">
      <w:pPr>
        <w:spacing w:after="120"/>
        <w:ind w:left="1134" w:right="1134"/>
        <w:jc w:val="both"/>
        <w:rPr>
          <w:rFonts w:eastAsiaTheme="minorEastAsia"/>
          <w:lang w:eastAsia="en-US"/>
        </w:rPr>
      </w:pPr>
      <w:r w:rsidRPr="00321C6C">
        <w:rPr>
          <w:rFonts w:eastAsiaTheme="minorEastAsia"/>
          <w:lang w:eastAsia="en-US"/>
        </w:rPr>
        <w:t xml:space="preserve">Uniform provisions concerning the approval of vehicles </w:t>
      </w:r>
      <w:proofErr w:type="gramStart"/>
      <w:r w:rsidRPr="00321C6C">
        <w:rPr>
          <w:rFonts w:eastAsiaTheme="minorEastAsia"/>
          <w:lang w:eastAsia="en-US"/>
        </w:rPr>
        <w:t>with regard to</w:t>
      </w:r>
      <w:proofErr w:type="gramEnd"/>
      <w:r w:rsidRPr="00321C6C">
        <w:rPr>
          <w:rFonts w:eastAsiaTheme="minorEastAsia"/>
          <w:lang w:eastAsia="en-US"/>
        </w:rPr>
        <w:t xml:space="preserve"> the protection of the occupants, </w:t>
      </w:r>
      <w:r w:rsidRPr="00321C6C">
        <w:rPr>
          <w:rFonts w:eastAsiaTheme="minorEastAsia"/>
          <w:b/>
          <w:bCs/>
          <w:lang w:eastAsia="en-US"/>
        </w:rPr>
        <w:t>fuel system integrity and protection against electrical shock</w:t>
      </w:r>
      <w:r w:rsidRPr="00321C6C">
        <w:rPr>
          <w:rFonts w:eastAsiaTheme="minorEastAsia"/>
          <w:lang w:eastAsia="en-US"/>
        </w:rPr>
        <w:t xml:space="preserve"> in the event of a lateral collision</w:t>
      </w:r>
    </w:p>
    <w:p w14:paraId="78F0D429" w14:textId="77777777" w:rsidR="007D302B" w:rsidRPr="00321C6C" w:rsidRDefault="007D302B" w:rsidP="007D302B">
      <w:pPr>
        <w:pStyle w:val="SingleTxtG"/>
        <w:keepNext/>
        <w:tabs>
          <w:tab w:val="clear" w:pos="1701"/>
          <w:tab w:val="clear" w:pos="2268"/>
          <w:tab w:val="clear" w:pos="2835"/>
        </w:tabs>
        <w:rPr>
          <w:i/>
          <w:iCs/>
        </w:rPr>
      </w:pPr>
      <w:r w:rsidRPr="00321C6C">
        <w:rPr>
          <w:i/>
          <w:iCs/>
        </w:rPr>
        <w:t xml:space="preserve">Insert a new paragraph 0, </w:t>
      </w:r>
      <w:r w:rsidRPr="00321C6C">
        <w:t>to read:</w:t>
      </w:r>
    </w:p>
    <w:p w14:paraId="4A081E28" w14:textId="3D1FBFE4" w:rsidR="007D302B" w:rsidRPr="00321C6C" w:rsidRDefault="007D302B" w:rsidP="007D302B">
      <w:pPr>
        <w:pStyle w:val="SingleTxtG"/>
        <w:tabs>
          <w:tab w:val="clear" w:pos="1701"/>
          <w:tab w:val="clear" w:pos="2268"/>
          <w:tab w:val="clear" w:pos="2835"/>
        </w:tabs>
        <w:ind w:left="2268" w:hanging="1134"/>
        <w:rPr>
          <w:rFonts w:eastAsiaTheme="minorEastAsia"/>
          <w:b/>
          <w:bCs/>
          <w:sz w:val="28"/>
          <w:szCs w:val="28"/>
        </w:rPr>
      </w:pPr>
      <w:r w:rsidRPr="00321C6C">
        <w:rPr>
          <w:rFonts w:eastAsiaTheme="minorEastAsia"/>
          <w:sz w:val="28"/>
          <w:szCs w:val="28"/>
        </w:rPr>
        <w:t>“</w:t>
      </w:r>
      <w:r w:rsidRPr="00321C6C">
        <w:rPr>
          <w:rFonts w:eastAsiaTheme="minorEastAsia"/>
          <w:b/>
          <w:bCs/>
          <w:sz w:val="28"/>
          <w:szCs w:val="28"/>
        </w:rPr>
        <w:t>0.</w:t>
      </w:r>
      <w:r w:rsidRPr="00321C6C">
        <w:rPr>
          <w:rFonts w:eastAsiaTheme="minorEastAsia"/>
          <w:b/>
          <w:bCs/>
          <w:sz w:val="28"/>
          <w:szCs w:val="28"/>
        </w:rPr>
        <w:tab/>
        <w:t>Introduction</w:t>
      </w:r>
    </w:p>
    <w:p w14:paraId="3479D440" w14:textId="0416A769" w:rsidR="007D302B" w:rsidRPr="00321C6C" w:rsidRDefault="007D302B" w:rsidP="007D302B">
      <w:pPr>
        <w:pStyle w:val="SingleTxtG"/>
        <w:tabs>
          <w:tab w:val="clear" w:pos="1701"/>
          <w:tab w:val="clear" w:pos="2268"/>
          <w:tab w:val="clear" w:pos="2835"/>
        </w:tabs>
        <w:ind w:left="2268" w:hanging="1134"/>
        <w:rPr>
          <w:rFonts w:eastAsiaTheme="minorEastAsia"/>
        </w:rPr>
      </w:pPr>
      <w:r w:rsidRPr="00321C6C">
        <w:rPr>
          <w:rFonts w:eastAsiaTheme="minorEastAsia"/>
        </w:rPr>
        <w:t>0.1.</w:t>
      </w:r>
      <w:r w:rsidRPr="00321C6C">
        <w:rPr>
          <w:rFonts w:eastAsiaTheme="minorEastAsia"/>
        </w:rPr>
        <w:tab/>
        <w:t xml:space="preserve">For </w:t>
      </w:r>
      <w:r w:rsidRPr="00321C6C">
        <w:t xml:space="preserve">supplement 2 to the 06 </w:t>
      </w:r>
      <w:r w:rsidR="00A65271">
        <w:t>s</w:t>
      </w:r>
      <w:r w:rsidRPr="00321C6C">
        <w:t xml:space="preserve">eries of </w:t>
      </w:r>
      <w:r w:rsidR="00A65271">
        <w:t>a</w:t>
      </w:r>
      <w:r w:rsidRPr="00321C6C">
        <w:t>mendments:</w:t>
      </w:r>
    </w:p>
    <w:p w14:paraId="40D06E6C" w14:textId="77777777" w:rsidR="007D302B" w:rsidRPr="00321C6C" w:rsidRDefault="007D302B" w:rsidP="007D302B">
      <w:pPr>
        <w:pStyle w:val="SingleTxtG"/>
        <w:tabs>
          <w:tab w:val="clear" w:pos="1701"/>
          <w:tab w:val="clear" w:pos="2268"/>
          <w:tab w:val="clear" w:pos="2835"/>
        </w:tabs>
        <w:ind w:left="2268" w:hanging="1134"/>
        <w:rPr>
          <w:rFonts w:eastAsiaTheme="minorEastAsia"/>
          <w:color w:val="FF0000"/>
        </w:rPr>
      </w:pPr>
      <w:r w:rsidRPr="00321C6C">
        <w:t>0.1.1.</w:t>
      </w:r>
      <w:r w:rsidRPr="00321C6C">
        <w:tab/>
        <w:t xml:space="preserve">The Regulation is amended to </w:t>
      </w:r>
      <w:r w:rsidRPr="00321C6C">
        <w:rPr>
          <w:color w:val="000000" w:themeColor="text1"/>
        </w:rPr>
        <w:t xml:space="preserve">account for vehicles of category </w:t>
      </w:r>
      <w:r w:rsidRPr="00321C6C">
        <w:rPr>
          <w:rFonts w:eastAsiaTheme="minorEastAsia"/>
          <w:color w:val="000000" w:themeColor="text1"/>
        </w:rPr>
        <w:t>X</w:t>
      </w:r>
      <w:r w:rsidRPr="00321C6C">
        <w:rPr>
          <w:rFonts w:eastAsiaTheme="minorEastAsia"/>
          <w:color w:val="000000" w:themeColor="text1"/>
          <w:vertAlign w:val="superscript"/>
        </w:rPr>
        <w:t>1</w:t>
      </w:r>
      <w:r w:rsidRPr="00321C6C">
        <w:rPr>
          <w:rFonts w:eastAsiaTheme="minorEastAsia"/>
          <w:color w:val="000000" w:themeColor="text1"/>
        </w:rPr>
        <w:t>. Vehicles of category Y</w:t>
      </w:r>
      <w:r w:rsidRPr="00321C6C">
        <w:rPr>
          <w:rFonts w:eastAsiaTheme="minorEastAsia"/>
          <w:color w:val="000000" w:themeColor="text1"/>
          <w:vertAlign w:val="superscript"/>
        </w:rPr>
        <w:t>1</w:t>
      </w:r>
      <w:r w:rsidRPr="00321C6C">
        <w:rPr>
          <w:rFonts w:eastAsiaTheme="minorEastAsia"/>
          <w:color w:val="000000" w:themeColor="text1"/>
        </w:rPr>
        <w:t xml:space="preserve"> are not in the scope of this Regulation.</w:t>
      </w:r>
    </w:p>
    <w:p w14:paraId="1728F08A" w14:textId="77777777" w:rsidR="007D302B" w:rsidRPr="00321C6C" w:rsidRDefault="007D302B" w:rsidP="007D302B">
      <w:pPr>
        <w:pStyle w:val="SingleTxtG"/>
        <w:tabs>
          <w:tab w:val="clear" w:pos="1701"/>
          <w:tab w:val="clear" w:pos="2268"/>
          <w:tab w:val="clear" w:pos="2835"/>
        </w:tabs>
        <w:ind w:left="2268" w:hanging="1134"/>
      </w:pPr>
      <w:r w:rsidRPr="00321C6C">
        <w:t>0.1.2.</w:t>
      </w:r>
      <w:r w:rsidRPr="00321C6C">
        <w:tab/>
        <w:t xml:space="preserve">The Regulation was originally drafted for vehicles with driver and manual driving </w:t>
      </w:r>
      <w:proofErr w:type="gramStart"/>
      <w:r w:rsidRPr="00321C6C">
        <w:t>controls</w:t>
      </w:r>
      <w:proofErr w:type="gramEnd"/>
      <w:r w:rsidRPr="00321C6C">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321C6C">
        <w:t>taken into account</w:t>
      </w:r>
      <w:proofErr w:type="gramEnd"/>
      <w:r w:rsidRPr="00321C6C">
        <w:t xml:space="preserve"> if not already covered by this amendment.</w:t>
      </w:r>
    </w:p>
    <w:p w14:paraId="18A0A6AB" w14:textId="77777777" w:rsidR="007D302B" w:rsidRPr="00321C6C" w:rsidRDefault="007D302B" w:rsidP="007D302B">
      <w:pPr>
        <w:pStyle w:val="SingleTxtG"/>
        <w:tabs>
          <w:tab w:val="clear" w:pos="1701"/>
          <w:tab w:val="clear" w:pos="2268"/>
          <w:tab w:val="clear" w:pos="2835"/>
        </w:tabs>
        <w:ind w:left="2268" w:hanging="1134"/>
      </w:pPr>
      <w:r w:rsidRPr="00321C6C">
        <w:t xml:space="preserve">0.1.3. </w:t>
      </w:r>
      <w:r w:rsidRPr="00321C6C">
        <w:tab/>
        <w:t>In case of vehicles equipped with an Automated Driving System (ADS)</w:t>
      </w:r>
      <w:r w:rsidRPr="00321C6C">
        <w:rPr>
          <w:vertAlign w:val="superscript"/>
        </w:rPr>
        <w:t xml:space="preserve">1 </w:t>
      </w:r>
      <w:r w:rsidRPr="00321C6C">
        <w:t>other than vehicles of categories X and Y, in the manual driving mode no special provisions or exemptions apply. In a mode where an ADS feature is active the relevant ADS requirements apply.”</w:t>
      </w:r>
    </w:p>
    <w:p w14:paraId="66269B00" w14:textId="77777777" w:rsidR="007D302B" w:rsidRPr="00321C6C" w:rsidRDefault="007D302B" w:rsidP="007D302B">
      <w:pPr>
        <w:pStyle w:val="SingleTxtG"/>
        <w:keepNext/>
        <w:tabs>
          <w:tab w:val="clear" w:pos="1701"/>
          <w:tab w:val="clear" w:pos="2268"/>
          <w:tab w:val="clear" w:pos="2835"/>
        </w:tabs>
      </w:pPr>
      <w:r w:rsidRPr="00321C6C">
        <w:rPr>
          <w:i/>
        </w:rPr>
        <w:t>Paragraph 1.</w:t>
      </w:r>
      <w:r w:rsidRPr="00321C6C">
        <w:rPr>
          <w:i/>
          <w:iCs/>
        </w:rPr>
        <w:t xml:space="preserve">, </w:t>
      </w:r>
      <w:r w:rsidRPr="00321C6C">
        <w:t>amend to read:</w:t>
      </w:r>
    </w:p>
    <w:p w14:paraId="721547A2" w14:textId="77777777" w:rsidR="007D302B" w:rsidRPr="00321C6C" w:rsidRDefault="007D302B" w:rsidP="007D302B">
      <w:pPr>
        <w:pStyle w:val="SingleTxtG"/>
        <w:tabs>
          <w:tab w:val="clear" w:pos="1701"/>
          <w:tab w:val="clear" w:pos="2268"/>
          <w:tab w:val="clear" w:pos="2835"/>
        </w:tabs>
        <w:ind w:left="2268" w:hanging="1134"/>
      </w:pPr>
      <w:r w:rsidRPr="00321C6C">
        <w:t>1.</w:t>
      </w:r>
      <w:r w:rsidRPr="00321C6C">
        <w:tab/>
        <w:t>Scope</w:t>
      </w:r>
    </w:p>
    <w:p w14:paraId="3569FCA0" w14:textId="77777777" w:rsidR="007D302B" w:rsidRPr="00321C6C" w:rsidRDefault="007D302B" w:rsidP="007D302B">
      <w:pPr>
        <w:pStyle w:val="SingleTxtG"/>
        <w:tabs>
          <w:tab w:val="clear" w:pos="1701"/>
          <w:tab w:val="clear" w:pos="2268"/>
          <w:tab w:val="clear" w:pos="2835"/>
        </w:tabs>
        <w:ind w:left="2268" w:hanging="1134"/>
        <w:rPr>
          <w:color w:val="000000" w:themeColor="text1"/>
        </w:rPr>
      </w:pPr>
      <w:r w:rsidRPr="00321C6C">
        <w:tab/>
      </w:r>
      <w:r w:rsidRPr="00321C6C">
        <w:tab/>
      </w:r>
      <w:r w:rsidRPr="00321C6C">
        <w:rPr>
          <w:color w:val="000000" w:themeColor="text1"/>
        </w:rPr>
        <w:t>This Regulation applies to vehicles of category M</w:t>
      </w:r>
      <w:r w:rsidRPr="00321C6C">
        <w:rPr>
          <w:color w:val="000000" w:themeColor="text1"/>
          <w:vertAlign w:val="subscript"/>
        </w:rPr>
        <w:t>1</w:t>
      </w:r>
      <w:r w:rsidRPr="00321C6C">
        <w:rPr>
          <w:color w:val="000000" w:themeColor="text1"/>
        </w:rPr>
        <w:t xml:space="preserve"> with a maximum permissible mass not exceeding 3,500 kg and to vehicles of category N</w:t>
      </w:r>
      <w:r w:rsidRPr="00321C6C">
        <w:rPr>
          <w:color w:val="000000" w:themeColor="text1"/>
          <w:vertAlign w:val="subscript"/>
        </w:rPr>
        <w:t>1</w:t>
      </w:r>
      <w:r w:rsidRPr="00321C6C">
        <w:rPr>
          <w:color w:val="000000" w:themeColor="text1"/>
          <w:vertAlign w:val="superscript"/>
        </w:rPr>
        <w:t>1</w:t>
      </w:r>
      <w:r w:rsidRPr="00321C6C">
        <w:rPr>
          <w:color w:val="000000" w:themeColor="text1"/>
        </w:rPr>
        <w:t>.</w:t>
      </w:r>
    </w:p>
    <w:p w14:paraId="3E0D59D2" w14:textId="77777777" w:rsidR="007D302B" w:rsidRPr="00321C6C" w:rsidRDefault="007D302B" w:rsidP="007D302B">
      <w:pPr>
        <w:pStyle w:val="SingleTxtG"/>
        <w:tabs>
          <w:tab w:val="clear" w:pos="1701"/>
          <w:tab w:val="clear" w:pos="2268"/>
          <w:tab w:val="clear" w:pos="2835"/>
        </w:tabs>
        <w:ind w:left="2268"/>
        <w:rPr>
          <w:b/>
          <w:bCs/>
          <w:color w:val="000000" w:themeColor="text1"/>
        </w:rPr>
      </w:pPr>
      <w:r w:rsidRPr="00321C6C">
        <w:rPr>
          <w:b/>
          <w:bCs/>
          <w:color w:val="000000" w:themeColor="text1"/>
        </w:rPr>
        <w:t xml:space="preserve">This regulation does not apply to vehicles of category Y.” </w:t>
      </w:r>
    </w:p>
    <w:p w14:paraId="213BA302" w14:textId="77777777" w:rsidR="007D302B" w:rsidRPr="00321C6C" w:rsidRDefault="007D302B" w:rsidP="007D302B">
      <w:pPr>
        <w:pStyle w:val="SingleTxtG"/>
        <w:keepNext/>
        <w:tabs>
          <w:tab w:val="clear" w:pos="1701"/>
          <w:tab w:val="clear" w:pos="2268"/>
          <w:tab w:val="clear" w:pos="2835"/>
        </w:tabs>
      </w:pPr>
      <w:r w:rsidRPr="00321C6C">
        <w:rPr>
          <w:i/>
        </w:rPr>
        <w:t>Paragraph 2.1.</w:t>
      </w:r>
      <w:r w:rsidRPr="00321C6C">
        <w:rPr>
          <w:i/>
          <w:iCs/>
        </w:rPr>
        <w:t xml:space="preserve">, </w:t>
      </w:r>
      <w:r w:rsidRPr="00321C6C">
        <w:t>amend to read:</w:t>
      </w:r>
    </w:p>
    <w:p w14:paraId="1D8C62CD" w14:textId="26FD9DC3" w:rsidR="007D302B" w:rsidRPr="00321C6C" w:rsidRDefault="007D302B" w:rsidP="00FB17AA">
      <w:pPr>
        <w:pStyle w:val="SingleTxtG"/>
        <w:tabs>
          <w:tab w:val="clear" w:pos="1701"/>
          <w:tab w:val="clear" w:pos="2268"/>
          <w:tab w:val="clear" w:pos="2835"/>
        </w:tabs>
        <w:ind w:left="2268" w:hanging="1134"/>
      </w:pPr>
      <w:r w:rsidRPr="00321C6C">
        <w:t>“2.1.</w:t>
      </w:r>
      <w:r w:rsidRPr="00321C6C">
        <w:tab/>
      </w:r>
      <w:r w:rsidRPr="00321C6C">
        <w:tab/>
      </w:r>
      <w:r w:rsidRPr="00321C6C">
        <w:rPr>
          <w:i/>
          <w:iCs/>
          <w:strike/>
        </w:rPr>
        <w:t>"Approval of a vehicle"</w:t>
      </w:r>
      <w:r w:rsidRPr="00321C6C">
        <w:rPr>
          <w:strike/>
        </w:rPr>
        <w:t xml:space="preserve"> means the approval of a vehicle type </w:t>
      </w:r>
      <w:proofErr w:type="gramStart"/>
      <w:r w:rsidRPr="00321C6C">
        <w:rPr>
          <w:strike/>
        </w:rPr>
        <w:t>with regard to</w:t>
      </w:r>
      <w:proofErr w:type="gramEnd"/>
      <w:r w:rsidRPr="00321C6C">
        <w:rPr>
          <w:strike/>
        </w:rPr>
        <w:t xml:space="preserve"> the behaviour of the structure of the passenger compartment in a lateral</w:t>
      </w:r>
      <w:r w:rsidR="00FB17AA" w:rsidRPr="00321C6C">
        <w:rPr>
          <w:strike/>
        </w:rPr>
        <w:t xml:space="preserve"> </w:t>
      </w:r>
      <w:r w:rsidRPr="00321C6C">
        <w:rPr>
          <w:strike/>
        </w:rPr>
        <w:t xml:space="preserve">collision; </w:t>
      </w:r>
      <w:r w:rsidRPr="00321C6C">
        <w:t>(</w:t>
      </w:r>
      <w:r w:rsidRPr="00321C6C">
        <w:rPr>
          <w:b/>
          <w:bCs/>
        </w:rPr>
        <w:t>Reserved)</w:t>
      </w:r>
      <w:r w:rsidRPr="00321C6C">
        <w:t>”</w:t>
      </w:r>
    </w:p>
    <w:p w14:paraId="2DB70C18" w14:textId="4EE1FD95" w:rsidR="007D302B" w:rsidRPr="00321C6C" w:rsidRDefault="007D302B" w:rsidP="007D302B">
      <w:pPr>
        <w:pStyle w:val="SingleTxtG"/>
        <w:keepNext/>
        <w:tabs>
          <w:tab w:val="clear" w:pos="1701"/>
          <w:tab w:val="clear" w:pos="2268"/>
          <w:tab w:val="clear" w:pos="2835"/>
        </w:tabs>
        <w:rPr>
          <w:rFonts w:eastAsia="DengXian"/>
          <w:i/>
          <w:lang w:eastAsia="zh-CN"/>
        </w:rPr>
      </w:pPr>
      <w:r w:rsidRPr="00321C6C">
        <w:rPr>
          <w:rFonts w:eastAsia="DengXian"/>
          <w:i/>
          <w:lang w:eastAsia="zh-CN"/>
        </w:rPr>
        <w:t>Paragraph 1</w:t>
      </w:r>
      <w:r w:rsidR="00B475D1">
        <w:rPr>
          <w:rFonts w:eastAsia="DengXian"/>
          <w:i/>
          <w:lang w:eastAsia="zh-CN"/>
        </w:rPr>
        <w:t>.</w:t>
      </w:r>
      <w:r w:rsidRPr="00321C6C">
        <w:rPr>
          <w:rFonts w:eastAsia="DengXian"/>
          <w:i/>
          <w:lang w:eastAsia="zh-CN"/>
        </w:rPr>
        <w:t xml:space="preserve">, footnote 1, </w:t>
      </w:r>
      <w:r w:rsidRPr="00321C6C">
        <w:t>amend</w:t>
      </w:r>
      <w:r w:rsidRPr="00321C6C">
        <w:rPr>
          <w:rFonts w:eastAsia="DengXian"/>
          <w:iCs/>
          <w:lang w:eastAsia="zh-CN"/>
        </w:rPr>
        <w:t xml:space="preserve"> to read:</w:t>
      </w:r>
    </w:p>
    <w:p w14:paraId="6257C258" w14:textId="0975AFC8" w:rsidR="007D302B" w:rsidRPr="00321C6C" w:rsidRDefault="007D302B" w:rsidP="008A7867">
      <w:pPr>
        <w:pStyle w:val="SingleTxtG"/>
        <w:tabs>
          <w:tab w:val="clear" w:pos="1701"/>
          <w:tab w:val="clear" w:pos="2268"/>
          <w:tab w:val="clear" w:pos="2835"/>
        </w:tabs>
        <w:ind w:left="2268" w:hanging="1134"/>
        <w:rPr>
          <w:iCs/>
          <w:color w:val="0000FF"/>
          <w:szCs w:val="18"/>
        </w:rPr>
      </w:pPr>
      <w:r w:rsidRPr="00321C6C">
        <w:t>“</w:t>
      </w:r>
      <w:r w:rsidRPr="00321C6C">
        <w:rPr>
          <w:szCs w:val="18"/>
          <w:vertAlign w:val="superscript"/>
        </w:rPr>
        <w:t>1</w:t>
      </w:r>
      <w:r w:rsidR="008A7867" w:rsidRPr="00321C6C">
        <w:rPr>
          <w:szCs w:val="18"/>
        </w:rPr>
        <w:tab/>
      </w:r>
      <w:r w:rsidRPr="00321C6C">
        <w:rPr>
          <w:szCs w:val="18"/>
        </w:rPr>
        <w:t xml:space="preserve">As defined in the Consolidated </w:t>
      </w:r>
      <w:r w:rsidRPr="00321C6C">
        <w:t>Resolution</w:t>
      </w:r>
      <w:r w:rsidRPr="00321C6C">
        <w:rPr>
          <w:szCs w:val="18"/>
        </w:rPr>
        <w:t xml:space="preserve"> on the Construction of Vehicles (R.E.3.), document ECE/TRANS/WP.29/78/Rev.</w:t>
      </w:r>
      <w:r w:rsidRPr="00321C6C">
        <w:rPr>
          <w:strike/>
          <w:szCs w:val="18"/>
        </w:rPr>
        <w:t>7</w:t>
      </w:r>
      <w:r w:rsidRPr="00321C6C">
        <w:rPr>
          <w:b/>
          <w:bCs/>
          <w:szCs w:val="18"/>
        </w:rPr>
        <w:t>8</w:t>
      </w:r>
      <w:r w:rsidRPr="00321C6C">
        <w:rPr>
          <w:szCs w:val="18"/>
        </w:rPr>
        <w:t xml:space="preserve">, para. 2- </w:t>
      </w:r>
      <w:r w:rsidRPr="00321C6C">
        <w:rPr>
          <w:szCs w:val="18"/>
        </w:rPr>
        <w:br/>
      </w:r>
      <w:hyperlink r:id="rId12" w:history="1">
        <w:r w:rsidRPr="00321C6C">
          <w:rPr>
            <w:rStyle w:val="Hyperlink"/>
            <w:color w:val="auto"/>
            <w:szCs w:val="18"/>
          </w:rPr>
          <w:t>https://unece.org/transport/vehicle-regulations/wp29/resolutions</w:t>
        </w:r>
      </w:hyperlink>
      <w:r w:rsidRPr="00321C6C">
        <w:rPr>
          <w:rStyle w:val="Hyperlink"/>
          <w:iCs/>
          <w:color w:val="auto"/>
          <w:szCs w:val="18"/>
        </w:rPr>
        <w:t>”</w:t>
      </w:r>
    </w:p>
    <w:p w14:paraId="1120E1FA" w14:textId="77777777" w:rsidR="007D302B" w:rsidRPr="00321C6C" w:rsidRDefault="007D302B" w:rsidP="007D302B">
      <w:pPr>
        <w:pStyle w:val="SingleTxtG"/>
        <w:keepNext/>
        <w:tabs>
          <w:tab w:val="clear" w:pos="1701"/>
          <w:tab w:val="clear" w:pos="2268"/>
          <w:tab w:val="clear" w:pos="2835"/>
        </w:tabs>
      </w:pPr>
      <w:r w:rsidRPr="00321C6C">
        <w:rPr>
          <w:i/>
        </w:rPr>
        <w:t>Paragraph 2.11.</w:t>
      </w:r>
      <w:r w:rsidRPr="00321C6C">
        <w:rPr>
          <w:i/>
          <w:iCs/>
        </w:rPr>
        <w:t xml:space="preserve">, </w:t>
      </w:r>
      <w:r w:rsidRPr="00321C6C">
        <w:t>amend to read:</w:t>
      </w:r>
    </w:p>
    <w:p w14:paraId="3589EB58" w14:textId="77777777" w:rsidR="007D302B" w:rsidRPr="00321C6C" w:rsidRDefault="007D302B" w:rsidP="007D302B">
      <w:pPr>
        <w:pStyle w:val="SingleTxtG"/>
        <w:tabs>
          <w:tab w:val="clear" w:pos="1701"/>
          <w:tab w:val="clear" w:pos="2268"/>
          <w:tab w:val="clear" w:pos="2835"/>
        </w:tabs>
        <w:ind w:left="2268" w:hanging="1134"/>
      </w:pPr>
      <w:r w:rsidRPr="00321C6C">
        <w:t>“2.11.</w:t>
      </w:r>
      <w:r w:rsidRPr="00321C6C">
        <w:tab/>
      </w:r>
      <w:r w:rsidRPr="00321C6C">
        <w:tab/>
        <w:t xml:space="preserve">"Unladen mass" means the mass of the vehicle in running order without </w:t>
      </w:r>
      <w:r w:rsidRPr="00321C6C">
        <w:rPr>
          <w:strike/>
        </w:rPr>
        <w:t xml:space="preserve">driver, </w:t>
      </w:r>
      <w:proofErr w:type="gramStart"/>
      <w:r w:rsidRPr="00321C6C">
        <w:rPr>
          <w:strike/>
        </w:rPr>
        <w:t>passengers</w:t>
      </w:r>
      <w:proofErr w:type="gramEnd"/>
      <w:r w:rsidRPr="00321C6C">
        <w:t xml:space="preserve"> </w:t>
      </w:r>
      <w:r w:rsidRPr="00321C6C">
        <w:rPr>
          <w:b/>
          <w:bCs/>
        </w:rPr>
        <w:t xml:space="preserve">occupants </w:t>
      </w:r>
      <w:r w:rsidRPr="00321C6C">
        <w:t>or load, but with the fuel tank filled to 90 per cent of its capacity and the usual set of tools and spare wheel on board, where applicable;”</w:t>
      </w:r>
    </w:p>
    <w:p w14:paraId="0716594D" w14:textId="77777777" w:rsidR="007D302B" w:rsidRPr="00321C6C" w:rsidRDefault="007D302B" w:rsidP="007D302B">
      <w:pPr>
        <w:pStyle w:val="SingleTxtG"/>
        <w:keepNext/>
        <w:tabs>
          <w:tab w:val="clear" w:pos="1701"/>
          <w:tab w:val="clear" w:pos="2268"/>
          <w:tab w:val="clear" w:pos="2835"/>
        </w:tabs>
      </w:pPr>
      <w:r w:rsidRPr="00321C6C">
        <w:rPr>
          <w:i/>
        </w:rPr>
        <w:t>Paragraphs 5.1.1. to 5.1.1.2.</w:t>
      </w:r>
      <w:r w:rsidRPr="00321C6C">
        <w:rPr>
          <w:i/>
          <w:iCs/>
        </w:rPr>
        <w:t xml:space="preserve">, </w:t>
      </w:r>
      <w:r w:rsidRPr="00321C6C">
        <w:t>amend to read:</w:t>
      </w:r>
    </w:p>
    <w:p w14:paraId="7F6C99A3" w14:textId="14612663" w:rsidR="007D302B" w:rsidRPr="00321C6C" w:rsidRDefault="007D302B" w:rsidP="007D302B">
      <w:pPr>
        <w:pStyle w:val="SingleTxtG"/>
        <w:tabs>
          <w:tab w:val="clear" w:pos="1701"/>
          <w:tab w:val="clear" w:pos="2268"/>
          <w:tab w:val="clear" w:pos="2835"/>
        </w:tabs>
        <w:ind w:left="2268" w:hanging="1134"/>
      </w:pPr>
      <w:r w:rsidRPr="00321C6C">
        <w:t>“5.1.1.</w:t>
      </w:r>
      <w:r w:rsidRPr="00321C6C">
        <w:tab/>
      </w:r>
      <w:r w:rsidRPr="00321C6C">
        <w:tab/>
        <w:t>The test will be carried out on the driver’s side unless asymmetric side structures, if any, are so different as to affect the performance in a side impact. In that case either of the alternatives in paragraph 5.1.1.1. or 5.1.1.2. may be used by agreement between the manufacturer and Type Approval Authority</w:t>
      </w:r>
      <w:r w:rsidRPr="00321C6C">
        <w:rPr>
          <w:b/>
          <w:bCs/>
        </w:rPr>
        <w:t>.</w:t>
      </w:r>
      <w:r w:rsidRPr="00321C6C">
        <w:t xml:space="preserve"> </w:t>
      </w:r>
      <w:r w:rsidRPr="00321C6C">
        <w:rPr>
          <w:b/>
          <w:bCs/>
        </w:rPr>
        <w:t>In case of vehicles of category X, the manufacturer shall propose the tested side. For all vehicle categories, the procedure under 5.1.1.1</w:t>
      </w:r>
      <w:r w:rsidR="0038598F">
        <w:rPr>
          <w:b/>
          <w:bCs/>
        </w:rPr>
        <w:t>.</w:t>
      </w:r>
      <w:r w:rsidRPr="00321C6C">
        <w:rPr>
          <w:b/>
          <w:bCs/>
        </w:rPr>
        <w:t xml:space="preserve"> and 5.1.1.2</w:t>
      </w:r>
      <w:r w:rsidR="0038598F">
        <w:rPr>
          <w:b/>
          <w:bCs/>
        </w:rPr>
        <w:t>.</w:t>
      </w:r>
      <w:r w:rsidRPr="00321C6C">
        <w:rPr>
          <w:b/>
          <w:bCs/>
        </w:rPr>
        <w:t xml:space="preserve"> shall apply</w:t>
      </w:r>
      <w:r w:rsidRPr="00321C6C">
        <w:t>.</w:t>
      </w:r>
    </w:p>
    <w:p w14:paraId="044F0B0A" w14:textId="15D79980" w:rsidR="007D302B" w:rsidRPr="00321C6C" w:rsidRDefault="007D302B" w:rsidP="007D302B">
      <w:pPr>
        <w:pStyle w:val="SingleTxtG"/>
        <w:tabs>
          <w:tab w:val="clear" w:pos="1701"/>
          <w:tab w:val="clear" w:pos="2268"/>
          <w:tab w:val="clear" w:pos="2835"/>
        </w:tabs>
        <w:ind w:left="2268" w:hanging="1134"/>
      </w:pPr>
      <w:r w:rsidRPr="00321C6C">
        <w:t>5.1.1.1.</w:t>
      </w:r>
      <w:r w:rsidRPr="00321C6C">
        <w:tab/>
        <w:t xml:space="preserve">The manufacturer </w:t>
      </w:r>
      <w:r w:rsidRPr="00321C6C">
        <w:rPr>
          <w:strike/>
        </w:rPr>
        <w:t>will</w:t>
      </w:r>
      <w:r w:rsidRPr="00321C6C">
        <w:t xml:space="preserve"> </w:t>
      </w:r>
      <w:r w:rsidRPr="00321C6C">
        <w:rPr>
          <w:b/>
          <w:bCs/>
        </w:rPr>
        <w:t>shall</w:t>
      </w:r>
      <w:r w:rsidRPr="00321C6C">
        <w:t xml:space="preserve"> provide the authority responsible for approval with information regarding the </w:t>
      </w:r>
      <w:r w:rsidRPr="00321C6C">
        <w:rPr>
          <w:strike/>
        </w:rPr>
        <w:t>compatibility of</w:t>
      </w:r>
      <w:r w:rsidRPr="00321C6C">
        <w:t xml:space="preserve"> performances </w:t>
      </w:r>
      <w:r w:rsidRPr="00321C6C">
        <w:rPr>
          <w:strike/>
        </w:rPr>
        <w:t xml:space="preserve">in comparison </w:t>
      </w:r>
      <w:r w:rsidRPr="00321C6C">
        <w:rPr>
          <w:strike/>
        </w:rPr>
        <w:lastRenderedPageBreak/>
        <w:t>with</w:t>
      </w:r>
      <w:r w:rsidRPr="00321C6C">
        <w:t xml:space="preserve"> </w:t>
      </w:r>
      <w:r w:rsidRPr="00321C6C">
        <w:rPr>
          <w:b/>
          <w:bCs/>
        </w:rPr>
        <w:t>of</w:t>
      </w:r>
      <w:r w:rsidRPr="00321C6C">
        <w:t xml:space="preserve"> </w:t>
      </w:r>
      <w:r w:rsidRPr="00321C6C">
        <w:rPr>
          <w:strike/>
        </w:rPr>
        <w:t xml:space="preserve">the driver’s </w:t>
      </w:r>
      <w:r w:rsidRPr="00321C6C">
        <w:rPr>
          <w:b/>
          <w:bCs/>
        </w:rPr>
        <w:t>the proposed</w:t>
      </w:r>
      <w:r w:rsidRPr="00321C6C">
        <w:t xml:space="preserve"> side </w:t>
      </w:r>
      <w:r w:rsidRPr="00321C6C">
        <w:rPr>
          <w:strike/>
        </w:rPr>
        <w:t>when the test is being carried out on that side</w:t>
      </w:r>
      <w:r w:rsidRPr="00321C6C">
        <w:t xml:space="preserve"> </w:t>
      </w:r>
      <w:r w:rsidRPr="00321C6C">
        <w:rPr>
          <w:b/>
          <w:bCs/>
        </w:rPr>
        <w:t>in comparison with the opposite side.</w:t>
      </w:r>
    </w:p>
    <w:p w14:paraId="676725D1" w14:textId="77777777" w:rsidR="007D302B" w:rsidRPr="00321C6C" w:rsidRDefault="007D302B" w:rsidP="007D302B">
      <w:pPr>
        <w:pStyle w:val="SingleTxtG"/>
        <w:tabs>
          <w:tab w:val="clear" w:pos="1701"/>
          <w:tab w:val="clear" w:pos="2268"/>
          <w:tab w:val="clear" w:pos="2835"/>
        </w:tabs>
        <w:ind w:left="2268" w:hanging="1134"/>
      </w:pPr>
      <w:r w:rsidRPr="00321C6C">
        <w:t>5.1.1.2.</w:t>
      </w:r>
      <w:r w:rsidRPr="00321C6C">
        <w:tab/>
        <w:t xml:space="preserve">The Type Approval Authority, if concerned as to the construction of the vehicle, will decide to have the test performed on the side, </w:t>
      </w:r>
      <w:r w:rsidRPr="00321C6C">
        <w:rPr>
          <w:strike/>
        </w:rPr>
        <w:t xml:space="preserve">opposite the driver, this </w:t>
      </w:r>
      <w:proofErr w:type="gramStart"/>
      <w:r w:rsidRPr="00321C6C">
        <w:rPr>
          <w:strike/>
        </w:rPr>
        <w:t>being</w:t>
      </w:r>
      <w:r w:rsidRPr="00321C6C">
        <w:t xml:space="preserve"> considered </w:t>
      </w:r>
      <w:r w:rsidRPr="00321C6C">
        <w:rPr>
          <w:b/>
          <w:bCs/>
        </w:rPr>
        <w:t>to be</w:t>
      </w:r>
      <w:proofErr w:type="gramEnd"/>
      <w:r w:rsidRPr="00321C6C">
        <w:t xml:space="preserve"> the least favourable.”</w:t>
      </w:r>
    </w:p>
    <w:p w14:paraId="7FA1BAC9" w14:textId="77777777" w:rsidR="007D302B" w:rsidRPr="00321C6C" w:rsidRDefault="007D302B" w:rsidP="007D302B">
      <w:pPr>
        <w:pStyle w:val="SingleTxtG"/>
        <w:keepNext/>
        <w:tabs>
          <w:tab w:val="clear" w:pos="1701"/>
          <w:tab w:val="clear" w:pos="2268"/>
          <w:tab w:val="clear" w:pos="2835"/>
        </w:tabs>
      </w:pPr>
      <w:r w:rsidRPr="00321C6C">
        <w:rPr>
          <w:i/>
        </w:rPr>
        <w:t>Paragraph 5.3.1.1.</w:t>
      </w:r>
      <w:r w:rsidRPr="00321C6C">
        <w:rPr>
          <w:i/>
          <w:iCs/>
        </w:rPr>
        <w:t xml:space="preserve">, </w:t>
      </w:r>
      <w:r w:rsidRPr="00321C6C">
        <w:t>amend to read:</w:t>
      </w:r>
    </w:p>
    <w:p w14:paraId="7A87B4F7" w14:textId="77777777" w:rsidR="007D302B" w:rsidRPr="00321C6C" w:rsidRDefault="007D302B" w:rsidP="007D302B">
      <w:pPr>
        <w:pStyle w:val="SingleTxtG"/>
        <w:tabs>
          <w:tab w:val="clear" w:pos="1701"/>
          <w:tab w:val="clear" w:pos="2268"/>
          <w:tab w:val="clear" w:pos="2835"/>
        </w:tabs>
        <w:ind w:left="2268" w:hanging="1134"/>
      </w:pPr>
      <w:r w:rsidRPr="00321C6C">
        <w:t>“5.3.1.1.</w:t>
      </w:r>
      <w:r w:rsidRPr="00321C6C">
        <w:tab/>
        <w:t xml:space="preserve">In the case of automatically activated door locking systems which are installed optionally and/or which can be de-activated </w:t>
      </w:r>
      <w:r w:rsidRPr="00321C6C">
        <w:rPr>
          <w:strike/>
        </w:rPr>
        <w:t>by the driver</w:t>
      </w:r>
      <w:r w:rsidRPr="00321C6C">
        <w:t>, this requirement shall be verified by using one of the following two test procedures, at the choice of the manufacturer:”</w:t>
      </w:r>
    </w:p>
    <w:p w14:paraId="1880561C" w14:textId="77777777" w:rsidR="007D302B" w:rsidRPr="00321C6C" w:rsidRDefault="007D302B" w:rsidP="007D302B">
      <w:pPr>
        <w:pStyle w:val="SingleTxtG"/>
        <w:keepNext/>
        <w:tabs>
          <w:tab w:val="clear" w:pos="1701"/>
          <w:tab w:val="clear" w:pos="2268"/>
          <w:tab w:val="clear" w:pos="2835"/>
        </w:tabs>
      </w:pPr>
      <w:r w:rsidRPr="00321C6C">
        <w:rPr>
          <w:i/>
        </w:rPr>
        <w:t>Paragraph 5.3.2.2.</w:t>
      </w:r>
      <w:r w:rsidRPr="00321C6C">
        <w:rPr>
          <w:i/>
          <w:iCs/>
        </w:rPr>
        <w:t xml:space="preserve">, </w:t>
      </w:r>
      <w:r w:rsidRPr="00321C6C">
        <w:t>amend to read:</w:t>
      </w:r>
    </w:p>
    <w:p w14:paraId="0E742D9E" w14:textId="77777777" w:rsidR="007D302B" w:rsidRPr="00321C6C" w:rsidRDefault="007D302B" w:rsidP="007D302B">
      <w:pPr>
        <w:pStyle w:val="SingleTxtG"/>
        <w:tabs>
          <w:tab w:val="clear" w:pos="1701"/>
          <w:tab w:val="clear" w:pos="2268"/>
          <w:tab w:val="clear" w:pos="2835"/>
        </w:tabs>
        <w:ind w:left="2268" w:hanging="1134"/>
      </w:pPr>
      <w:r w:rsidRPr="00321C6C">
        <w:t>“5.3.2.2.</w:t>
      </w:r>
      <w:r w:rsidRPr="00321C6C">
        <w:tab/>
        <w:t xml:space="preserve">In the case of automatically activated door locking systems which are installed optionally and/or which can be de-activated </w:t>
      </w:r>
      <w:r w:rsidRPr="00321C6C">
        <w:rPr>
          <w:strike/>
        </w:rPr>
        <w:t>by the driver</w:t>
      </w:r>
      <w:r w:rsidRPr="00321C6C">
        <w:t>, this requirement shall be verified by using one of the following two test procedures, at the choice of the manufacturer:”</w:t>
      </w:r>
    </w:p>
    <w:p w14:paraId="0EC51BAC" w14:textId="15755106" w:rsidR="007D302B" w:rsidRPr="00321C6C" w:rsidRDefault="007D302B" w:rsidP="007D302B">
      <w:pPr>
        <w:pStyle w:val="SingleTxtG"/>
        <w:keepNext/>
        <w:tabs>
          <w:tab w:val="clear" w:pos="1701"/>
          <w:tab w:val="clear" w:pos="2268"/>
          <w:tab w:val="clear" w:pos="2835"/>
        </w:tabs>
        <w:rPr>
          <w:b/>
          <w:bCs/>
          <w:szCs w:val="16"/>
        </w:rPr>
      </w:pPr>
      <w:r w:rsidRPr="00321C6C">
        <w:rPr>
          <w:i/>
          <w:iCs/>
          <w:szCs w:val="16"/>
        </w:rPr>
        <w:t>Annex 4</w:t>
      </w:r>
      <w:r w:rsidR="004E5A21">
        <w:rPr>
          <w:i/>
          <w:iCs/>
          <w:szCs w:val="16"/>
        </w:rPr>
        <w:t>, p</w:t>
      </w:r>
      <w:r w:rsidRPr="00321C6C">
        <w:rPr>
          <w:i/>
        </w:rPr>
        <w:t>aragraph 5.2.2.</w:t>
      </w:r>
      <w:r w:rsidRPr="00321C6C">
        <w:rPr>
          <w:i/>
          <w:iCs/>
        </w:rPr>
        <w:t xml:space="preserve">, </w:t>
      </w:r>
      <w:r w:rsidRPr="00321C6C">
        <w:t>amend to read:</w:t>
      </w:r>
    </w:p>
    <w:p w14:paraId="3AC348D0" w14:textId="77777777" w:rsidR="007D302B" w:rsidRPr="00321C6C" w:rsidRDefault="007D302B" w:rsidP="007D302B">
      <w:pPr>
        <w:pStyle w:val="SingleTxtG"/>
        <w:tabs>
          <w:tab w:val="clear" w:pos="1701"/>
          <w:tab w:val="clear" w:pos="2268"/>
          <w:tab w:val="clear" w:pos="2835"/>
        </w:tabs>
        <w:ind w:left="2268" w:hanging="1134"/>
      </w:pPr>
      <w:r w:rsidRPr="00321C6C">
        <w:t>“5.2.2.</w:t>
      </w:r>
      <w:r w:rsidRPr="00321C6C">
        <w:tab/>
      </w:r>
      <w:r w:rsidRPr="00321C6C">
        <w:tab/>
        <w:t xml:space="preserve">In the case of vehicles equipped with an automatically activated door locking system, which is installed optionally and/or which can be de-activated </w:t>
      </w:r>
      <w:r w:rsidRPr="00321C6C">
        <w:rPr>
          <w:strike/>
        </w:rPr>
        <w:t>by the driver</w:t>
      </w:r>
      <w:r w:rsidRPr="00321C6C">
        <w:t>, one of the following two procedures shall be used at the choice of the manufacturer:”</w:t>
      </w:r>
    </w:p>
    <w:p w14:paraId="79C286EF" w14:textId="77777777" w:rsidR="002A497A" w:rsidRPr="00321C6C" w:rsidRDefault="002A497A" w:rsidP="002A497A">
      <w:pPr>
        <w:pStyle w:val="HChG"/>
        <w:ind w:hanging="850"/>
        <w:rPr>
          <w:snapToGrid w:val="0"/>
          <w:lang w:eastAsia="ja-JP"/>
        </w:rPr>
      </w:pPr>
      <w:r w:rsidRPr="00321C6C">
        <w:rPr>
          <w:snapToGrid w:val="0"/>
          <w:lang w:eastAsia="ja-JP"/>
        </w:rPr>
        <w:tab/>
        <w:t>II.</w:t>
      </w:r>
      <w:r w:rsidRPr="00321C6C">
        <w:rPr>
          <w:snapToGrid w:val="0"/>
          <w:lang w:eastAsia="ja-JP"/>
        </w:rPr>
        <w:tab/>
      </w:r>
      <w:r w:rsidRPr="00321C6C">
        <w:t>Justification</w:t>
      </w:r>
    </w:p>
    <w:p w14:paraId="36BF688D" w14:textId="77777777" w:rsidR="002A497A" w:rsidRPr="00321C6C" w:rsidRDefault="002A497A" w:rsidP="002A497A">
      <w:pPr>
        <w:pStyle w:val="SingleTxtG"/>
      </w:pPr>
      <w:r w:rsidRPr="00321C6C">
        <w:t>See paragraph 0. in the proposal.</w:t>
      </w:r>
    </w:p>
    <w:p w14:paraId="681AA816" w14:textId="77777777" w:rsidR="002A497A" w:rsidRPr="00321C6C" w:rsidRDefault="002A497A" w:rsidP="002A497A">
      <w:pPr>
        <w:spacing w:before="240"/>
        <w:jc w:val="center"/>
        <w:rPr>
          <w:u w:val="single"/>
        </w:rPr>
      </w:pPr>
      <w:r w:rsidRPr="00321C6C">
        <w:rPr>
          <w:u w:val="single"/>
        </w:rPr>
        <w:tab/>
      </w:r>
      <w:r w:rsidRPr="00321C6C">
        <w:rPr>
          <w:u w:val="single"/>
        </w:rPr>
        <w:tab/>
      </w:r>
      <w:r w:rsidRPr="00321C6C">
        <w:rPr>
          <w:u w:val="single"/>
        </w:rPr>
        <w:tab/>
      </w:r>
    </w:p>
    <w:p w14:paraId="6908A109" w14:textId="77777777" w:rsidR="001C6663" w:rsidRPr="00321C6C" w:rsidRDefault="001C6663" w:rsidP="00595520"/>
    <w:sectPr w:rsidR="001C6663" w:rsidRPr="00321C6C" w:rsidSect="00B01827">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0BD4" w14:textId="77777777" w:rsidR="008F5F28" w:rsidRDefault="008F5F28"/>
  </w:endnote>
  <w:endnote w:type="continuationSeparator" w:id="0">
    <w:p w14:paraId="510FBAB7" w14:textId="77777777" w:rsidR="008F5F28" w:rsidRDefault="008F5F28"/>
  </w:endnote>
  <w:endnote w:type="continuationNotice" w:id="1">
    <w:p w14:paraId="7AE6522A" w14:textId="77777777" w:rsidR="008F5F28" w:rsidRDefault="008F5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768" w14:textId="0A153B42" w:rsidR="00B01827" w:rsidRPr="00B01827" w:rsidRDefault="00B01827" w:rsidP="00B01827">
    <w:pPr>
      <w:pStyle w:val="Footer"/>
      <w:tabs>
        <w:tab w:val="right" w:pos="9638"/>
      </w:tabs>
      <w:rPr>
        <w:sz w:val="18"/>
      </w:rPr>
    </w:pPr>
    <w:r w:rsidRPr="00B01827">
      <w:rPr>
        <w:b/>
        <w:sz w:val="18"/>
      </w:rPr>
      <w:fldChar w:fldCharType="begin"/>
    </w:r>
    <w:r w:rsidRPr="00B01827">
      <w:rPr>
        <w:b/>
        <w:sz w:val="18"/>
      </w:rPr>
      <w:instrText xml:space="preserve"> PAGE  \* MERGEFORMAT </w:instrText>
    </w:r>
    <w:r w:rsidRPr="00B01827">
      <w:rPr>
        <w:b/>
        <w:sz w:val="18"/>
      </w:rPr>
      <w:fldChar w:fldCharType="separate"/>
    </w:r>
    <w:r w:rsidRPr="00B01827">
      <w:rPr>
        <w:b/>
        <w:noProof/>
        <w:sz w:val="18"/>
      </w:rPr>
      <w:t>2</w:t>
    </w:r>
    <w:r w:rsidRPr="00B0182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11D3" w14:textId="322AA4E4" w:rsidR="00B01827" w:rsidRPr="00B01827" w:rsidRDefault="00B01827" w:rsidP="00B01827">
    <w:pPr>
      <w:pStyle w:val="Footer"/>
      <w:tabs>
        <w:tab w:val="right" w:pos="9638"/>
      </w:tabs>
      <w:rPr>
        <w:b/>
        <w:sz w:val="18"/>
      </w:rPr>
    </w:pPr>
    <w:r>
      <w:tab/>
    </w:r>
    <w:r w:rsidRPr="00B01827">
      <w:rPr>
        <w:b/>
        <w:sz w:val="18"/>
      </w:rPr>
      <w:fldChar w:fldCharType="begin"/>
    </w:r>
    <w:r w:rsidRPr="00B01827">
      <w:rPr>
        <w:b/>
        <w:sz w:val="18"/>
      </w:rPr>
      <w:instrText xml:space="preserve"> PAGE  \* MERGEFORMAT </w:instrText>
    </w:r>
    <w:r w:rsidRPr="00B01827">
      <w:rPr>
        <w:b/>
        <w:sz w:val="18"/>
      </w:rPr>
      <w:fldChar w:fldCharType="separate"/>
    </w:r>
    <w:r w:rsidRPr="00B01827">
      <w:rPr>
        <w:b/>
        <w:noProof/>
        <w:sz w:val="18"/>
      </w:rPr>
      <w:t>3</w:t>
    </w:r>
    <w:r w:rsidRPr="00B0182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82E" w14:textId="2D6D1154" w:rsidR="003257D9" w:rsidRDefault="003257D9" w:rsidP="003257D9">
    <w:pPr>
      <w:pStyle w:val="Footer"/>
    </w:pPr>
    <w:r w:rsidRPr="0027112F">
      <w:rPr>
        <w:noProof/>
        <w:lang w:val="en-US"/>
      </w:rPr>
      <w:drawing>
        <wp:anchor distT="0" distB="0" distL="114300" distR="114300" simplePos="0" relativeHeight="251659264" behindDoc="0" locked="1" layoutInCell="1" allowOverlap="1" wp14:anchorId="4C3E8C92" wp14:editId="16A39AB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19038F5" w14:textId="6E5AE349" w:rsidR="003257D9" w:rsidRPr="003257D9" w:rsidRDefault="003257D9" w:rsidP="003257D9">
    <w:pPr>
      <w:pStyle w:val="Footer"/>
      <w:ind w:right="1134"/>
      <w:rPr>
        <w:sz w:val="20"/>
      </w:rPr>
    </w:pPr>
    <w:r>
      <w:rPr>
        <w:sz w:val="20"/>
      </w:rPr>
      <w:t>GE.25-</w:t>
    </w:r>
    <w:proofErr w:type="gramStart"/>
    <w:r>
      <w:rPr>
        <w:sz w:val="20"/>
      </w:rPr>
      <w:t>15119  (</w:t>
    </w:r>
    <w:proofErr w:type="gramEnd"/>
    <w:r>
      <w:rPr>
        <w:sz w:val="20"/>
      </w:rPr>
      <w:t>E)</w:t>
    </w:r>
    <w:r>
      <w:rPr>
        <w:noProof/>
        <w:sz w:val="20"/>
      </w:rPr>
      <w:drawing>
        <wp:anchor distT="0" distB="0" distL="114300" distR="114300" simplePos="0" relativeHeight="251660288" behindDoc="0" locked="0" layoutInCell="1" allowOverlap="1" wp14:anchorId="3FF5479E" wp14:editId="20D21A58">
          <wp:simplePos x="0" y="0"/>
          <wp:positionH relativeFrom="margin">
            <wp:posOffset>5583555</wp:posOffset>
          </wp:positionH>
          <wp:positionV relativeFrom="margin">
            <wp:posOffset>8981440</wp:posOffset>
          </wp:positionV>
          <wp:extent cx="571500" cy="571500"/>
          <wp:effectExtent l="0" t="0" r="0" b="0"/>
          <wp:wrapNone/>
          <wp:docPr id="195242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03E0" w14:textId="77777777" w:rsidR="008F5F28" w:rsidRPr="000B175B" w:rsidRDefault="008F5F28" w:rsidP="000B175B">
      <w:pPr>
        <w:tabs>
          <w:tab w:val="right" w:pos="2155"/>
        </w:tabs>
        <w:spacing w:after="80"/>
        <w:ind w:left="680"/>
        <w:rPr>
          <w:u w:val="single"/>
        </w:rPr>
      </w:pPr>
      <w:r>
        <w:rPr>
          <w:u w:val="single"/>
        </w:rPr>
        <w:tab/>
      </w:r>
    </w:p>
  </w:footnote>
  <w:footnote w:type="continuationSeparator" w:id="0">
    <w:p w14:paraId="008A11BB" w14:textId="77777777" w:rsidR="008F5F28" w:rsidRPr="00FC68B7" w:rsidRDefault="008F5F28" w:rsidP="00FC68B7">
      <w:pPr>
        <w:tabs>
          <w:tab w:val="left" w:pos="2155"/>
        </w:tabs>
        <w:spacing w:after="80"/>
        <w:ind w:left="680"/>
        <w:rPr>
          <w:u w:val="single"/>
        </w:rPr>
      </w:pPr>
      <w:r>
        <w:rPr>
          <w:u w:val="single"/>
        </w:rPr>
        <w:tab/>
      </w:r>
    </w:p>
  </w:footnote>
  <w:footnote w:type="continuationNotice" w:id="1">
    <w:p w14:paraId="0EFBB431" w14:textId="77777777" w:rsidR="008F5F28" w:rsidRDefault="008F5F28"/>
  </w:footnote>
  <w:footnote w:id="2">
    <w:p w14:paraId="27AE5686" w14:textId="77777777" w:rsidR="008667B9" w:rsidRPr="00122355" w:rsidRDefault="008667B9" w:rsidP="008667B9">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9E12" w14:textId="2C1D627D" w:rsidR="00B01827" w:rsidRPr="00B01827" w:rsidRDefault="00DC0A84">
    <w:pPr>
      <w:pStyle w:val="Header"/>
    </w:pPr>
    <w:fldSimple w:instr=" TITLE  \* MERGEFORMAT ">
      <w:r>
        <w:t>ECE/TRANS/WP.29/GRSP/2025/20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DD16" w14:textId="1484852E" w:rsidR="00B01827" w:rsidRPr="00B01827" w:rsidRDefault="00DC0A84" w:rsidP="00B01827">
    <w:pPr>
      <w:pStyle w:val="Header"/>
      <w:jc w:val="right"/>
    </w:pPr>
    <w:fldSimple w:instr=" TITLE  \* MERGEFORMAT ">
      <w:r>
        <w:t>ECE/TRANS/WP.29/GRSP/2025/20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07209514">
    <w:abstractNumId w:val="1"/>
  </w:num>
  <w:num w:numId="2" w16cid:durableId="1812097329">
    <w:abstractNumId w:val="0"/>
  </w:num>
  <w:num w:numId="3" w16cid:durableId="1605072362">
    <w:abstractNumId w:val="2"/>
  </w:num>
  <w:num w:numId="4" w16cid:durableId="328948898">
    <w:abstractNumId w:val="3"/>
  </w:num>
  <w:num w:numId="5" w16cid:durableId="1857428389">
    <w:abstractNumId w:val="8"/>
  </w:num>
  <w:num w:numId="6" w16cid:durableId="887187415">
    <w:abstractNumId w:val="9"/>
  </w:num>
  <w:num w:numId="7" w16cid:durableId="746539521">
    <w:abstractNumId w:val="7"/>
  </w:num>
  <w:num w:numId="8" w16cid:durableId="764612247">
    <w:abstractNumId w:val="6"/>
  </w:num>
  <w:num w:numId="9" w16cid:durableId="2106000392">
    <w:abstractNumId w:val="5"/>
  </w:num>
  <w:num w:numId="10" w16cid:durableId="1070805826">
    <w:abstractNumId w:val="4"/>
  </w:num>
  <w:num w:numId="11" w16cid:durableId="1780829087">
    <w:abstractNumId w:val="15"/>
  </w:num>
  <w:num w:numId="12" w16cid:durableId="38287205">
    <w:abstractNumId w:val="14"/>
  </w:num>
  <w:num w:numId="13" w16cid:durableId="1276405420">
    <w:abstractNumId w:val="10"/>
  </w:num>
  <w:num w:numId="14" w16cid:durableId="1260681485">
    <w:abstractNumId w:val="12"/>
  </w:num>
  <w:num w:numId="15" w16cid:durableId="2007129559">
    <w:abstractNumId w:val="16"/>
  </w:num>
  <w:num w:numId="16" w16cid:durableId="1393888977">
    <w:abstractNumId w:val="13"/>
  </w:num>
  <w:num w:numId="17" w16cid:durableId="1908495736">
    <w:abstractNumId w:val="17"/>
  </w:num>
  <w:num w:numId="18" w16cid:durableId="588004247">
    <w:abstractNumId w:val="18"/>
  </w:num>
  <w:num w:numId="19" w16cid:durableId="25856226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27"/>
    <w:rsid w:val="00002A7D"/>
    <w:rsid w:val="000038A8"/>
    <w:rsid w:val="00005939"/>
    <w:rsid w:val="00005DF3"/>
    <w:rsid w:val="00006790"/>
    <w:rsid w:val="000173BB"/>
    <w:rsid w:val="00027624"/>
    <w:rsid w:val="00050F6B"/>
    <w:rsid w:val="000678CD"/>
    <w:rsid w:val="00072C8C"/>
    <w:rsid w:val="00081CE0"/>
    <w:rsid w:val="00084D30"/>
    <w:rsid w:val="00090320"/>
    <w:rsid w:val="00091F0F"/>
    <w:rsid w:val="000931C0"/>
    <w:rsid w:val="00097003"/>
    <w:rsid w:val="000A2E09"/>
    <w:rsid w:val="000B175B"/>
    <w:rsid w:val="000B3A0F"/>
    <w:rsid w:val="000E0415"/>
    <w:rsid w:val="000F7715"/>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637B5"/>
    <w:rsid w:val="00270B0A"/>
    <w:rsid w:val="0027237A"/>
    <w:rsid w:val="002974E9"/>
    <w:rsid w:val="002A306B"/>
    <w:rsid w:val="002A497A"/>
    <w:rsid w:val="002A7F94"/>
    <w:rsid w:val="002B109A"/>
    <w:rsid w:val="002C6D45"/>
    <w:rsid w:val="002D6E53"/>
    <w:rsid w:val="002F046D"/>
    <w:rsid w:val="002F3023"/>
    <w:rsid w:val="00301764"/>
    <w:rsid w:val="00321C6C"/>
    <w:rsid w:val="003229D8"/>
    <w:rsid w:val="003257D9"/>
    <w:rsid w:val="00336C97"/>
    <w:rsid w:val="00337F88"/>
    <w:rsid w:val="00342432"/>
    <w:rsid w:val="0035223F"/>
    <w:rsid w:val="00352D4B"/>
    <w:rsid w:val="0035638C"/>
    <w:rsid w:val="0038598F"/>
    <w:rsid w:val="003A46BB"/>
    <w:rsid w:val="003A4EC7"/>
    <w:rsid w:val="003A7295"/>
    <w:rsid w:val="003B1F60"/>
    <w:rsid w:val="003C2CC4"/>
    <w:rsid w:val="003D4B23"/>
    <w:rsid w:val="003D7B69"/>
    <w:rsid w:val="003E278A"/>
    <w:rsid w:val="00413520"/>
    <w:rsid w:val="004325CB"/>
    <w:rsid w:val="00440A07"/>
    <w:rsid w:val="00443A3E"/>
    <w:rsid w:val="00462880"/>
    <w:rsid w:val="00474978"/>
    <w:rsid w:val="00476F24"/>
    <w:rsid w:val="004A5D33"/>
    <w:rsid w:val="004B55DA"/>
    <w:rsid w:val="004C55B0"/>
    <w:rsid w:val="004D73E0"/>
    <w:rsid w:val="004E5A21"/>
    <w:rsid w:val="004F6BA0"/>
    <w:rsid w:val="00503BEA"/>
    <w:rsid w:val="005335ED"/>
    <w:rsid w:val="00533616"/>
    <w:rsid w:val="00535ABA"/>
    <w:rsid w:val="00536154"/>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2C3F"/>
    <w:rsid w:val="007D302B"/>
    <w:rsid w:val="007D6F65"/>
    <w:rsid w:val="007D7362"/>
    <w:rsid w:val="007F5CE2"/>
    <w:rsid w:val="007F6611"/>
    <w:rsid w:val="00810BAC"/>
    <w:rsid w:val="00814C29"/>
    <w:rsid w:val="008175E9"/>
    <w:rsid w:val="008242D7"/>
    <w:rsid w:val="0082577B"/>
    <w:rsid w:val="00825CB5"/>
    <w:rsid w:val="008308F8"/>
    <w:rsid w:val="008667B9"/>
    <w:rsid w:val="00866893"/>
    <w:rsid w:val="00866F02"/>
    <w:rsid w:val="00867D18"/>
    <w:rsid w:val="00871F9A"/>
    <w:rsid w:val="00871FD5"/>
    <w:rsid w:val="0088172E"/>
    <w:rsid w:val="00881EFA"/>
    <w:rsid w:val="008879CB"/>
    <w:rsid w:val="008979B1"/>
    <w:rsid w:val="008A3BFE"/>
    <w:rsid w:val="008A6202"/>
    <w:rsid w:val="008A6B25"/>
    <w:rsid w:val="008A6C4F"/>
    <w:rsid w:val="008A7867"/>
    <w:rsid w:val="008B389E"/>
    <w:rsid w:val="008D045E"/>
    <w:rsid w:val="008D3F25"/>
    <w:rsid w:val="008D4D82"/>
    <w:rsid w:val="008E0E46"/>
    <w:rsid w:val="008E7116"/>
    <w:rsid w:val="008F0D94"/>
    <w:rsid w:val="008F143B"/>
    <w:rsid w:val="008F3882"/>
    <w:rsid w:val="008F4B7C"/>
    <w:rsid w:val="008F5F28"/>
    <w:rsid w:val="0092556A"/>
    <w:rsid w:val="00926E47"/>
    <w:rsid w:val="009316B2"/>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65271"/>
    <w:rsid w:val="00A72F22"/>
    <w:rsid w:val="00A733BC"/>
    <w:rsid w:val="00A748A6"/>
    <w:rsid w:val="00A76A69"/>
    <w:rsid w:val="00A879A4"/>
    <w:rsid w:val="00AA0FF8"/>
    <w:rsid w:val="00AC0F2C"/>
    <w:rsid w:val="00AC502A"/>
    <w:rsid w:val="00AE1E26"/>
    <w:rsid w:val="00AF58C1"/>
    <w:rsid w:val="00B01827"/>
    <w:rsid w:val="00B04A3F"/>
    <w:rsid w:val="00B06643"/>
    <w:rsid w:val="00B15055"/>
    <w:rsid w:val="00B20551"/>
    <w:rsid w:val="00B30179"/>
    <w:rsid w:val="00B31E0B"/>
    <w:rsid w:val="00B33FC7"/>
    <w:rsid w:val="00B37B15"/>
    <w:rsid w:val="00B4162A"/>
    <w:rsid w:val="00B45C02"/>
    <w:rsid w:val="00B475D1"/>
    <w:rsid w:val="00B70B63"/>
    <w:rsid w:val="00B72A1E"/>
    <w:rsid w:val="00B81E12"/>
    <w:rsid w:val="00BA339B"/>
    <w:rsid w:val="00BB23CC"/>
    <w:rsid w:val="00BC1E7E"/>
    <w:rsid w:val="00BC74E9"/>
    <w:rsid w:val="00BD33A8"/>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47C5"/>
    <w:rsid w:val="00CE4A8F"/>
    <w:rsid w:val="00CF071D"/>
    <w:rsid w:val="00D0123D"/>
    <w:rsid w:val="00D15B04"/>
    <w:rsid w:val="00D2031B"/>
    <w:rsid w:val="00D2267C"/>
    <w:rsid w:val="00D25FE2"/>
    <w:rsid w:val="00D343E1"/>
    <w:rsid w:val="00D37DA9"/>
    <w:rsid w:val="00D406A7"/>
    <w:rsid w:val="00D41AE9"/>
    <w:rsid w:val="00D43252"/>
    <w:rsid w:val="00D44D86"/>
    <w:rsid w:val="00D50B7D"/>
    <w:rsid w:val="00D52012"/>
    <w:rsid w:val="00D704E5"/>
    <w:rsid w:val="00D72727"/>
    <w:rsid w:val="00D90DAB"/>
    <w:rsid w:val="00D978C6"/>
    <w:rsid w:val="00DA0956"/>
    <w:rsid w:val="00DA357F"/>
    <w:rsid w:val="00DA3E12"/>
    <w:rsid w:val="00DC0A84"/>
    <w:rsid w:val="00DC18AD"/>
    <w:rsid w:val="00DF68C0"/>
    <w:rsid w:val="00DF7CAE"/>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B17AA"/>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E4956"/>
  <w15:docId w15:val="{9502550A-BD0F-49B4-9727-F050A22A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8667B9"/>
    <w:rPr>
      <w:b/>
      <w:sz w:val="28"/>
      <w:lang w:val="en-GB"/>
    </w:rPr>
  </w:style>
  <w:style w:type="character" w:customStyle="1" w:styleId="SingleTxtGChar">
    <w:name w:val="_ Single Txt_G Char"/>
    <w:link w:val="SingleTxtG"/>
    <w:qFormat/>
    <w:rsid w:val="008667B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70F5-3BF7-4657-8EA5-3FDF42C0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805</Words>
  <Characters>4355</Characters>
  <Application>Microsoft Office Word</Application>
  <DocSecurity>0</DocSecurity>
  <Lines>97</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ECE/TRANS/WP.29/GRSP/2025/20</dc:title>
  <dc:subject>2515119</dc:subject>
  <dc:creator>Pauline Anne Escalante</dc:creator>
  <cp:keywords/>
  <dc:description/>
  <cp:lastModifiedBy>Pauline Anne Escalante</cp:lastModifiedBy>
  <cp:revision>2</cp:revision>
  <cp:lastPrinted>2025-09-21T15:39:00Z</cp:lastPrinted>
  <dcterms:created xsi:type="dcterms:W3CDTF">2025-09-22T06:52:00Z</dcterms:created>
  <dcterms:modified xsi:type="dcterms:W3CDTF">2025-09-22T06:52:00Z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