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0187" w14:textId="77777777" w:rsidR="00310129" w:rsidRPr="00AA05ED" w:rsidRDefault="00000000">
      <w:pPr>
        <w:jc w:val="center"/>
        <w:rPr>
          <w:b/>
          <w:bCs/>
          <w:lang w:val="en-US"/>
        </w:rPr>
      </w:pPr>
      <w:r w:rsidRPr="00AA05ED">
        <w:rPr>
          <w:b/>
          <w:bCs/>
          <w:lang w:val="en-US"/>
        </w:rPr>
        <w:t>Proposals for editorial corrections to working document GRVA/2026/2</w:t>
      </w:r>
    </w:p>
    <w:p w14:paraId="5A744285" w14:textId="2C405BFD" w:rsidR="00310129" w:rsidRDefault="00000000" w:rsidP="00AA05ED">
      <w:pPr>
        <w:ind w:left="900" w:right="1440"/>
        <w:jc w:val="both"/>
        <w:rPr>
          <w:lang w:val="en-US"/>
        </w:rPr>
      </w:pPr>
      <w:bookmarkStart w:id="0" w:name="_Hlk215402350"/>
      <w:r>
        <w:rPr>
          <w:lang w:val="en-US"/>
        </w:rPr>
        <w:t>The following table presents editorial errors and corrections identified by ADS IWG experts, the IWG secretariat, and the GRVA secretariat. These changes will be made to formal document GRVA/2026/2 (and in its translation into French and Russian) subject to any reservations as may be expressed during the 17</w:t>
      </w:r>
      <w:r>
        <w:rPr>
          <w:vertAlign w:val="superscript"/>
          <w:lang w:val="en-US"/>
        </w:rPr>
        <w:t>th</w:t>
      </w:r>
      <w:r>
        <w:rPr>
          <w:lang w:val="en-US"/>
        </w:rPr>
        <w:t xml:space="preserve"> ADS IWG session in Tokyo.</w:t>
      </w:r>
      <w:bookmarkEnd w:id="0"/>
    </w:p>
    <w:tbl>
      <w:tblPr>
        <w:tblStyle w:val="TableGrid"/>
        <w:tblW w:w="12114" w:type="dxa"/>
        <w:tblLayout w:type="fixed"/>
        <w:tblCellMar>
          <w:top w:w="58" w:type="dxa"/>
          <w:left w:w="58" w:type="dxa"/>
          <w:bottom w:w="58" w:type="dxa"/>
          <w:right w:w="58" w:type="dxa"/>
        </w:tblCellMar>
        <w:tblLook w:val="04A0" w:firstRow="1" w:lastRow="0" w:firstColumn="1" w:lastColumn="0" w:noHBand="0" w:noVBand="1"/>
      </w:tblPr>
      <w:tblGrid>
        <w:gridCol w:w="508"/>
        <w:gridCol w:w="1433"/>
        <w:gridCol w:w="3394"/>
        <w:gridCol w:w="3392"/>
        <w:gridCol w:w="3387"/>
      </w:tblGrid>
      <w:tr w:rsidR="00310129" w14:paraId="7F904194" w14:textId="77777777" w:rsidTr="00AA05ED">
        <w:trPr>
          <w:cantSplit/>
          <w:tblHeader/>
        </w:trPr>
        <w:tc>
          <w:tcPr>
            <w:tcW w:w="508" w:type="dxa"/>
            <w:shd w:val="clear" w:color="auto" w:fill="F2F2F2" w:themeFill="background1" w:themeFillShade="F2"/>
          </w:tcPr>
          <w:p w14:paraId="3928C920" w14:textId="77777777" w:rsidR="00310129" w:rsidRDefault="00310129">
            <w:pPr>
              <w:spacing w:after="0" w:line="240" w:lineRule="auto"/>
              <w:jc w:val="center"/>
              <w:rPr>
                <w:rFonts w:ascii="Roboto" w:hAnsi="Roboto"/>
                <w:sz w:val="20"/>
                <w:szCs w:val="20"/>
                <w:lang w:val="en-US"/>
              </w:rPr>
            </w:pPr>
          </w:p>
        </w:tc>
        <w:tc>
          <w:tcPr>
            <w:tcW w:w="1433" w:type="dxa"/>
            <w:vAlign w:val="center"/>
          </w:tcPr>
          <w:p w14:paraId="6CB89E2C" w14:textId="77777777" w:rsidR="00310129" w:rsidRDefault="00000000">
            <w:pPr>
              <w:spacing w:after="0" w:line="240" w:lineRule="auto"/>
              <w:jc w:val="center"/>
              <w:rPr>
                <w:rFonts w:ascii="Roboto" w:hAnsi="Roboto"/>
                <w:sz w:val="20"/>
                <w:szCs w:val="20"/>
                <w:lang w:val="en-US"/>
              </w:rPr>
            </w:pPr>
            <w:r>
              <w:rPr>
                <w:rFonts w:ascii="Roboto" w:eastAsia="Aptos" w:hAnsi="Roboto"/>
                <w:sz w:val="20"/>
                <w:szCs w:val="20"/>
                <w:lang w:val="en-US"/>
              </w:rPr>
              <w:t>GRVA/2026/2</w:t>
            </w:r>
          </w:p>
        </w:tc>
        <w:tc>
          <w:tcPr>
            <w:tcW w:w="3394" w:type="dxa"/>
            <w:vAlign w:val="center"/>
          </w:tcPr>
          <w:p w14:paraId="0198FE1E" w14:textId="77777777" w:rsidR="00310129" w:rsidRDefault="00000000">
            <w:pPr>
              <w:spacing w:after="0" w:line="240" w:lineRule="auto"/>
              <w:jc w:val="center"/>
              <w:rPr>
                <w:rFonts w:ascii="Roboto" w:hAnsi="Roboto"/>
                <w:sz w:val="20"/>
                <w:szCs w:val="20"/>
                <w:lang w:val="en-US"/>
              </w:rPr>
            </w:pPr>
            <w:r>
              <w:rPr>
                <w:rFonts w:ascii="Roboto" w:eastAsia="Aptos" w:hAnsi="Roboto"/>
                <w:sz w:val="20"/>
                <w:szCs w:val="20"/>
                <w:lang w:val="en-US"/>
              </w:rPr>
              <w:t>Original text</w:t>
            </w:r>
          </w:p>
        </w:tc>
        <w:tc>
          <w:tcPr>
            <w:tcW w:w="3392" w:type="dxa"/>
            <w:vAlign w:val="center"/>
          </w:tcPr>
          <w:p w14:paraId="65596963" w14:textId="77777777" w:rsidR="00310129" w:rsidRDefault="00000000">
            <w:pPr>
              <w:spacing w:after="0" w:line="240" w:lineRule="auto"/>
              <w:jc w:val="center"/>
              <w:rPr>
                <w:rFonts w:ascii="Roboto" w:hAnsi="Roboto"/>
                <w:sz w:val="20"/>
                <w:szCs w:val="20"/>
                <w:lang w:val="en-US"/>
              </w:rPr>
            </w:pPr>
            <w:r>
              <w:rPr>
                <w:rFonts w:ascii="Roboto" w:eastAsia="Aptos" w:hAnsi="Roboto"/>
                <w:sz w:val="20"/>
                <w:szCs w:val="20"/>
                <w:lang w:val="en-US"/>
              </w:rPr>
              <w:t>Change proposal</w:t>
            </w:r>
          </w:p>
        </w:tc>
        <w:tc>
          <w:tcPr>
            <w:tcW w:w="3387" w:type="dxa"/>
            <w:vAlign w:val="center"/>
          </w:tcPr>
          <w:p w14:paraId="322CE66A" w14:textId="77777777" w:rsidR="00310129" w:rsidRDefault="00000000">
            <w:pPr>
              <w:spacing w:after="0" w:line="240" w:lineRule="auto"/>
              <w:jc w:val="center"/>
              <w:rPr>
                <w:rFonts w:ascii="Roboto" w:hAnsi="Roboto"/>
                <w:sz w:val="20"/>
                <w:szCs w:val="20"/>
                <w:lang w:val="en-US"/>
              </w:rPr>
            </w:pPr>
            <w:r>
              <w:rPr>
                <w:rFonts w:ascii="Roboto" w:eastAsia="Aptos" w:hAnsi="Roboto"/>
                <w:sz w:val="20"/>
                <w:szCs w:val="20"/>
                <w:lang w:val="en-US"/>
              </w:rPr>
              <w:t>Explanation</w:t>
            </w:r>
          </w:p>
        </w:tc>
      </w:tr>
      <w:tr w:rsidR="007C69E6" w14:paraId="65D9FB3B" w14:textId="77777777" w:rsidTr="00AA05ED">
        <w:tc>
          <w:tcPr>
            <w:tcW w:w="508" w:type="dxa"/>
            <w:shd w:val="clear" w:color="auto" w:fill="F2F2F2" w:themeFill="background1" w:themeFillShade="F2"/>
          </w:tcPr>
          <w:p w14:paraId="42392A08" w14:textId="77777777" w:rsidR="007C69E6" w:rsidRDefault="007C69E6">
            <w:pPr>
              <w:spacing w:after="0" w:line="240" w:lineRule="auto"/>
              <w:rPr>
                <w:rFonts w:eastAsia="Aptos" w:cs="Times New Roman"/>
                <w:sz w:val="20"/>
                <w:szCs w:val="20"/>
                <w:lang w:val="en-US"/>
              </w:rPr>
            </w:pPr>
          </w:p>
        </w:tc>
        <w:tc>
          <w:tcPr>
            <w:tcW w:w="1433" w:type="dxa"/>
          </w:tcPr>
          <w:p w14:paraId="260E441B" w14:textId="6870F330" w:rsidR="007C69E6" w:rsidRDefault="007C69E6">
            <w:pPr>
              <w:spacing w:after="0" w:line="240" w:lineRule="auto"/>
              <w:rPr>
                <w:rFonts w:eastAsia="Aptos" w:cs="Times New Roman"/>
                <w:sz w:val="20"/>
                <w:szCs w:val="20"/>
                <w:lang w:val="en-US"/>
              </w:rPr>
            </w:pPr>
            <w:r>
              <w:rPr>
                <w:rFonts w:eastAsia="Aptos" w:cs="Times New Roman"/>
                <w:sz w:val="20"/>
                <w:szCs w:val="20"/>
                <w:lang w:val="en-US"/>
              </w:rPr>
              <w:t>Preamble</w:t>
            </w:r>
          </w:p>
        </w:tc>
        <w:tc>
          <w:tcPr>
            <w:tcW w:w="3394" w:type="dxa"/>
          </w:tcPr>
          <w:p w14:paraId="0C57996D" w14:textId="6357AD61" w:rsidR="007C69E6" w:rsidRDefault="007C69E6">
            <w:pPr>
              <w:spacing w:after="0" w:line="240" w:lineRule="auto"/>
              <w:rPr>
                <w:rFonts w:eastAsia="Aptos" w:cs="Times New Roman"/>
                <w:sz w:val="20"/>
                <w:szCs w:val="20"/>
                <w:lang w:val="en-US"/>
              </w:rPr>
            </w:pPr>
            <w:r w:rsidRPr="007C69E6">
              <w:rPr>
                <w:rFonts w:eastAsia="Aptos" w:cs="Times New Roman"/>
                <w:sz w:val="20"/>
                <w:szCs w:val="20"/>
                <w:lang w:val="en-US"/>
              </w:rPr>
              <w:t>This document is based on informal document GRVA-23-23 and submitted pursuant to ECE/TRANS/WP.29/39/Rev.2 as amended b</w:t>
            </w:r>
          </w:p>
        </w:tc>
        <w:tc>
          <w:tcPr>
            <w:tcW w:w="3392" w:type="dxa"/>
          </w:tcPr>
          <w:p w14:paraId="17A5A75E" w14:textId="3A66A7B9" w:rsidR="007C69E6" w:rsidRDefault="007C69E6">
            <w:pPr>
              <w:spacing w:after="0" w:line="240" w:lineRule="auto"/>
              <w:rPr>
                <w:rFonts w:eastAsia="Aptos" w:cs="Times New Roman"/>
                <w:sz w:val="20"/>
                <w:szCs w:val="20"/>
                <w:lang w:val="en-US"/>
              </w:rPr>
            </w:pPr>
            <w:r w:rsidRPr="007C69E6">
              <w:rPr>
                <w:rFonts w:eastAsia="Aptos" w:cs="Times New Roman"/>
                <w:sz w:val="20"/>
                <w:szCs w:val="20"/>
                <w:lang w:val="en-US"/>
              </w:rPr>
              <w:t>This document is based on informal document GRVA-23-23 and submitted pursuant to ECE/TRANS/WP.29</w:t>
            </w:r>
            <w:r>
              <w:rPr>
                <w:rFonts w:eastAsia="Aptos" w:cs="Times New Roman"/>
                <w:b/>
                <w:bCs/>
                <w:sz w:val="20"/>
                <w:szCs w:val="20"/>
                <w:lang w:val="en-US"/>
              </w:rPr>
              <w:t>/2019</w:t>
            </w:r>
            <w:r w:rsidRPr="007C69E6">
              <w:rPr>
                <w:rFonts w:eastAsia="Aptos" w:cs="Times New Roman"/>
                <w:sz w:val="20"/>
                <w:szCs w:val="20"/>
                <w:lang w:val="en-US"/>
              </w:rPr>
              <w:t>/39/Rev.2 as amended b</w:t>
            </w:r>
          </w:p>
        </w:tc>
        <w:tc>
          <w:tcPr>
            <w:tcW w:w="3387" w:type="dxa"/>
          </w:tcPr>
          <w:p w14:paraId="4912808A" w14:textId="67686F15" w:rsidR="007C69E6" w:rsidRDefault="007C69E6">
            <w:pPr>
              <w:spacing w:after="0" w:line="240" w:lineRule="auto"/>
              <w:rPr>
                <w:rFonts w:eastAsia="Aptos" w:cs="Times New Roman"/>
                <w:sz w:val="20"/>
                <w:szCs w:val="20"/>
                <w:lang w:val="en-US"/>
              </w:rPr>
            </w:pPr>
            <w:r>
              <w:rPr>
                <w:rFonts w:eastAsia="Aptos" w:cs="Times New Roman"/>
                <w:sz w:val="20"/>
                <w:szCs w:val="20"/>
                <w:lang w:val="en-US"/>
              </w:rPr>
              <w:t>Missing year in formal document reference number.</w:t>
            </w:r>
          </w:p>
        </w:tc>
      </w:tr>
      <w:tr w:rsidR="007C69E6" w14:paraId="34F6D382" w14:textId="77777777" w:rsidTr="00AA05ED">
        <w:tc>
          <w:tcPr>
            <w:tcW w:w="508" w:type="dxa"/>
            <w:shd w:val="clear" w:color="auto" w:fill="F2F2F2" w:themeFill="background1" w:themeFillShade="F2"/>
          </w:tcPr>
          <w:p w14:paraId="31A10D67" w14:textId="77777777" w:rsidR="007C69E6" w:rsidRDefault="007C69E6">
            <w:pPr>
              <w:spacing w:after="0" w:line="240" w:lineRule="auto"/>
              <w:rPr>
                <w:rFonts w:eastAsia="Aptos" w:cs="Times New Roman"/>
                <w:sz w:val="20"/>
                <w:szCs w:val="20"/>
                <w:lang w:val="en-US"/>
              </w:rPr>
            </w:pPr>
          </w:p>
        </w:tc>
        <w:tc>
          <w:tcPr>
            <w:tcW w:w="1433" w:type="dxa"/>
          </w:tcPr>
          <w:p w14:paraId="0A8BE3FD" w14:textId="35FBF36E" w:rsidR="007C69E6" w:rsidRDefault="007C69E6">
            <w:pPr>
              <w:spacing w:after="0" w:line="240" w:lineRule="auto"/>
              <w:rPr>
                <w:rFonts w:eastAsia="Aptos" w:cs="Times New Roman"/>
                <w:sz w:val="20"/>
                <w:szCs w:val="20"/>
                <w:lang w:val="en-US"/>
              </w:rPr>
            </w:pPr>
            <w:r>
              <w:rPr>
                <w:rFonts w:eastAsia="Aptos" w:cs="Times New Roman"/>
                <w:sz w:val="20"/>
                <w:szCs w:val="20"/>
                <w:lang w:val="en-US"/>
              </w:rPr>
              <w:t>41.</w:t>
            </w:r>
          </w:p>
        </w:tc>
        <w:tc>
          <w:tcPr>
            <w:tcW w:w="3394" w:type="dxa"/>
          </w:tcPr>
          <w:p w14:paraId="33B623E6" w14:textId="2B824600" w:rsidR="007C69E6" w:rsidRDefault="007C69E6">
            <w:pPr>
              <w:spacing w:after="0" w:line="240" w:lineRule="auto"/>
              <w:rPr>
                <w:rFonts w:eastAsia="Aptos" w:cs="Times New Roman"/>
                <w:sz w:val="20"/>
                <w:szCs w:val="20"/>
                <w:lang w:val="en-US"/>
              </w:rPr>
            </w:pPr>
            <w:r w:rsidRPr="007C69E6">
              <w:rPr>
                <w:rFonts w:eastAsia="Aptos" w:cs="Times New Roman"/>
                <w:sz w:val="20"/>
                <w:szCs w:val="20"/>
                <w:lang w:val="en-US"/>
              </w:rPr>
              <w:t>The following is a list of common principles with brief descriptions and explanations. It is expected these would form the basis for further development. Except for items (n) and (o), all these items have been identified in ECE/TRANS/WP.29/2029/34/Rev.2</w:t>
            </w:r>
            <w:r>
              <w:rPr>
                <w:rFonts w:eastAsia="Aptos" w:cs="Times New Roman"/>
                <w:sz w:val="20"/>
                <w:szCs w:val="20"/>
                <w:lang w:val="en-US"/>
              </w:rPr>
              <w:t>:</w:t>
            </w:r>
          </w:p>
        </w:tc>
        <w:tc>
          <w:tcPr>
            <w:tcW w:w="3392" w:type="dxa"/>
          </w:tcPr>
          <w:p w14:paraId="6D8BF0DD" w14:textId="73AA3EB9" w:rsidR="007C69E6" w:rsidRDefault="007C69E6">
            <w:pPr>
              <w:spacing w:after="0" w:line="240" w:lineRule="auto"/>
              <w:rPr>
                <w:rFonts w:eastAsia="Aptos" w:cs="Times New Roman"/>
                <w:sz w:val="20"/>
                <w:szCs w:val="20"/>
                <w:lang w:val="en-US"/>
              </w:rPr>
            </w:pPr>
            <w:r w:rsidRPr="007C69E6">
              <w:rPr>
                <w:rFonts w:eastAsia="Aptos" w:cs="Times New Roman"/>
                <w:sz w:val="20"/>
                <w:szCs w:val="20"/>
                <w:lang w:val="en-US"/>
              </w:rPr>
              <w:t>The following is a list of common principles with brief descriptions and explanations. It is expected these would form the basis for further development. Except for items (n) and (o), all these items have been identified in ECE/TRANS/WP.29/</w:t>
            </w:r>
            <w:r>
              <w:rPr>
                <w:rFonts w:eastAsia="Aptos" w:cs="Times New Roman"/>
                <w:b/>
                <w:bCs/>
                <w:sz w:val="20"/>
                <w:szCs w:val="20"/>
                <w:lang w:val="en-US"/>
              </w:rPr>
              <w:t>2019</w:t>
            </w:r>
            <w:r w:rsidRPr="007C69E6">
              <w:rPr>
                <w:rFonts w:eastAsia="Aptos" w:cs="Times New Roman"/>
                <w:sz w:val="20"/>
                <w:szCs w:val="20"/>
                <w:lang w:val="en-US"/>
              </w:rPr>
              <w:t>/34/Rev.2</w:t>
            </w:r>
            <w:r>
              <w:rPr>
                <w:rFonts w:eastAsia="Aptos" w:cs="Times New Roman"/>
                <w:sz w:val="20"/>
                <w:szCs w:val="20"/>
                <w:lang w:val="en-US"/>
              </w:rPr>
              <w:t>:</w:t>
            </w:r>
          </w:p>
        </w:tc>
        <w:tc>
          <w:tcPr>
            <w:tcW w:w="3387" w:type="dxa"/>
          </w:tcPr>
          <w:p w14:paraId="2CA444F9" w14:textId="3CD375F0" w:rsidR="007C69E6" w:rsidRDefault="007C69E6">
            <w:pPr>
              <w:spacing w:after="0" w:line="240" w:lineRule="auto"/>
              <w:rPr>
                <w:rFonts w:eastAsia="Aptos" w:cs="Times New Roman"/>
                <w:sz w:val="20"/>
                <w:szCs w:val="20"/>
                <w:lang w:val="en-US"/>
              </w:rPr>
            </w:pPr>
            <w:r>
              <w:rPr>
                <w:rFonts w:eastAsia="Aptos" w:cs="Times New Roman"/>
                <w:sz w:val="20"/>
                <w:szCs w:val="20"/>
                <w:lang w:val="en-US"/>
              </w:rPr>
              <w:t>Correct the year in the document reference number.</w:t>
            </w:r>
          </w:p>
        </w:tc>
      </w:tr>
      <w:tr w:rsidR="00310129" w14:paraId="2FB7801B" w14:textId="77777777" w:rsidTr="00AA05ED">
        <w:tc>
          <w:tcPr>
            <w:tcW w:w="508" w:type="dxa"/>
            <w:shd w:val="clear" w:color="auto" w:fill="F2F2F2" w:themeFill="background1" w:themeFillShade="F2"/>
          </w:tcPr>
          <w:p w14:paraId="5C30B922" w14:textId="77777777" w:rsidR="00310129" w:rsidRDefault="00000000">
            <w:pPr>
              <w:spacing w:after="0" w:line="240" w:lineRule="auto"/>
              <w:rPr>
                <w:rFonts w:cs="Times New Roman"/>
                <w:sz w:val="20"/>
                <w:szCs w:val="20"/>
                <w:lang w:val="en-US"/>
              </w:rPr>
            </w:pPr>
            <w:r>
              <w:rPr>
                <w:rFonts w:eastAsia="Aptos" w:cs="Times New Roman"/>
                <w:sz w:val="20"/>
                <w:szCs w:val="20"/>
                <w:lang w:val="en-US"/>
              </w:rPr>
              <w:t>1</w:t>
            </w:r>
          </w:p>
        </w:tc>
        <w:tc>
          <w:tcPr>
            <w:tcW w:w="1433" w:type="dxa"/>
          </w:tcPr>
          <w:p w14:paraId="543B3C9F" w14:textId="77777777" w:rsidR="00310129" w:rsidRDefault="00000000">
            <w:pPr>
              <w:spacing w:after="0" w:line="240" w:lineRule="auto"/>
              <w:rPr>
                <w:rFonts w:cs="Times New Roman"/>
                <w:sz w:val="20"/>
                <w:szCs w:val="20"/>
                <w:lang w:val="en-US"/>
              </w:rPr>
            </w:pPr>
            <w:r>
              <w:rPr>
                <w:rFonts w:eastAsia="Aptos" w:cs="Times New Roman"/>
                <w:sz w:val="20"/>
                <w:szCs w:val="20"/>
                <w:lang w:val="en-US"/>
              </w:rPr>
              <w:t>41.(f)</w:t>
            </w:r>
          </w:p>
        </w:tc>
        <w:tc>
          <w:tcPr>
            <w:tcW w:w="3394" w:type="dxa"/>
          </w:tcPr>
          <w:p w14:paraId="7F916F7B" w14:textId="77777777" w:rsidR="00310129" w:rsidRDefault="00000000">
            <w:pPr>
              <w:spacing w:after="0" w:line="240" w:lineRule="auto"/>
              <w:rPr>
                <w:rFonts w:cs="Times New Roman"/>
                <w:sz w:val="20"/>
                <w:szCs w:val="20"/>
                <w:lang w:val="en-US"/>
              </w:rPr>
            </w:pPr>
            <w:r>
              <w:rPr>
                <w:rFonts w:eastAsia="Aptos" w:cs="Times New Roman"/>
                <w:sz w:val="20"/>
                <w:szCs w:val="20"/>
                <w:lang w:val="en-US"/>
              </w:rPr>
              <w:t xml:space="preserve">Validation for System Safety: …in this analysis. Design and validation methods should demonstrate the </w:t>
            </w:r>
            <w:proofErr w:type="spellStart"/>
            <w:r>
              <w:rPr>
                <w:rFonts w:eastAsia="Aptos" w:cs="Times New Roman"/>
                <w:sz w:val="20"/>
                <w:szCs w:val="20"/>
                <w:lang w:val="en-US"/>
              </w:rPr>
              <w:t>behavioural</w:t>
            </w:r>
            <w:proofErr w:type="spellEnd"/>
            <w:r>
              <w:rPr>
                <w:rFonts w:eastAsia="Aptos" w:cs="Times New Roman"/>
                <w:sz w:val="20"/>
                <w:szCs w:val="20"/>
                <w:lang w:val="en-US"/>
              </w:rPr>
              <w:t xml:space="preserve"> competencies an automated vehicle would be expected to perform during normal operation, the performance during crash avoidance situations, and the performance of </w:t>
            </w:r>
            <w:proofErr w:type="spellStart"/>
            <w:r>
              <w:rPr>
                <w:rFonts w:eastAsia="Aptos" w:cs="Times New Roman"/>
                <w:sz w:val="20"/>
                <w:szCs w:val="20"/>
                <w:lang w:val="en-US"/>
              </w:rPr>
              <w:t>fall-back</w:t>
            </w:r>
            <w:proofErr w:type="spellEnd"/>
            <w:r>
              <w:rPr>
                <w:rFonts w:eastAsia="Aptos" w:cs="Times New Roman"/>
                <w:sz w:val="20"/>
                <w:szCs w:val="20"/>
                <w:lang w:val="en-US"/>
              </w:rPr>
              <w:t xml:space="preserve"> strategies. Test approaches….</w:t>
            </w:r>
          </w:p>
        </w:tc>
        <w:tc>
          <w:tcPr>
            <w:tcW w:w="3392" w:type="dxa"/>
          </w:tcPr>
          <w:p w14:paraId="096ECC14" w14:textId="77777777" w:rsidR="00310129" w:rsidRDefault="00000000">
            <w:pPr>
              <w:spacing w:after="0" w:line="240" w:lineRule="auto"/>
              <w:rPr>
                <w:rFonts w:cs="Times New Roman"/>
                <w:sz w:val="20"/>
                <w:szCs w:val="20"/>
                <w:lang w:val="en-US"/>
              </w:rPr>
            </w:pPr>
            <w:r>
              <w:rPr>
                <w:rFonts w:eastAsia="Aptos" w:cs="Times New Roman"/>
                <w:sz w:val="20"/>
                <w:szCs w:val="20"/>
                <w:lang w:val="en-US"/>
              </w:rPr>
              <w:t xml:space="preserve">Validation for System Safety: …in this analysis. Design and validation methods should demonstrate the </w:t>
            </w:r>
            <w:proofErr w:type="spellStart"/>
            <w:r>
              <w:rPr>
                <w:rFonts w:eastAsia="Aptos" w:cs="Times New Roman"/>
                <w:sz w:val="20"/>
                <w:szCs w:val="20"/>
                <w:lang w:val="en-US"/>
              </w:rPr>
              <w:t>behavioural</w:t>
            </w:r>
            <w:proofErr w:type="spellEnd"/>
            <w:r>
              <w:rPr>
                <w:rFonts w:eastAsia="Aptos" w:cs="Times New Roman"/>
                <w:sz w:val="20"/>
                <w:szCs w:val="20"/>
                <w:lang w:val="en-US"/>
              </w:rPr>
              <w:t xml:space="preserve"> competencies an automated vehicle would be expected to perform during normal operation, the performance during crash avoidance situations, and the performance of </w:t>
            </w:r>
            <w:r>
              <w:rPr>
                <w:rFonts w:eastAsia="Aptos" w:cs="Times New Roman"/>
                <w:b/>
                <w:bCs/>
                <w:sz w:val="20"/>
                <w:szCs w:val="20"/>
                <w:lang w:val="en-US"/>
              </w:rPr>
              <w:t>fallback</w:t>
            </w:r>
            <w:r>
              <w:rPr>
                <w:rFonts w:eastAsia="Aptos" w:cs="Times New Roman"/>
                <w:sz w:val="20"/>
                <w:szCs w:val="20"/>
                <w:lang w:val="en-US"/>
              </w:rPr>
              <w:t xml:space="preserve"> strategies. Test approaches….</w:t>
            </w:r>
          </w:p>
        </w:tc>
        <w:tc>
          <w:tcPr>
            <w:tcW w:w="3387" w:type="dxa"/>
          </w:tcPr>
          <w:p w14:paraId="7A97E19F" w14:textId="77777777" w:rsidR="00310129" w:rsidRDefault="00000000">
            <w:pPr>
              <w:spacing w:after="0" w:line="240" w:lineRule="auto"/>
              <w:rPr>
                <w:rFonts w:cs="Times New Roman"/>
                <w:sz w:val="20"/>
                <w:szCs w:val="20"/>
                <w:lang w:val="en-US"/>
              </w:rPr>
            </w:pPr>
            <w:r>
              <w:rPr>
                <w:rFonts w:eastAsia="Aptos" w:cs="Times New Roman"/>
                <w:sz w:val="20"/>
                <w:szCs w:val="20"/>
                <w:lang w:val="en-US"/>
              </w:rPr>
              <w:t>Remove hyphen from “fallback”.</w:t>
            </w:r>
          </w:p>
        </w:tc>
      </w:tr>
      <w:tr w:rsidR="00310129" w14:paraId="026B836E" w14:textId="77777777" w:rsidTr="00AA05ED">
        <w:tc>
          <w:tcPr>
            <w:tcW w:w="508" w:type="dxa"/>
            <w:tcBorders>
              <w:bottom w:val="single" w:sz="4" w:space="0" w:color="auto"/>
            </w:tcBorders>
            <w:shd w:val="clear" w:color="auto" w:fill="F2F2F2" w:themeFill="background1" w:themeFillShade="F2"/>
          </w:tcPr>
          <w:p w14:paraId="2DBA62A7" w14:textId="77777777" w:rsidR="00310129" w:rsidRDefault="00000000">
            <w:pPr>
              <w:spacing w:after="0" w:line="240" w:lineRule="auto"/>
              <w:rPr>
                <w:rFonts w:cs="Times New Roman"/>
                <w:sz w:val="20"/>
                <w:szCs w:val="20"/>
                <w:lang w:val="en-US"/>
              </w:rPr>
            </w:pPr>
            <w:r>
              <w:rPr>
                <w:rFonts w:eastAsia="Aptos" w:cs="Times New Roman"/>
                <w:sz w:val="20"/>
                <w:szCs w:val="20"/>
                <w:lang w:val="en-US"/>
              </w:rPr>
              <w:t>2</w:t>
            </w:r>
          </w:p>
        </w:tc>
        <w:tc>
          <w:tcPr>
            <w:tcW w:w="1433" w:type="dxa"/>
            <w:tcBorders>
              <w:bottom w:val="single" w:sz="4" w:space="0" w:color="auto"/>
            </w:tcBorders>
          </w:tcPr>
          <w:p w14:paraId="62676826" w14:textId="77777777" w:rsidR="00310129" w:rsidRDefault="00000000">
            <w:pPr>
              <w:spacing w:after="0" w:line="240" w:lineRule="auto"/>
              <w:rPr>
                <w:rFonts w:cs="Times New Roman"/>
                <w:sz w:val="20"/>
                <w:szCs w:val="20"/>
                <w:lang w:val="en-US"/>
              </w:rPr>
            </w:pPr>
            <w:r>
              <w:rPr>
                <w:rFonts w:eastAsia="Aptos" w:cs="Times New Roman"/>
                <w:sz w:val="20"/>
                <w:szCs w:val="20"/>
                <w:lang w:val="en-US"/>
              </w:rPr>
              <w:t>2.27.</w:t>
            </w:r>
          </w:p>
        </w:tc>
        <w:tc>
          <w:tcPr>
            <w:tcW w:w="3394" w:type="dxa"/>
            <w:tcBorders>
              <w:bottom w:val="single" w:sz="4" w:space="0" w:color="auto"/>
            </w:tcBorders>
          </w:tcPr>
          <w:p w14:paraId="34135E96" w14:textId="77777777" w:rsidR="00310129" w:rsidRDefault="00000000">
            <w:pPr>
              <w:spacing w:after="0" w:line="240" w:lineRule="auto"/>
              <w:rPr>
                <w:rFonts w:cs="Times New Roman"/>
                <w:sz w:val="20"/>
                <w:szCs w:val="20"/>
                <w:lang w:val="en-US"/>
              </w:rPr>
            </w:pPr>
            <w:r>
              <w:rPr>
                <w:rFonts w:eastAsia="Aptos" w:cs="Times New Roman"/>
                <w:sz w:val="20"/>
                <w:szCs w:val="20"/>
                <w:lang w:val="en-US"/>
              </w:rPr>
              <w:t xml:space="preserve">(a) Human component ensuring the ADS lifecycle is monitored by personnel with appropriate skills, training, and understanding to identify risks and appropriate mitigation measures to identify risks and appropriate mitigation measures while accounting for the </w:t>
            </w:r>
            <w:r>
              <w:rPr>
                <w:rFonts w:eastAsia="Aptos" w:cs="Times New Roman"/>
                <w:sz w:val="20"/>
                <w:szCs w:val="20"/>
                <w:lang w:val="en-US"/>
              </w:rPr>
              <w:lastRenderedPageBreak/>
              <w:t>possibility of human errors.</w:t>
            </w:r>
          </w:p>
        </w:tc>
        <w:tc>
          <w:tcPr>
            <w:tcW w:w="3392" w:type="dxa"/>
            <w:tcBorders>
              <w:bottom w:val="single" w:sz="4" w:space="0" w:color="auto"/>
            </w:tcBorders>
          </w:tcPr>
          <w:p w14:paraId="66205FBB" w14:textId="77777777" w:rsidR="00310129" w:rsidRDefault="00000000">
            <w:pPr>
              <w:spacing w:after="0" w:line="240" w:lineRule="auto"/>
              <w:rPr>
                <w:rFonts w:cs="Times New Roman"/>
                <w:sz w:val="20"/>
                <w:szCs w:val="20"/>
                <w:lang w:val="en-US"/>
              </w:rPr>
            </w:pPr>
            <w:r>
              <w:rPr>
                <w:rFonts w:eastAsia="Aptos" w:cs="Times New Roman"/>
                <w:sz w:val="20"/>
                <w:szCs w:val="20"/>
                <w:lang w:val="en-US"/>
              </w:rPr>
              <w:lastRenderedPageBreak/>
              <w:t xml:space="preserve">(a) Human component ensuring the ADS lifecycle is monitored by personnel with appropriate skills, training, and understanding to identify risks and appropriate mitigation measures </w:t>
            </w:r>
            <w:r>
              <w:rPr>
                <w:rFonts w:eastAsia="Aptos" w:cs="Times New Roman"/>
                <w:strike/>
                <w:sz w:val="20"/>
                <w:szCs w:val="20"/>
                <w:lang w:val="en-US"/>
              </w:rPr>
              <w:t>to identify risks and appropriate mitigation measures</w:t>
            </w:r>
            <w:r>
              <w:rPr>
                <w:rFonts w:eastAsia="Aptos" w:cs="Times New Roman"/>
                <w:sz w:val="20"/>
                <w:szCs w:val="20"/>
                <w:lang w:val="en-US"/>
              </w:rPr>
              <w:t xml:space="preserve"> while accounting for the </w:t>
            </w:r>
            <w:r>
              <w:rPr>
                <w:rFonts w:eastAsia="Aptos" w:cs="Times New Roman"/>
                <w:sz w:val="20"/>
                <w:szCs w:val="20"/>
                <w:lang w:val="en-US"/>
              </w:rPr>
              <w:lastRenderedPageBreak/>
              <w:t>possibility of human errors.</w:t>
            </w:r>
          </w:p>
        </w:tc>
        <w:tc>
          <w:tcPr>
            <w:tcW w:w="3387" w:type="dxa"/>
            <w:tcBorders>
              <w:bottom w:val="single" w:sz="4" w:space="0" w:color="auto"/>
            </w:tcBorders>
          </w:tcPr>
          <w:p w14:paraId="03056E77" w14:textId="77777777" w:rsidR="00310129" w:rsidRDefault="00000000">
            <w:pPr>
              <w:spacing w:after="0" w:line="240" w:lineRule="auto"/>
              <w:rPr>
                <w:rFonts w:cs="Times New Roman"/>
                <w:sz w:val="20"/>
                <w:szCs w:val="20"/>
                <w:lang w:val="en-US"/>
              </w:rPr>
            </w:pPr>
            <w:r>
              <w:rPr>
                <w:rFonts w:eastAsia="Aptos" w:cs="Times New Roman"/>
                <w:sz w:val="20"/>
                <w:szCs w:val="20"/>
                <w:lang w:val="en-US"/>
              </w:rPr>
              <w:lastRenderedPageBreak/>
              <w:t>Delete repetition in SMS definition.</w:t>
            </w:r>
          </w:p>
        </w:tc>
      </w:tr>
      <w:tr w:rsidR="00310129" w14:paraId="268FFBA4" w14:textId="77777777" w:rsidTr="00AA05ED">
        <w:trPr>
          <w:trHeight w:val="1872"/>
        </w:trPr>
        <w:tc>
          <w:tcPr>
            <w:tcW w:w="508" w:type="dxa"/>
            <w:tcBorders>
              <w:top w:val="single" w:sz="4" w:space="0" w:color="auto"/>
            </w:tcBorders>
            <w:shd w:val="clear" w:color="auto" w:fill="F2F2F2" w:themeFill="background1" w:themeFillShade="F2"/>
          </w:tcPr>
          <w:p w14:paraId="719DCF47" w14:textId="77777777" w:rsidR="00310129" w:rsidRDefault="00310129">
            <w:pPr>
              <w:spacing w:after="0" w:line="240" w:lineRule="auto"/>
              <w:rPr>
                <w:rFonts w:cs="Times New Roman"/>
                <w:sz w:val="20"/>
                <w:szCs w:val="20"/>
                <w:lang w:val="en-US"/>
              </w:rPr>
            </w:pPr>
          </w:p>
        </w:tc>
        <w:tc>
          <w:tcPr>
            <w:tcW w:w="1433" w:type="dxa"/>
            <w:tcBorders>
              <w:top w:val="single" w:sz="4" w:space="0" w:color="auto"/>
            </w:tcBorders>
          </w:tcPr>
          <w:p w14:paraId="4E25D019" w14:textId="065B6282" w:rsidR="00310129" w:rsidRDefault="00CF3E39">
            <w:pPr>
              <w:spacing w:after="0" w:line="240" w:lineRule="auto"/>
              <w:rPr>
                <w:rFonts w:cs="Times New Roman"/>
                <w:sz w:val="20"/>
                <w:szCs w:val="20"/>
                <w:lang w:val="en-US"/>
              </w:rPr>
            </w:pPr>
            <w:r w:rsidRPr="00CF3E39">
              <w:rPr>
                <w:rFonts w:cs="Times New Roman"/>
                <w:sz w:val="20"/>
                <w:szCs w:val="20"/>
                <w:lang w:val="en-US"/>
              </w:rPr>
              <w:t>2.35.5.</w:t>
            </w:r>
          </w:p>
        </w:tc>
        <w:tc>
          <w:tcPr>
            <w:tcW w:w="3394" w:type="dxa"/>
            <w:tcBorders>
              <w:top w:val="single" w:sz="4" w:space="0" w:color="auto"/>
            </w:tcBorders>
          </w:tcPr>
          <w:p w14:paraId="1BAD2447" w14:textId="762A3E05" w:rsidR="00310129" w:rsidRDefault="00CF3E39">
            <w:pPr>
              <w:spacing w:after="0" w:line="240" w:lineRule="auto"/>
              <w:rPr>
                <w:rFonts w:cs="Times New Roman"/>
                <w:sz w:val="20"/>
                <w:szCs w:val="20"/>
                <w:lang w:val="en-US"/>
              </w:rPr>
            </w:pPr>
            <w:r>
              <w:rPr>
                <w:rFonts w:cs="Times New Roman"/>
                <w:sz w:val="20"/>
                <w:szCs w:val="20"/>
                <w:lang w:val="en-US"/>
              </w:rPr>
              <w:t>Add term and renumber remaining 2.35. subpoints.</w:t>
            </w:r>
          </w:p>
        </w:tc>
        <w:tc>
          <w:tcPr>
            <w:tcW w:w="3392" w:type="dxa"/>
            <w:tcBorders>
              <w:top w:val="single" w:sz="4" w:space="0" w:color="auto"/>
            </w:tcBorders>
          </w:tcPr>
          <w:p w14:paraId="5C557F6C" w14:textId="77777777" w:rsidR="00310129" w:rsidRDefault="00000000">
            <w:pPr>
              <w:spacing w:after="0" w:line="240" w:lineRule="auto"/>
              <w:rPr>
                <w:sz w:val="20"/>
                <w:szCs w:val="20"/>
              </w:rPr>
            </w:pPr>
            <w:r>
              <w:rPr>
                <w:bCs/>
                <w:i/>
                <w:iCs/>
                <w:kern w:val="0"/>
                <w:sz w:val="20"/>
                <w:szCs w:val="20"/>
                <w14:ligatures w14:val="none"/>
              </w:rPr>
              <w:t>“Abstract scenario”</w:t>
            </w:r>
            <w:r>
              <w:rPr>
                <w:bCs/>
                <w:kern w:val="0"/>
                <w:sz w:val="20"/>
                <w:szCs w:val="20"/>
                <w14:ligatures w14:val="none"/>
              </w:rPr>
              <w:t xml:space="preserve"> means a formalized, declarative description of a scenario derived from a functional scenario.</w:t>
            </w:r>
            <w:r>
              <w:rPr>
                <w:rStyle w:val="FootnoteReference"/>
                <w:bCs/>
                <w:kern w:val="0"/>
                <w:sz w:val="20"/>
                <w:szCs w:val="20"/>
                <w14:ligatures w14:val="none"/>
              </w:rPr>
              <w:footnoteReference w:id="1"/>
            </w:r>
            <w:r>
              <w:rPr>
                <w:bCs/>
                <w:kern w:val="0"/>
                <w:sz w:val="20"/>
                <w:szCs w:val="20"/>
                <w14:ligatures w14:val="none"/>
              </w:rPr>
              <w:t xml:space="preserve"> The specification on the abstract level enables highlighting of the relevant aspects of the scenario while focusing on efficient description of relations (cause-effect).</w:t>
            </w:r>
          </w:p>
        </w:tc>
        <w:tc>
          <w:tcPr>
            <w:tcW w:w="3387" w:type="dxa"/>
            <w:tcBorders>
              <w:top w:val="single" w:sz="4" w:space="0" w:color="auto"/>
            </w:tcBorders>
          </w:tcPr>
          <w:p w14:paraId="570644F3" w14:textId="77777777" w:rsidR="00310129" w:rsidRDefault="00000000">
            <w:pPr>
              <w:spacing w:after="0" w:line="240" w:lineRule="auto"/>
              <w:rPr>
                <w:rFonts w:cs="Times New Roman"/>
                <w:sz w:val="20"/>
                <w:szCs w:val="20"/>
                <w:lang w:val="en-US"/>
              </w:rPr>
            </w:pPr>
            <w:r>
              <w:rPr>
                <w:rFonts w:eastAsia="Aptos" w:cs="Times New Roman"/>
                <w:sz w:val="20"/>
                <w:szCs w:val="20"/>
                <w:lang w:val="en-US"/>
              </w:rPr>
              <w:t>Reinsert unintentionally omitted definition used in Annex 5.</w:t>
            </w:r>
          </w:p>
        </w:tc>
      </w:tr>
      <w:tr w:rsidR="00310129" w14:paraId="51DFEA6F" w14:textId="77777777" w:rsidTr="00AA05ED">
        <w:tc>
          <w:tcPr>
            <w:tcW w:w="508" w:type="dxa"/>
            <w:shd w:val="clear" w:color="auto" w:fill="F2F2F2" w:themeFill="background1" w:themeFillShade="F2"/>
          </w:tcPr>
          <w:p w14:paraId="7CB5827D" w14:textId="77777777" w:rsidR="00310129" w:rsidRDefault="00000000">
            <w:pPr>
              <w:spacing w:after="0" w:line="240" w:lineRule="auto"/>
              <w:rPr>
                <w:rFonts w:cs="Times New Roman"/>
                <w:sz w:val="20"/>
                <w:szCs w:val="20"/>
                <w:lang w:val="en-US"/>
              </w:rPr>
            </w:pPr>
            <w:r>
              <w:rPr>
                <w:rFonts w:eastAsia="Aptos" w:cs="Times New Roman"/>
                <w:sz w:val="20"/>
                <w:szCs w:val="20"/>
                <w:lang w:val="en-US"/>
              </w:rPr>
              <w:t>3</w:t>
            </w:r>
          </w:p>
        </w:tc>
        <w:tc>
          <w:tcPr>
            <w:tcW w:w="1433" w:type="dxa"/>
          </w:tcPr>
          <w:p w14:paraId="5A5BF34A" w14:textId="77777777" w:rsidR="00310129" w:rsidRDefault="00000000">
            <w:pPr>
              <w:spacing w:after="0" w:line="240" w:lineRule="auto"/>
              <w:rPr>
                <w:rFonts w:cs="Times New Roman"/>
                <w:sz w:val="20"/>
                <w:szCs w:val="20"/>
                <w:lang w:val="en-US"/>
              </w:rPr>
            </w:pPr>
            <w:r>
              <w:rPr>
                <w:rFonts w:eastAsia="Aptos" w:cs="Times New Roman"/>
                <w:sz w:val="20"/>
                <w:szCs w:val="20"/>
                <w:lang w:val="en-US"/>
              </w:rPr>
              <w:t>4.3.6</w:t>
            </w:r>
          </w:p>
        </w:tc>
        <w:tc>
          <w:tcPr>
            <w:tcW w:w="3394" w:type="dxa"/>
          </w:tcPr>
          <w:p w14:paraId="14913DB8" w14:textId="77777777" w:rsidR="00310129" w:rsidRDefault="00310129">
            <w:pPr>
              <w:spacing w:after="0" w:line="240" w:lineRule="auto"/>
              <w:rPr>
                <w:rFonts w:cs="Times New Roman"/>
                <w:sz w:val="20"/>
                <w:szCs w:val="20"/>
                <w:lang w:val="en-US"/>
              </w:rPr>
            </w:pPr>
          </w:p>
        </w:tc>
        <w:tc>
          <w:tcPr>
            <w:tcW w:w="3392" w:type="dxa"/>
          </w:tcPr>
          <w:p w14:paraId="22F97B89" w14:textId="77777777" w:rsidR="00310129" w:rsidRDefault="00000000">
            <w:pPr>
              <w:spacing w:after="0" w:line="240" w:lineRule="auto"/>
              <w:rPr>
                <w:rFonts w:cs="Times New Roman"/>
                <w:sz w:val="20"/>
                <w:szCs w:val="20"/>
                <w:lang w:val="en-US"/>
              </w:rPr>
            </w:pPr>
            <w:r>
              <w:rPr>
                <w:rFonts w:eastAsia="Aptos" w:cs="Times New Roman"/>
                <w:sz w:val="20"/>
                <w:szCs w:val="20"/>
                <w:lang w:val="en-US"/>
              </w:rPr>
              <w:t xml:space="preserve">Add period (.) </w:t>
            </w:r>
            <w:r>
              <w:rPr>
                <w:rFonts w:ascii="Wingdings" w:eastAsia="Wingdings" w:hAnsi="Wingdings" w:cs="Wingdings"/>
                <w:sz w:val="20"/>
                <w:szCs w:val="20"/>
                <w:lang w:val="en-US"/>
              </w:rPr>
              <w:sym w:font="Wingdings" w:char="F0E0"/>
            </w:r>
            <w:r>
              <w:rPr>
                <w:rFonts w:eastAsia="Aptos" w:cs="Times New Roman"/>
                <w:sz w:val="20"/>
                <w:szCs w:val="20"/>
                <w:lang w:val="en-US"/>
              </w:rPr>
              <w:t xml:space="preserve"> 4.3.6.</w:t>
            </w:r>
          </w:p>
        </w:tc>
        <w:tc>
          <w:tcPr>
            <w:tcW w:w="3387" w:type="dxa"/>
          </w:tcPr>
          <w:p w14:paraId="5804F961" w14:textId="77777777" w:rsidR="00310129" w:rsidRDefault="00310129">
            <w:pPr>
              <w:spacing w:after="0" w:line="240" w:lineRule="auto"/>
              <w:rPr>
                <w:rFonts w:cs="Times New Roman"/>
                <w:sz w:val="20"/>
                <w:szCs w:val="20"/>
                <w:lang w:val="en-US"/>
              </w:rPr>
            </w:pPr>
          </w:p>
        </w:tc>
      </w:tr>
      <w:tr w:rsidR="00310129" w14:paraId="077F5382" w14:textId="77777777" w:rsidTr="00AA05ED">
        <w:tc>
          <w:tcPr>
            <w:tcW w:w="508" w:type="dxa"/>
            <w:shd w:val="clear" w:color="auto" w:fill="F2F2F2" w:themeFill="background1" w:themeFillShade="F2"/>
          </w:tcPr>
          <w:p w14:paraId="16318941" w14:textId="77777777" w:rsidR="00310129" w:rsidRDefault="00000000">
            <w:pPr>
              <w:spacing w:after="0" w:line="240" w:lineRule="auto"/>
              <w:rPr>
                <w:rFonts w:cs="Times New Roman"/>
                <w:sz w:val="20"/>
                <w:szCs w:val="20"/>
                <w:lang w:val="en-US"/>
              </w:rPr>
            </w:pPr>
            <w:r>
              <w:rPr>
                <w:rFonts w:eastAsia="Aptos" w:cs="Times New Roman"/>
                <w:sz w:val="20"/>
                <w:szCs w:val="20"/>
                <w:lang w:val="en-US"/>
              </w:rPr>
              <w:t>4</w:t>
            </w:r>
          </w:p>
        </w:tc>
        <w:tc>
          <w:tcPr>
            <w:tcW w:w="1433" w:type="dxa"/>
          </w:tcPr>
          <w:p w14:paraId="056B4FCB" w14:textId="77777777" w:rsidR="00310129" w:rsidRDefault="00000000">
            <w:pPr>
              <w:spacing w:after="0" w:line="240" w:lineRule="auto"/>
              <w:rPr>
                <w:rFonts w:cs="Times New Roman"/>
                <w:sz w:val="20"/>
                <w:szCs w:val="20"/>
                <w:lang w:val="en-US"/>
              </w:rPr>
            </w:pPr>
            <w:r>
              <w:rPr>
                <w:rFonts w:eastAsia="Aptos" w:cs="Times New Roman"/>
                <w:sz w:val="20"/>
                <w:szCs w:val="20"/>
                <w:lang w:val="en-US"/>
              </w:rPr>
              <w:t>4.3.7</w:t>
            </w:r>
          </w:p>
        </w:tc>
        <w:tc>
          <w:tcPr>
            <w:tcW w:w="3394" w:type="dxa"/>
          </w:tcPr>
          <w:p w14:paraId="00E0D5AC" w14:textId="77777777" w:rsidR="00310129" w:rsidRDefault="00310129">
            <w:pPr>
              <w:spacing w:after="0" w:line="240" w:lineRule="auto"/>
              <w:rPr>
                <w:rFonts w:cs="Times New Roman"/>
                <w:sz w:val="20"/>
                <w:szCs w:val="20"/>
                <w:lang w:val="en-US"/>
              </w:rPr>
            </w:pPr>
          </w:p>
        </w:tc>
        <w:tc>
          <w:tcPr>
            <w:tcW w:w="3392" w:type="dxa"/>
          </w:tcPr>
          <w:p w14:paraId="4C71E06E" w14:textId="77777777" w:rsidR="00310129" w:rsidRDefault="00000000">
            <w:pPr>
              <w:spacing w:after="0" w:line="240" w:lineRule="auto"/>
              <w:rPr>
                <w:rFonts w:cs="Times New Roman"/>
                <w:sz w:val="20"/>
                <w:szCs w:val="20"/>
                <w:lang w:val="en-US"/>
              </w:rPr>
            </w:pPr>
            <w:r>
              <w:rPr>
                <w:rFonts w:eastAsia="Aptos" w:cs="Times New Roman"/>
                <w:sz w:val="20"/>
                <w:szCs w:val="20"/>
                <w:lang w:val="en-US"/>
              </w:rPr>
              <w:t xml:space="preserve">Add period (.) </w:t>
            </w:r>
            <w:r>
              <w:rPr>
                <w:rFonts w:ascii="Wingdings" w:eastAsia="Wingdings" w:hAnsi="Wingdings" w:cs="Wingdings"/>
                <w:sz w:val="20"/>
                <w:szCs w:val="20"/>
                <w:lang w:val="en-US"/>
              </w:rPr>
              <w:sym w:font="Wingdings" w:char="F0E0"/>
            </w:r>
            <w:r>
              <w:rPr>
                <w:rFonts w:eastAsia="Aptos" w:cs="Times New Roman"/>
                <w:sz w:val="20"/>
                <w:szCs w:val="20"/>
                <w:lang w:val="en-US"/>
              </w:rPr>
              <w:t xml:space="preserve"> 4.3.7.</w:t>
            </w:r>
          </w:p>
        </w:tc>
        <w:tc>
          <w:tcPr>
            <w:tcW w:w="3387" w:type="dxa"/>
          </w:tcPr>
          <w:p w14:paraId="47BBB799" w14:textId="77777777" w:rsidR="00310129" w:rsidRDefault="00310129">
            <w:pPr>
              <w:spacing w:after="0" w:line="240" w:lineRule="auto"/>
              <w:rPr>
                <w:rFonts w:cs="Times New Roman"/>
                <w:sz w:val="20"/>
                <w:szCs w:val="20"/>
                <w:lang w:val="en-US"/>
              </w:rPr>
            </w:pPr>
          </w:p>
        </w:tc>
      </w:tr>
      <w:tr w:rsidR="00310129" w14:paraId="7DCF6828" w14:textId="77777777" w:rsidTr="00AA05ED">
        <w:tc>
          <w:tcPr>
            <w:tcW w:w="508" w:type="dxa"/>
            <w:shd w:val="clear" w:color="auto" w:fill="F2F2F2" w:themeFill="background1" w:themeFillShade="F2"/>
          </w:tcPr>
          <w:p w14:paraId="3AB35D6C" w14:textId="77777777" w:rsidR="00310129" w:rsidRDefault="00000000">
            <w:pPr>
              <w:spacing w:after="0" w:line="240" w:lineRule="auto"/>
              <w:rPr>
                <w:rFonts w:cs="Times New Roman"/>
                <w:sz w:val="20"/>
                <w:szCs w:val="20"/>
                <w:lang w:val="en-US"/>
              </w:rPr>
            </w:pPr>
            <w:r>
              <w:rPr>
                <w:rFonts w:eastAsia="Aptos" w:cs="Times New Roman"/>
                <w:sz w:val="20"/>
                <w:szCs w:val="20"/>
                <w:lang w:val="en-US"/>
              </w:rPr>
              <w:t>5</w:t>
            </w:r>
          </w:p>
        </w:tc>
        <w:tc>
          <w:tcPr>
            <w:tcW w:w="1433" w:type="dxa"/>
          </w:tcPr>
          <w:p w14:paraId="0E13BEBF" w14:textId="77777777" w:rsidR="00310129" w:rsidRDefault="00000000">
            <w:pPr>
              <w:spacing w:after="0" w:line="240" w:lineRule="auto"/>
              <w:rPr>
                <w:rFonts w:cs="Times New Roman"/>
                <w:sz w:val="20"/>
                <w:szCs w:val="20"/>
                <w:lang w:val="en-US"/>
              </w:rPr>
            </w:pPr>
            <w:r>
              <w:rPr>
                <w:rFonts w:eastAsia="Aptos" w:cs="Times New Roman"/>
                <w:sz w:val="20"/>
                <w:szCs w:val="20"/>
                <w:lang w:val="en-US"/>
              </w:rPr>
              <w:t>5.1.2.2.(f)</w:t>
            </w:r>
          </w:p>
        </w:tc>
        <w:tc>
          <w:tcPr>
            <w:tcW w:w="3394" w:type="dxa"/>
          </w:tcPr>
          <w:p w14:paraId="268955F1" w14:textId="77777777" w:rsidR="00310129" w:rsidRDefault="00000000">
            <w:pPr>
              <w:spacing w:after="0" w:line="240" w:lineRule="auto"/>
              <w:rPr>
                <w:rFonts w:cs="Times New Roman"/>
                <w:sz w:val="20"/>
                <w:szCs w:val="20"/>
                <w:lang w:val="en-US"/>
              </w:rPr>
            </w:pPr>
            <w:r>
              <w:rPr>
                <w:rFonts w:eastAsia="Aptos" w:cs="Times New Roman"/>
                <w:sz w:val="20"/>
                <w:szCs w:val="20"/>
                <w:lang w:val="en-US"/>
              </w:rPr>
              <w:t>Quality Management System (e.g., IATF 16949 or ISO 9001 to support safety engineering, including change management, configuration management, requirement management, tool management, etc.</w:t>
            </w:r>
          </w:p>
        </w:tc>
        <w:tc>
          <w:tcPr>
            <w:tcW w:w="3392" w:type="dxa"/>
          </w:tcPr>
          <w:p w14:paraId="7DB2CCFF" w14:textId="77777777" w:rsidR="00310129" w:rsidRDefault="00000000">
            <w:pPr>
              <w:spacing w:after="0" w:line="240" w:lineRule="auto"/>
              <w:rPr>
                <w:rFonts w:cs="Times New Roman"/>
                <w:sz w:val="20"/>
                <w:szCs w:val="20"/>
                <w:lang w:val="en-US"/>
              </w:rPr>
            </w:pPr>
            <w:r>
              <w:rPr>
                <w:rFonts w:eastAsia="Aptos" w:cs="Times New Roman"/>
                <w:sz w:val="20"/>
                <w:szCs w:val="20"/>
                <w:lang w:val="en-US"/>
              </w:rPr>
              <w:t>Quality Management System (e.g., IATF 16949 or ISO 9001</w:t>
            </w:r>
            <w:r>
              <w:rPr>
                <w:rFonts w:eastAsia="Aptos" w:cs="Times New Roman"/>
                <w:b/>
                <w:bCs/>
                <w:sz w:val="20"/>
                <w:szCs w:val="20"/>
                <w:lang w:val="en-US"/>
              </w:rPr>
              <w:t>)</w:t>
            </w:r>
            <w:r>
              <w:rPr>
                <w:rFonts w:eastAsia="Aptos" w:cs="Times New Roman"/>
                <w:sz w:val="20"/>
                <w:szCs w:val="20"/>
                <w:lang w:val="en-US"/>
              </w:rPr>
              <w:t xml:space="preserve"> …</w:t>
            </w:r>
          </w:p>
        </w:tc>
        <w:tc>
          <w:tcPr>
            <w:tcW w:w="3387" w:type="dxa"/>
          </w:tcPr>
          <w:p w14:paraId="4F6F59A8" w14:textId="77777777" w:rsidR="00310129" w:rsidRDefault="00000000">
            <w:pPr>
              <w:spacing w:after="0" w:line="240" w:lineRule="auto"/>
              <w:rPr>
                <w:rFonts w:cs="Times New Roman"/>
                <w:sz w:val="20"/>
                <w:szCs w:val="20"/>
                <w:lang w:val="en-US"/>
              </w:rPr>
            </w:pPr>
            <w:r>
              <w:rPr>
                <w:rFonts w:eastAsia="Aptos" w:cs="Times New Roman"/>
                <w:sz w:val="20"/>
                <w:szCs w:val="20"/>
                <w:lang w:val="en-US"/>
              </w:rPr>
              <w:t>Close parenthesis on “e.g.,” clause.</w:t>
            </w:r>
          </w:p>
        </w:tc>
      </w:tr>
      <w:tr w:rsidR="00310129" w14:paraId="451FF918" w14:textId="77777777" w:rsidTr="00AA05ED">
        <w:tc>
          <w:tcPr>
            <w:tcW w:w="508" w:type="dxa"/>
            <w:shd w:val="clear" w:color="auto" w:fill="F2F2F2" w:themeFill="background1" w:themeFillShade="F2"/>
          </w:tcPr>
          <w:p w14:paraId="18DBB67A" w14:textId="77777777" w:rsidR="00310129" w:rsidRDefault="00000000">
            <w:pPr>
              <w:spacing w:after="0" w:line="240" w:lineRule="auto"/>
              <w:rPr>
                <w:rFonts w:cs="Times New Roman"/>
                <w:sz w:val="20"/>
                <w:szCs w:val="20"/>
                <w:lang w:val="en-US"/>
              </w:rPr>
            </w:pPr>
            <w:r>
              <w:rPr>
                <w:rFonts w:eastAsia="Aptos" w:cs="Times New Roman"/>
                <w:sz w:val="20"/>
                <w:szCs w:val="20"/>
                <w:lang w:val="en-US"/>
              </w:rPr>
              <w:t>6</w:t>
            </w:r>
          </w:p>
        </w:tc>
        <w:tc>
          <w:tcPr>
            <w:tcW w:w="1433" w:type="dxa"/>
          </w:tcPr>
          <w:p w14:paraId="3FF4282F" w14:textId="77777777" w:rsidR="00310129" w:rsidRDefault="00000000">
            <w:pPr>
              <w:spacing w:after="0" w:line="240" w:lineRule="auto"/>
              <w:rPr>
                <w:rFonts w:cs="Times New Roman"/>
                <w:sz w:val="20"/>
                <w:szCs w:val="20"/>
                <w:lang w:val="en-US"/>
              </w:rPr>
            </w:pPr>
            <w:r>
              <w:rPr>
                <w:rFonts w:eastAsia="Aptos" w:cs="Times New Roman"/>
                <w:sz w:val="20"/>
                <w:szCs w:val="20"/>
                <w:lang w:val="en-US"/>
              </w:rPr>
              <w:t>5.1.8.5.5.(a)</w:t>
            </w:r>
          </w:p>
        </w:tc>
        <w:tc>
          <w:tcPr>
            <w:tcW w:w="3394" w:type="dxa"/>
          </w:tcPr>
          <w:p w14:paraId="14B65FF4" w14:textId="77777777" w:rsidR="00310129" w:rsidRDefault="00000000">
            <w:pPr>
              <w:spacing w:after="0" w:line="240" w:lineRule="auto"/>
              <w:rPr>
                <w:rFonts w:cs="Times New Roman"/>
                <w:sz w:val="20"/>
                <w:szCs w:val="20"/>
                <w:lang w:val="en-US"/>
              </w:rPr>
            </w:pPr>
            <w:r>
              <w:rPr>
                <w:rFonts w:eastAsia="Aptos" w:cs="Times New Roman"/>
                <w:sz w:val="20"/>
                <w:szCs w:val="20"/>
                <w:lang w:val="en-US"/>
              </w:rPr>
              <w:t>Verify the safety performance (i.e., Safety Performance Indicators) and confirm the in-service safety level of the system (i.e.  metrics and thresholds),</w:t>
            </w:r>
          </w:p>
        </w:tc>
        <w:tc>
          <w:tcPr>
            <w:tcW w:w="3392" w:type="dxa"/>
          </w:tcPr>
          <w:p w14:paraId="338BD50E" w14:textId="77777777" w:rsidR="00310129" w:rsidRDefault="00000000">
            <w:pPr>
              <w:spacing w:after="0" w:line="240" w:lineRule="auto"/>
              <w:rPr>
                <w:rFonts w:cs="Times New Roman"/>
                <w:sz w:val="20"/>
                <w:szCs w:val="20"/>
                <w:lang w:val="en-US"/>
              </w:rPr>
            </w:pPr>
            <w:r>
              <w:rPr>
                <w:rFonts w:eastAsia="Aptos" w:cs="Times New Roman"/>
                <w:sz w:val="20"/>
                <w:szCs w:val="20"/>
                <w:lang w:val="en-US"/>
              </w:rPr>
              <w:t>Verify the safety performance (i.e., Safety Performance Indicators) and confirm the in-service safety level of the system (i.e.</w:t>
            </w:r>
            <w:r>
              <w:rPr>
                <w:rFonts w:eastAsia="Aptos" w:cs="Times New Roman"/>
                <w:b/>
                <w:bCs/>
                <w:sz w:val="20"/>
                <w:szCs w:val="20"/>
                <w:lang w:val="en-US"/>
              </w:rPr>
              <w:t>,</w:t>
            </w:r>
            <w:r>
              <w:rPr>
                <w:rFonts w:eastAsia="Aptos" w:cs="Times New Roman"/>
                <w:sz w:val="20"/>
                <w:szCs w:val="20"/>
                <w:lang w:val="en-US"/>
              </w:rPr>
              <w:t xml:space="preserve"> metrics and thresholds),</w:t>
            </w:r>
          </w:p>
        </w:tc>
        <w:tc>
          <w:tcPr>
            <w:tcW w:w="3387" w:type="dxa"/>
          </w:tcPr>
          <w:p w14:paraId="16794385" w14:textId="77777777" w:rsidR="00310129" w:rsidRDefault="00000000">
            <w:pPr>
              <w:spacing w:after="0" w:line="240" w:lineRule="auto"/>
              <w:rPr>
                <w:rFonts w:cs="Times New Roman"/>
                <w:sz w:val="20"/>
                <w:szCs w:val="20"/>
                <w:lang w:val="en-US"/>
              </w:rPr>
            </w:pPr>
            <w:r>
              <w:rPr>
                <w:rFonts w:eastAsia="Aptos" w:cs="Times New Roman"/>
                <w:sz w:val="20"/>
                <w:szCs w:val="20"/>
                <w:lang w:val="en-US"/>
              </w:rPr>
              <w:t>Add comma after “i.e.” and correct spacing before “metrics”.</w:t>
            </w:r>
          </w:p>
        </w:tc>
      </w:tr>
      <w:tr w:rsidR="00310129" w14:paraId="5B2D94E4" w14:textId="77777777" w:rsidTr="00AA05ED">
        <w:tc>
          <w:tcPr>
            <w:tcW w:w="508" w:type="dxa"/>
            <w:shd w:val="clear" w:color="auto" w:fill="F2F2F2" w:themeFill="background1" w:themeFillShade="F2"/>
          </w:tcPr>
          <w:p w14:paraId="76A3D4E6" w14:textId="77777777" w:rsidR="00310129" w:rsidRDefault="00000000">
            <w:pPr>
              <w:spacing w:after="0" w:line="240" w:lineRule="auto"/>
              <w:rPr>
                <w:rFonts w:cs="Times New Roman"/>
                <w:sz w:val="20"/>
                <w:szCs w:val="20"/>
                <w:lang w:val="en-US"/>
              </w:rPr>
            </w:pPr>
            <w:r>
              <w:rPr>
                <w:rFonts w:eastAsia="Aptos" w:cs="Times New Roman"/>
                <w:sz w:val="20"/>
                <w:szCs w:val="20"/>
                <w:lang w:val="en-US"/>
              </w:rPr>
              <w:t>7</w:t>
            </w:r>
          </w:p>
        </w:tc>
        <w:tc>
          <w:tcPr>
            <w:tcW w:w="1433" w:type="dxa"/>
          </w:tcPr>
          <w:p w14:paraId="062B6AD4" w14:textId="77777777" w:rsidR="00310129" w:rsidRDefault="00000000">
            <w:pPr>
              <w:spacing w:after="0" w:line="240" w:lineRule="auto"/>
              <w:rPr>
                <w:rFonts w:cs="Times New Roman"/>
                <w:sz w:val="20"/>
                <w:szCs w:val="20"/>
                <w:lang w:val="en-US"/>
              </w:rPr>
            </w:pPr>
            <w:r>
              <w:rPr>
                <w:rFonts w:eastAsia="Aptos" w:cs="Times New Roman"/>
                <w:sz w:val="20"/>
                <w:szCs w:val="20"/>
                <w:lang w:val="en-US"/>
              </w:rPr>
              <w:t>5.2.1.14.14.</w:t>
            </w:r>
          </w:p>
        </w:tc>
        <w:tc>
          <w:tcPr>
            <w:tcW w:w="3394" w:type="dxa"/>
          </w:tcPr>
          <w:p w14:paraId="4AADF073" w14:textId="77777777" w:rsidR="00310129" w:rsidRDefault="00000000">
            <w:pPr>
              <w:spacing w:after="0" w:line="240" w:lineRule="auto"/>
              <w:rPr>
                <w:rFonts w:cs="Times New Roman"/>
                <w:sz w:val="20"/>
                <w:szCs w:val="20"/>
                <w:lang w:val="en-US"/>
              </w:rPr>
            </w:pPr>
            <w:r>
              <w:rPr>
                <w:rFonts w:eastAsia="Aptos" w:cs="Times New Roman"/>
                <w:sz w:val="20"/>
                <w:szCs w:val="20"/>
                <w:lang w:val="en-US"/>
              </w:rPr>
              <w:t>Missing footnote</w:t>
            </w:r>
          </w:p>
        </w:tc>
        <w:tc>
          <w:tcPr>
            <w:tcW w:w="3392" w:type="dxa"/>
          </w:tcPr>
          <w:p w14:paraId="0DEE56C7" w14:textId="77777777" w:rsidR="00310129" w:rsidRDefault="00000000">
            <w:pPr>
              <w:spacing w:after="0" w:line="240" w:lineRule="auto"/>
              <w:rPr>
                <w:rFonts w:cs="Times New Roman"/>
                <w:sz w:val="20"/>
                <w:szCs w:val="20"/>
                <w:lang w:val="en-US"/>
              </w:rPr>
            </w:pPr>
            <w:r>
              <w:rPr>
                <w:rFonts w:eastAsia="Aptos" w:cs="Times New Roman"/>
                <w:sz w:val="20"/>
                <w:szCs w:val="20"/>
                <w:vertAlign w:val="superscript"/>
                <w:lang w:val="en-US"/>
              </w:rPr>
              <w:t>13</w:t>
            </w:r>
            <w:r>
              <w:rPr>
                <w:rFonts w:eastAsia="Aptos" w:cs="Times New Roman"/>
                <w:sz w:val="20"/>
                <w:szCs w:val="20"/>
                <w:lang w:val="en-US"/>
              </w:rPr>
              <w:t xml:space="preserve"> "Aleatory Uncertainty" means the portion of uncertainty deriving from a random process that cannot be reduced, while "Epistemic Uncertainty" means the portion of uncertainty deriving from a lack of knowledge about a process that can be reduced via observations.</w:t>
            </w:r>
          </w:p>
        </w:tc>
        <w:tc>
          <w:tcPr>
            <w:tcW w:w="3387" w:type="dxa"/>
          </w:tcPr>
          <w:p w14:paraId="0B83D275" w14:textId="77777777" w:rsidR="00310129" w:rsidRDefault="00000000">
            <w:pPr>
              <w:spacing w:after="0" w:line="240" w:lineRule="auto"/>
              <w:rPr>
                <w:rFonts w:cs="Times New Roman"/>
                <w:sz w:val="20"/>
                <w:szCs w:val="20"/>
                <w:lang w:val="en-US"/>
              </w:rPr>
            </w:pPr>
            <w:r>
              <w:rPr>
                <w:rFonts w:eastAsia="Aptos" w:cs="Times New Roman"/>
                <w:sz w:val="20"/>
                <w:szCs w:val="20"/>
                <w:lang w:val="en-US"/>
              </w:rPr>
              <w:t>The UNR version has this explanatory footnote which was unintentionally omitted in the GTR version.</w:t>
            </w:r>
          </w:p>
        </w:tc>
      </w:tr>
      <w:tr w:rsidR="00310129" w14:paraId="4740DF79" w14:textId="77777777" w:rsidTr="00AA05ED">
        <w:trPr>
          <w:cantSplit/>
        </w:trPr>
        <w:tc>
          <w:tcPr>
            <w:tcW w:w="508" w:type="dxa"/>
            <w:shd w:val="clear" w:color="auto" w:fill="F2F2F2" w:themeFill="background1" w:themeFillShade="F2"/>
          </w:tcPr>
          <w:p w14:paraId="7EB5C61E" w14:textId="77777777" w:rsidR="00310129" w:rsidRDefault="00000000">
            <w:pPr>
              <w:spacing w:after="0" w:line="240" w:lineRule="auto"/>
              <w:rPr>
                <w:rFonts w:cs="Times New Roman"/>
                <w:sz w:val="20"/>
                <w:szCs w:val="20"/>
                <w:lang w:val="en-US"/>
              </w:rPr>
            </w:pPr>
            <w:r>
              <w:rPr>
                <w:rFonts w:eastAsia="Aptos" w:cs="Times New Roman"/>
                <w:sz w:val="20"/>
                <w:szCs w:val="20"/>
                <w:lang w:val="en-US"/>
              </w:rPr>
              <w:lastRenderedPageBreak/>
              <w:t>8</w:t>
            </w:r>
          </w:p>
        </w:tc>
        <w:tc>
          <w:tcPr>
            <w:tcW w:w="1433" w:type="dxa"/>
          </w:tcPr>
          <w:p w14:paraId="1E7E5E31" w14:textId="77777777" w:rsidR="00310129" w:rsidRDefault="00000000">
            <w:pPr>
              <w:spacing w:after="0" w:line="240" w:lineRule="auto"/>
              <w:rPr>
                <w:rFonts w:cs="Times New Roman"/>
                <w:sz w:val="20"/>
                <w:szCs w:val="20"/>
                <w:lang w:val="en-US"/>
              </w:rPr>
            </w:pPr>
            <w:r>
              <w:rPr>
                <w:rFonts w:eastAsia="Aptos" w:cs="Times New Roman"/>
                <w:sz w:val="20"/>
                <w:szCs w:val="20"/>
                <w:lang w:val="en-US"/>
              </w:rPr>
              <w:t>5.3.2.1.</w:t>
            </w:r>
          </w:p>
        </w:tc>
        <w:tc>
          <w:tcPr>
            <w:tcW w:w="3394" w:type="dxa"/>
          </w:tcPr>
          <w:p w14:paraId="70F049DA" w14:textId="77777777" w:rsidR="00310129" w:rsidRDefault="00000000">
            <w:pPr>
              <w:spacing w:after="0" w:line="240" w:lineRule="auto"/>
              <w:rPr>
                <w:rFonts w:cs="Times New Roman"/>
                <w:sz w:val="20"/>
                <w:szCs w:val="20"/>
                <w:lang w:val="en-US"/>
              </w:rPr>
            </w:pPr>
            <w:r>
              <w:rPr>
                <w:rFonts w:eastAsia="Aptos" w:cs="Times New Roman"/>
                <w:sz w:val="20"/>
                <w:szCs w:val="20"/>
                <w:lang w:val="en-US"/>
              </w:rPr>
              <w:t>The manufacturer shall document its safety concept, which shall include the risks identified according to the SMS processes relevant to the ADS under paragraph 5.1.3 of this Regulation relevant to the ADS and shall include how those risks have been reduced, mitigated, or accepted.</w:t>
            </w:r>
          </w:p>
        </w:tc>
        <w:tc>
          <w:tcPr>
            <w:tcW w:w="3392" w:type="dxa"/>
          </w:tcPr>
          <w:p w14:paraId="4D4E180C" w14:textId="77777777" w:rsidR="00310129" w:rsidRDefault="00000000">
            <w:pPr>
              <w:spacing w:after="0" w:line="240" w:lineRule="auto"/>
              <w:rPr>
                <w:rFonts w:cs="Times New Roman"/>
                <w:sz w:val="20"/>
                <w:szCs w:val="20"/>
                <w:lang w:val="en-US"/>
              </w:rPr>
            </w:pPr>
            <w:r>
              <w:rPr>
                <w:rFonts w:eastAsia="Aptos" w:cs="Times New Roman"/>
                <w:sz w:val="20"/>
                <w:szCs w:val="20"/>
                <w:lang w:val="en-US"/>
              </w:rPr>
              <w:t xml:space="preserve">The manufacturer shall document its safety concept, which shall include the risks identified according to the SMS processes </w:t>
            </w:r>
            <w:r>
              <w:rPr>
                <w:rFonts w:eastAsia="Aptos" w:cs="Times New Roman"/>
                <w:strike/>
                <w:sz w:val="20"/>
                <w:szCs w:val="20"/>
                <w:lang w:val="en-US"/>
              </w:rPr>
              <w:t>relevant to the ADS</w:t>
            </w:r>
            <w:r>
              <w:rPr>
                <w:rFonts w:eastAsia="Aptos" w:cs="Times New Roman"/>
                <w:sz w:val="20"/>
                <w:szCs w:val="20"/>
                <w:lang w:val="en-US"/>
              </w:rPr>
              <w:t xml:space="preserve"> under paragraph 5.1.3. of this Regulation relevant to the ADS and shall include how those risks have been reduced, mitigated, or accepted.</w:t>
            </w:r>
          </w:p>
        </w:tc>
        <w:tc>
          <w:tcPr>
            <w:tcW w:w="3387" w:type="dxa"/>
          </w:tcPr>
          <w:p w14:paraId="47FD54E8" w14:textId="77777777" w:rsidR="00310129" w:rsidRDefault="00000000">
            <w:pPr>
              <w:spacing w:after="0" w:line="240" w:lineRule="auto"/>
              <w:rPr>
                <w:rFonts w:cs="Times New Roman"/>
                <w:sz w:val="20"/>
                <w:szCs w:val="20"/>
                <w:lang w:val="en-US"/>
              </w:rPr>
            </w:pPr>
            <w:r>
              <w:rPr>
                <w:rFonts w:eastAsia="Aptos" w:cs="Times New Roman"/>
                <w:sz w:val="20"/>
                <w:szCs w:val="20"/>
                <w:lang w:val="en-US"/>
              </w:rPr>
              <w:t>Correct repetition of “relevant to the ADS”</w:t>
            </w:r>
          </w:p>
          <w:p w14:paraId="5CAF2C3C" w14:textId="77777777" w:rsidR="00310129" w:rsidRDefault="00000000">
            <w:pPr>
              <w:spacing w:after="0" w:line="240" w:lineRule="auto"/>
              <w:rPr>
                <w:rFonts w:cs="Times New Roman"/>
                <w:sz w:val="20"/>
                <w:szCs w:val="20"/>
                <w:lang w:val="en-US"/>
              </w:rPr>
            </w:pPr>
            <w:r>
              <w:rPr>
                <w:rFonts w:eastAsia="Aptos" w:cs="Times New Roman"/>
                <w:sz w:val="20"/>
                <w:szCs w:val="20"/>
                <w:lang w:val="en-US"/>
              </w:rPr>
              <w:t>Add period (.) after “5.1.3”</w:t>
            </w:r>
          </w:p>
        </w:tc>
      </w:tr>
      <w:tr w:rsidR="00206E2B" w14:paraId="37CEE71F" w14:textId="77777777" w:rsidTr="00AA05ED">
        <w:tc>
          <w:tcPr>
            <w:tcW w:w="508" w:type="dxa"/>
            <w:shd w:val="clear" w:color="auto" w:fill="F2F2F2" w:themeFill="background1" w:themeFillShade="F2"/>
          </w:tcPr>
          <w:p w14:paraId="7384C58B" w14:textId="77777777" w:rsidR="00206E2B" w:rsidRDefault="00206E2B">
            <w:pPr>
              <w:spacing w:after="0" w:line="240" w:lineRule="auto"/>
              <w:rPr>
                <w:rFonts w:eastAsia="Aptos" w:cs="Times New Roman"/>
                <w:sz w:val="20"/>
                <w:szCs w:val="20"/>
                <w:lang w:val="en-US"/>
              </w:rPr>
            </w:pPr>
          </w:p>
        </w:tc>
        <w:tc>
          <w:tcPr>
            <w:tcW w:w="1433" w:type="dxa"/>
          </w:tcPr>
          <w:p w14:paraId="479B5510" w14:textId="1B353B25" w:rsidR="00206E2B" w:rsidRDefault="00206E2B">
            <w:pPr>
              <w:spacing w:after="0" w:line="240" w:lineRule="auto"/>
              <w:rPr>
                <w:rFonts w:eastAsia="Aptos" w:cs="Times New Roman"/>
                <w:sz w:val="20"/>
                <w:szCs w:val="20"/>
                <w:lang w:val="en-US"/>
              </w:rPr>
            </w:pPr>
            <w:r>
              <w:rPr>
                <w:rFonts w:eastAsia="Aptos" w:cs="Times New Roman"/>
                <w:sz w:val="20"/>
                <w:szCs w:val="20"/>
                <w:lang w:val="en-US"/>
              </w:rPr>
              <w:t>5.3.2.5.</w:t>
            </w:r>
          </w:p>
        </w:tc>
        <w:tc>
          <w:tcPr>
            <w:tcW w:w="3394" w:type="dxa"/>
          </w:tcPr>
          <w:p w14:paraId="2D1B327C" w14:textId="305D03AB" w:rsidR="00206E2B" w:rsidRDefault="00206E2B">
            <w:pPr>
              <w:spacing w:after="0" w:line="240" w:lineRule="auto"/>
              <w:rPr>
                <w:rFonts w:eastAsia="Aptos" w:cs="Times New Roman"/>
                <w:sz w:val="20"/>
                <w:szCs w:val="20"/>
                <w:lang w:val="en-US"/>
              </w:rPr>
            </w:pPr>
            <w:r>
              <w:rPr>
                <w:rFonts w:eastAsia="Aptos" w:cs="Times New Roman"/>
                <w:sz w:val="20"/>
                <w:szCs w:val="20"/>
                <w:lang w:val="en-US"/>
              </w:rPr>
              <w:t>[</w:t>
            </w:r>
            <w:r w:rsidRPr="00206E2B">
              <w:rPr>
                <w:rFonts w:eastAsia="Aptos" w:cs="Times New Roman"/>
                <w:sz w:val="20"/>
                <w:szCs w:val="20"/>
                <w:lang w:val="en-US"/>
              </w:rPr>
              <w:t>The safety concept shall describe how software updates are validated and confirmed in accordance with paragraph [5.1.4.3.] of this Regulation.]</w:t>
            </w:r>
          </w:p>
        </w:tc>
        <w:tc>
          <w:tcPr>
            <w:tcW w:w="3392" w:type="dxa"/>
          </w:tcPr>
          <w:p w14:paraId="076C9990" w14:textId="05417209" w:rsidR="00206E2B" w:rsidRDefault="00206E2B">
            <w:pPr>
              <w:spacing w:after="0" w:line="240" w:lineRule="auto"/>
              <w:rPr>
                <w:rFonts w:eastAsia="Aptos" w:cs="Times New Roman"/>
                <w:sz w:val="20"/>
                <w:szCs w:val="20"/>
                <w:lang w:val="en-US"/>
              </w:rPr>
            </w:pPr>
            <w:r>
              <w:rPr>
                <w:rFonts w:eastAsia="Aptos" w:cs="Times New Roman"/>
                <w:sz w:val="20"/>
                <w:szCs w:val="20"/>
                <w:lang w:val="en-US"/>
              </w:rPr>
              <w:t>Delete.</w:t>
            </w:r>
          </w:p>
        </w:tc>
        <w:tc>
          <w:tcPr>
            <w:tcW w:w="3387" w:type="dxa"/>
          </w:tcPr>
          <w:p w14:paraId="6C4BECF8" w14:textId="1AF865D4" w:rsidR="00206E2B" w:rsidRDefault="00206E2B">
            <w:pPr>
              <w:spacing w:after="0" w:line="240" w:lineRule="auto"/>
              <w:rPr>
                <w:rFonts w:eastAsia="Aptos" w:cs="Times New Roman"/>
                <w:sz w:val="20"/>
                <w:szCs w:val="20"/>
                <w:lang w:val="en-US"/>
              </w:rPr>
            </w:pPr>
            <w:r>
              <w:rPr>
                <w:rFonts w:eastAsia="Aptos" w:cs="Times New Roman"/>
                <w:sz w:val="20"/>
                <w:szCs w:val="20"/>
                <w:lang w:val="en-US"/>
              </w:rPr>
              <w:t>Per approval of the proposal in ADS-16-01/Rev.1.</w:t>
            </w:r>
          </w:p>
        </w:tc>
      </w:tr>
      <w:tr w:rsidR="00310129" w14:paraId="6203FA84" w14:textId="77777777" w:rsidTr="00AA05ED">
        <w:tc>
          <w:tcPr>
            <w:tcW w:w="508" w:type="dxa"/>
            <w:shd w:val="clear" w:color="auto" w:fill="F2F2F2" w:themeFill="background1" w:themeFillShade="F2"/>
          </w:tcPr>
          <w:p w14:paraId="1ECA1175" w14:textId="77777777" w:rsidR="00310129" w:rsidRDefault="00000000">
            <w:pPr>
              <w:spacing w:after="0" w:line="240" w:lineRule="auto"/>
              <w:rPr>
                <w:rFonts w:cs="Times New Roman"/>
                <w:sz w:val="20"/>
                <w:szCs w:val="20"/>
                <w:lang w:val="en-US"/>
              </w:rPr>
            </w:pPr>
            <w:r>
              <w:rPr>
                <w:rFonts w:eastAsia="Aptos" w:cs="Times New Roman"/>
                <w:sz w:val="20"/>
                <w:szCs w:val="20"/>
                <w:lang w:val="en-US"/>
              </w:rPr>
              <w:t>9</w:t>
            </w:r>
          </w:p>
        </w:tc>
        <w:tc>
          <w:tcPr>
            <w:tcW w:w="1433" w:type="dxa"/>
          </w:tcPr>
          <w:p w14:paraId="490C6994" w14:textId="77777777" w:rsidR="00310129" w:rsidRDefault="00000000">
            <w:pPr>
              <w:spacing w:after="0" w:line="240" w:lineRule="auto"/>
              <w:rPr>
                <w:rFonts w:cs="Times New Roman"/>
                <w:sz w:val="20"/>
                <w:szCs w:val="20"/>
                <w:lang w:val="en-US"/>
              </w:rPr>
            </w:pPr>
            <w:r>
              <w:rPr>
                <w:rFonts w:eastAsia="Aptos" w:cs="Times New Roman"/>
                <w:sz w:val="20"/>
                <w:szCs w:val="20"/>
                <w:lang w:val="en-US"/>
              </w:rPr>
              <w:t>5.3.2.15(a)</w:t>
            </w:r>
          </w:p>
        </w:tc>
        <w:tc>
          <w:tcPr>
            <w:tcW w:w="3394" w:type="dxa"/>
          </w:tcPr>
          <w:p w14:paraId="7C3B35D1" w14:textId="77777777" w:rsidR="00310129" w:rsidRDefault="00000000">
            <w:pPr>
              <w:spacing w:after="0" w:line="240" w:lineRule="auto"/>
              <w:rPr>
                <w:rFonts w:cs="Times New Roman"/>
                <w:sz w:val="20"/>
                <w:szCs w:val="20"/>
                <w:lang w:val="en-US"/>
              </w:rPr>
            </w:pPr>
            <w:r>
              <w:rPr>
                <w:rFonts w:eastAsia="Aptos" w:cs="Times New Roman"/>
                <w:sz w:val="20"/>
                <w:szCs w:val="20"/>
                <w:lang w:val="en-US"/>
              </w:rPr>
              <w:t xml:space="preserve">The selection of sufficient scenarios in which the ADS needs to initiate a </w:t>
            </w:r>
            <w:proofErr w:type="spellStart"/>
            <w:r>
              <w:rPr>
                <w:rFonts w:eastAsia="Aptos" w:cs="Times New Roman"/>
                <w:sz w:val="20"/>
                <w:szCs w:val="20"/>
                <w:lang w:val="en-US"/>
              </w:rPr>
              <w:t>fall-back</w:t>
            </w:r>
            <w:proofErr w:type="spellEnd"/>
            <w:r>
              <w:rPr>
                <w:rFonts w:eastAsia="Aptos" w:cs="Times New Roman"/>
                <w:sz w:val="20"/>
                <w:szCs w:val="20"/>
                <w:lang w:val="en-US"/>
              </w:rPr>
              <w:t xml:space="preserve"> response (e.g. approaching the ODD limits),</w:t>
            </w:r>
          </w:p>
        </w:tc>
        <w:tc>
          <w:tcPr>
            <w:tcW w:w="3392" w:type="dxa"/>
          </w:tcPr>
          <w:p w14:paraId="068C9814" w14:textId="77777777" w:rsidR="00310129" w:rsidRDefault="00000000">
            <w:pPr>
              <w:spacing w:after="0" w:line="240" w:lineRule="auto"/>
              <w:rPr>
                <w:rFonts w:cs="Times New Roman"/>
                <w:sz w:val="20"/>
                <w:szCs w:val="20"/>
                <w:lang w:val="en-US"/>
              </w:rPr>
            </w:pPr>
            <w:r>
              <w:rPr>
                <w:rFonts w:eastAsia="Aptos" w:cs="Times New Roman"/>
                <w:sz w:val="20"/>
                <w:szCs w:val="20"/>
                <w:lang w:val="en-US"/>
              </w:rPr>
              <w:t xml:space="preserve">The selection of sufficient scenarios in which the ADS needs to initiate a </w:t>
            </w:r>
            <w:r>
              <w:rPr>
                <w:rFonts w:eastAsia="Aptos" w:cs="Times New Roman"/>
                <w:b/>
                <w:bCs/>
                <w:sz w:val="20"/>
                <w:szCs w:val="20"/>
                <w:lang w:val="en-US"/>
              </w:rPr>
              <w:t>fallback</w:t>
            </w:r>
            <w:r>
              <w:rPr>
                <w:rFonts w:eastAsia="Aptos" w:cs="Times New Roman"/>
                <w:sz w:val="20"/>
                <w:szCs w:val="20"/>
                <w:lang w:val="en-US"/>
              </w:rPr>
              <w:t xml:space="preserve"> response (e.g., approaching the ODD </w:t>
            </w:r>
            <w:r>
              <w:rPr>
                <w:rFonts w:eastAsia="Aptos" w:cs="Times New Roman"/>
                <w:b/>
                <w:bCs/>
                <w:sz w:val="20"/>
                <w:szCs w:val="20"/>
                <w:lang w:val="en-US"/>
              </w:rPr>
              <w:t>boundaries</w:t>
            </w:r>
            <w:r>
              <w:rPr>
                <w:rFonts w:eastAsia="Aptos" w:cs="Times New Roman"/>
                <w:sz w:val="20"/>
                <w:szCs w:val="20"/>
                <w:lang w:val="en-US"/>
              </w:rPr>
              <w:t>),</w:t>
            </w:r>
          </w:p>
        </w:tc>
        <w:tc>
          <w:tcPr>
            <w:tcW w:w="3387" w:type="dxa"/>
          </w:tcPr>
          <w:p w14:paraId="5AB2E233" w14:textId="77777777" w:rsidR="00310129" w:rsidRDefault="00000000">
            <w:pPr>
              <w:spacing w:after="0" w:line="240" w:lineRule="auto"/>
              <w:rPr>
                <w:rFonts w:cs="Times New Roman"/>
                <w:sz w:val="20"/>
                <w:szCs w:val="20"/>
                <w:lang w:val="en-US"/>
              </w:rPr>
            </w:pPr>
            <w:r>
              <w:rPr>
                <w:rFonts w:eastAsia="Aptos" w:cs="Times New Roman"/>
                <w:sz w:val="20"/>
                <w:szCs w:val="20"/>
                <w:lang w:val="en-US"/>
              </w:rPr>
              <w:t>Remove hyphen from “fallback”</w:t>
            </w:r>
          </w:p>
          <w:p w14:paraId="1B9C9B71" w14:textId="77777777" w:rsidR="00310129" w:rsidRDefault="00000000">
            <w:pPr>
              <w:spacing w:after="0" w:line="240" w:lineRule="auto"/>
              <w:rPr>
                <w:rFonts w:cs="Times New Roman"/>
                <w:sz w:val="20"/>
                <w:szCs w:val="20"/>
                <w:lang w:val="en-US"/>
              </w:rPr>
            </w:pPr>
            <w:r>
              <w:rPr>
                <w:rFonts w:eastAsia="Aptos" w:cs="Times New Roman"/>
                <w:sz w:val="20"/>
                <w:szCs w:val="20"/>
                <w:lang w:val="en-US"/>
              </w:rPr>
              <w:t>Correct “limits” to “boundaries”</w:t>
            </w:r>
          </w:p>
        </w:tc>
      </w:tr>
      <w:tr w:rsidR="00310129" w14:paraId="3350611D" w14:textId="77777777" w:rsidTr="00AA05ED">
        <w:tc>
          <w:tcPr>
            <w:tcW w:w="508" w:type="dxa"/>
            <w:shd w:val="clear" w:color="auto" w:fill="F2F2F2" w:themeFill="background1" w:themeFillShade="F2"/>
          </w:tcPr>
          <w:p w14:paraId="4DAE8A32" w14:textId="77777777" w:rsidR="00310129" w:rsidRDefault="00000000">
            <w:pPr>
              <w:spacing w:after="0" w:line="240" w:lineRule="auto"/>
              <w:rPr>
                <w:rFonts w:cs="Times New Roman"/>
                <w:sz w:val="20"/>
                <w:szCs w:val="20"/>
                <w:lang w:val="en-US"/>
              </w:rPr>
            </w:pPr>
            <w:r>
              <w:rPr>
                <w:rFonts w:eastAsia="Aptos" w:cs="Times New Roman"/>
                <w:sz w:val="20"/>
                <w:szCs w:val="20"/>
                <w:lang w:val="en-US"/>
              </w:rPr>
              <w:t>10</w:t>
            </w:r>
          </w:p>
        </w:tc>
        <w:tc>
          <w:tcPr>
            <w:tcW w:w="1433" w:type="dxa"/>
          </w:tcPr>
          <w:p w14:paraId="3BF87DC0" w14:textId="77777777" w:rsidR="00310129" w:rsidRDefault="00000000">
            <w:pPr>
              <w:spacing w:after="0" w:line="240" w:lineRule="auto"/>
              <w:rPr>
                <w:rFonts w:cs="Times New Roman"/>
                <w:sz w:val="20"/>
                <w:szCs w:val="20"/>
                <w:lang w:val="en-US"/>
              </w:rPr>
            </w:pPr>
            <w:r>
              <w:rPr>
                <w:rFonts w:eastAsia="Aptos" w:cs="Times New Roman"/>
                <w:sz w:val="20"/>
                <w:szCs w:val="20"/>
                <w:lang w:val="en-US"/>
              </w:rPr>
              <w:t>6.1.11.2.9.</w:t>
            </w:r>
          </w:p>
        </w:tc>
        <w:tc>
          <w:tcPr>
            <w:tcW w:w="3394" w:type="dxa"/>
          </w:tcPr>
          <w:p w14:paraId="46FD0392" w14:textId="77777777" w:rsidR="00310129" w:rsidRDefault="00000000">
            <w:pPr>
              <w:spacing w:after="0" w:line="240" w:lineRule="auto"/>
              <w:rPr>
                <w:rFonts w:cs="Times New Roman"/>
                <w:sz w:val="20"/>
                <w:szCs w:val="20"/>
                <w:lang w:val="en-US"/>
              </w:rPr>
            </w:pPr>
            <w:r>
              <w:rPr>
                <w:rFonts w:eastAsia="Aptos" w:cs="Times New Roman"/>
                <w:sz w:val="20"/>
                <w:szCs w:val="20"/>
                <w:lang w:val="en-US"/>
              </w:rPr>
              <w:t>Use of the reporting templates in Annex 4 and Annex 5 by the manufacturer shall be verified.</w:t>
            </w:r>
          </w:p>
        </w:tc>
        <w:tc>
          <w:tcPr>
            <w:tcW w:w="3392" w:type="dxa"/>
          </w:tcPr>
          <w:p w14:paraId="737EC330" w14:textId="77777777" w:rsidR="00310129" w:rsidRDefault="00000000">
            <w:pPr>
              <w:spacing w:after="0" w:line="240" w:lineRule="auto"/>
              <w:rPr>
                <w:rFonts w:cs="Times New Roman"/>
                <w:sz w:val="20"/>
                <w:szCs w:val="20"/>
                <w:lang w:val="en-US"/>
              </w:rPr>
            </w:pPr>
            <w:r>
              <w:rPr>
                <w:rFonts w:eastAsia="Aptos" w:cs="Times New Roman"/>
                <w:sz w:val="20"/>
                <w:szCs w:val="20"/>
                <w:lang w:val="en-US"/>
              </w:rPr>
              <w:t xml:space="preserve">Use of the reporting templates in </w:t>
            </w:r>
            <w:r>
              <w:rPr>
                <w:rFonts w:eastAsia="Aptos" w:cs="Times New Roman"/>
                <w:b/>
                <w:bCs/>
                <w:sz w:val="20"/>
                <w:szCs w:val="20"/>
                <w:lang w:val="en-US"/>
              </w:rPr>
              <w:t>Annex 2</w:t>
            </w:r>
            <w:r>
              <w:rPr>
                <w:rFonts w:eastAsia="Aptos" w:cs="Times New Roman"/>
                <w:sz w:val="20"/>
                <w:szCs w:val="20"/>
                <w:lang w:val="en-US"/>
              </w:rPr>
              <w:t xml:space="preserve"> and </w:t>
            </w:r>
            <w:r>
              <w:rPr>
                <w:rFonts w:eastAsia="Aptos" w:cs="Times New Roman"/>
                <w:b/>
                <w:bCs/>
                <w:sz w:val="20"/>
                <w:szCs w:val="20"/>
                <w:lang w:val="en-US"/>
              </w:rPr>
              <w:t>Annex 3</w:t>
            </w:r>
            <w:r>
              <w:rPr>
                <w:rFonts w:eastAsia="Aptos" w:cs="Times New Roman"/>
                <w:sz w:val="20"/>
                <w:szCs w:val="20"/>
                <w:lang w:val="en-US"/>
              </w:rPr>
              <w:t xml:space="preserve"> by the manufacturer shall be verified.</w:t>
            </w:r>
          </w:p>
        </w:tc>
        <w:tc>
          <w:tcPr>
            <w:tcW w:w="3387" w:type="dxa"/>
          </w:tcPr>
          <w:p w14:paraId="61130FC2" w14:textId="77777777" w:rsidR="00310129" w:rsidRDefault="00000000">
            <w:pPr>
              <w:spacing w:after="0" w:line="240" w:lineRule="auto"/>
              <w:rPr>
                <w:rFonts w:cs="Times New Roman"/>
                <w:sz w:val="20"/>
                <w:szCs w:val="20"/>
                <w:lang w:val="en-US"/>
              </w:rPr>
            </w:pPr>
            <w:r>
              <w:rPr>
                <w:rFonts w:eastAsia="Aptos" w:cs="Times New Roman"/>
                <w:sz w:val="20"/>
                <w:szCs w:val="20"/>
                <w:lang w:val="en-US"/>
              </w:rPr>
              <w:t>Correct the references to the annexes.</w:t>
            </w:r>
          </w:p>
        </w:tc>
      </w:tr>
      <w:tr w:rsidR="00310129" w14:paraId="07EA3435" w14:textId="77777777" w:rsidTr="00AA05ED">
        <w:tc>
          <w:tcPr>
            <w:tcW w:w="508" w:type="dxa"/>
            <w:shd w:val="clear" w:color="auto" w:fill="F2F2F2" w:themeFill="background1" w:themeFillShade="F2"/>
          </w:tcPr>
          <w:p w14:paraId="2DAA74FF" w14:textId="77777777" w:rsidR="00310129" w:rsidRDefault="00000000">
            <w:pPr>
              <w:spacing w:after="0" w:line="240" w:lineRule="auto"/>
              <w:rPr>
                <w:rFonts w:cs="Times New Roman"/>
                <w:sz w:val="20"/>
                <w:szCs w:val="20"/>
                <w:lang w:val="en-US"/>
              </w:rPr>
            </w:pPr>
            <w:r>
              <w:rPr>
                <w:rFonts w:eastAsia="Aptos" w:cs="Times New Roman"/>
                <w:sz w:val="20"/>
                <w:szCs w:val="20"/>
                <w:lang w:val="en-US"/>
              </w:rPr>
              <w:t>11</w:t>
            </w:r>
          </w:p>
        </w:tc>
        <w:tc>
          <w:tcPr>
            <w:tcW w:w="1433" w:type="dxa"/>
          </w:tcPr>
          <w:p w14:paraId="7F571DD8" w14:textId="77777777" w:rsidR="00310129" w:rsidRDefault="00000000">
            <w:pPr>
              <w:spacing w:after="0" w:line="240" w:lineRule="auto"/>
              <w:rPr>
                <w:rFonts w:cs="Times New Roman"/>
                <w:sz w:val="20"/>
                <w:szCs w:val="20"/>
                <w:lang w:val="en-US"/>
              </w:rPr>
            </w:pPr>
            <w:r>
              <w:rPr>
                <w:rFonts w:eastAsia="Aptos" w:cs="Times New Roman"/>
                <w:sz w:val="20"/>
                <w:szCs w:val="20"/>
                <w:lang w:val="en-US"/>
              </w:rPr>
              <w:t>6.3.2.2.3.(a)</w:t>
            </w:r>
          </w:p>
        </w:tc>
        <w:tc>
          <w:tcPr>
            <w:tcW w:w="3394" w:type="dxa"/>
          </w:tcPr>
          <w:p w14:paraId="4C20E50C" w14:textId="77777777" w:rsidR="00310129" w:rsidRDefault="00000000">
            <w:pPr>
              <w:spacing w:after="0" w:line="240" w:lineRule="auto"/>
              <w:rPr>
                <w:rFonts w:cs="Times New Roman"/>
                <w:sz w:val="20"/>
                <w:szCs w:val="20"/>
                <w:lang w:val="en-US"/>
              </w:rPr>
            </w:pPr>
            <w:r>
              <w:rPr>
                <w:rFonts w:eastAsia="Aptos" w:cs="Times New Roman"/>
                <w:sz w:val="20"/>
                <w:szCs w:val="20"/>
                <w:lang w:val="en-US"/>
              </w:rPr>
              <w:t xml:space="preserve">Scenarios and situations in which the ADS needs to initiate a </w:t>
            </w:r>
            <w:proofErr w:type="spellStart"/>
            <w:r>
              <w:rPr>
                <w:rFonts w:eastAsia="Aptos" w:cs="Times New Roman"/>
                <w:sz w:val="20"/>
                <w:szCs w:val="20"/>
                <w:lang w:val="en-US"/>
              </w:rPr>
              <w:t>fall-back</w:t>
            </w:r>
            <w:proofErr w:type="spellEnd"/>
            <w:r>
              <w:rPr>
                <w:rFonts w:eastAsia="Aptos" w:cs="Times New Roman"/>
                <w:sz w:val="20"/>
                <w:szCs w:val="20"/>
                <w:lang w:val="en-US"/>
              </w:rPr>
              <w:t xml:space="preserve"> response (e.g., approaching the ODD limits), and</w:t>
            </w:r>
          </w:p>
        </w:tc>
        <w:tc>
          <w:tcPr>
            <w:tcW w:w="3392" w:type="dxa"/>
          </w:tcPr>
          <w:p w14:paraId="24FFE7AF" w14:textId="77777777" w:rsidR="00310129" w:rsidRDefault="00000000">
            <w:pPr>
              <w:spacing w:after="0" w:line="240" w:lineRule="auto"/>
              <w:rPr>
                <w:rFonts w:cs="Times New Roman"/>
                <w:sz w:val="20"/>
                <w:szCs w:val="20"/>
                <w:lang w:val="en-US"/>
              </w:rPr>
            </w:pPr>
            <w:r>
              <w:rPr>
                <w:rFonts w:eastAsia="Aptos" w:cs="Times New Roman"/>
                <w:sz w:val="20"/>
                <w:szCs w:val="20"/>
                <w:lang w:val="en-US"/>
              </w:rPr>
              <w:t xml:space="preserve">Scenarios and situations in which the ADS needs to initiate a </w:t>
            </w:r>
            <w:r>
              <w:rPr>
                <w:rFonts w:eastAsia="Aptos" w:cs="Times New Roman"/>
                <w:b/>
                <w:bCs/>
                <w:sz w:val="20"/>
                <w:szCs w:val="20"/>
                <w:lang w:val="en-US"/>
              </w:rPr>
              <w:t>fallback</w:t>
            </w:r>
            <w:r>
              <w:rPr>
                <w:rFonts w:eastAsia="Aptos" w:cs="Times New Roman"/>
                <w:sz w:val="20"/>
                <w:szCs w:val="20"/>
                <w:lang w:val="en-US"/>
              </w:rPr>
              <w:t xml:space="preserve"> response (e.g., approaching the ODD </w:t>
            </w:r>
            <w:r>
              <w:rPr>
                <w:rFonts w:eastAsia="Aptos" w:cs="Times New Roman"/>
                <w:b/>
                <w:bCs/>
                <w:sz w:val="20"/>
                <w:szCs w:val="20"/>
                <w:lang w:val="en-US"/>
              </w:rPr>
              <w:t>boundaries</w:t>
            </w:r>
            <w:r>
              <w:rPr>
                <w:rFonts w:eastAsia="Aptos" w:cs="Times New Roman"/>
                <w:sz w:val="20"/>
                <w:szCs w:val="20"/>
                <w:lang w:val="en-US"/>
              </w:rPr>
              <w:t>), and</w:t>
            </w:r>
          </w:p>
        </w:tc>
        <w:tc>
          <w:tcPr>
            <w:tcW w:w="3387" w:type="dxa"/>
          </w:tcPr>
          <w:p w14:paraId="0867F4C0" w14:textId="77777777" w:rsidR="00310129" w:rsidRDefault="00000000">
            <w:pPr>
              <w:spacing w:after="0" w:line="240" w:lineRule="auto"/>
              <w:rPr>
                <w:rFonts w:cs="Times New Roman"/>
                <w:sz w:val="20"/>
                <w:szCs w:val="20"/>
                <w:lang w:val="en-US"/>
              </w:rPr>
            </w:pPr>
            <w:r>
              <w:rPr>
                <w:rFonts w:eastAsia="Aptos" w:cs="Times New Roman"/>
                <w:sz w:val="20"/>
                <w:szCs w:val="20"/>
                <w:lang w:val="en-US"/>
              </w:rPr>
              <w:t>Remove hyphen from “fallback”</w:t>
            </w:r>
          </w:p>
          <w:p w14:paraId="17252ADE" w14:textId="77777777" w:rsidR="00310129" w:rsidRDefault="00000000">
            <w:pPr>
              <w:spacing w:after="0" w:line="240" w:lineRule="auto"/>
              <w:rPr>
                <w:rFonts w:cs="Times New Roman"/>
                <w:sz w:val="20"/>
                <w:szCs w:val="20"/>
                <w:lang w:val="en-US"/>
              </w:rPr>
            </w:pPr>
            <w:r>
              <w:rPr>
                <w:rFonts w:eastAsia="Aptos" w:cs="Times New Roman"/>
                <w:sz w:val="20"/>
                <w:szCs w:val="20"/>
                <w:lang w:val="en-US"/>
              </w:rPr>
              <w:t>Correct “limits” to “boundaries”</w:t>
            </w:r>
          </w:p>
        </w:tc>
      </w:tr>
      <w:tr w:rsidR="00310129" w14:paraId="666BD30F" w14:textId="77777777" w:rsidTr="00AA05ED">
        <w:tc>
          <w:tcPr>
            <w:tcW w:w="508" w:type="dxa"/>
            <w:shd w:val="clear" w:color="auto" w:fill="F2F2F2" w:themeFill="background1" w:themeFillShade="F2"/>
          </w:tcPr>
          <w:p w14:paraId="3EE19984" w14:textId="77777777" w:rsidR="00310129" w:rsidRDefault="00000000">
            <w:pPr>
              <w:spacing w:after="0" w:line="240" w:lineRule="auto"/>
              <w:rPr>
                <w:rFonts w:cs="Times New Roman"/>
                <w:sz w:val="20"/>
                <w:szCs w:val="20"/>
                <w:lang w:val="en-US"/>
              </w:rPr>
            </w:pPr>
            <w:r>
              <w:rPr>
                <w:rFonts w:eastAsia="Aptos" w:cs="Times New Roman"/>
                <w:sz w:val="20"/>
                <w:szCs w:val="20"/>
                <w:lang w:val="en-US"/>
              </w:rPr>
              <w:t>12</w:t>
            </w:r>
          </w:p>
        </w:tc>
        <w:tc>
          <w:tcPr>
            <w:tcW w:w="1433" w:type="dxa"/>
          </w:tcPr>
          <w:p w14:paraId="6FCB22A2" w14:textId="77777777" w:rsidR="00310129" w:rsidRDefault="00000000">
            <w:pPr>
              <w:spacing w:after="0" w:line="240" w:lineRule="auto"/>
              <w:rPr>
                <w:rFonts w:cs="Times New Roman"/>
                <w:sz w:val="20"/>
                <w:szCs w:val="20"/>
                <w:lang w:val="en-US"/>
              </w:rPr>
            </w:pPr>
            <w:r>
              <w:rPr>
                <w:rFonts w:eastAsia="Aptos" w:cs="Times New Roman"/>
                <w:sz w:val="20"/>
                <w:szCs w:val="20"/>
                <w:lang w:val="en-US"/>
              </w:rPr>
              <w:t>6.3.3.1.1.</w:t>
            </w:r>
          </w:p>
        </w:tc>
        <w:tc>
          <w:tcPr>
            <w:tcW w:w="3394" w:type="dxa"/>
          </w:tcPr>
          <w:p w14:paraId="5EFC9E34" w14:textId="77777777" w:rsidR="00310129" w:rsidRDefault="00000000">
            <w:pPr>
              <w:spacing w:after="0" w:line="240" w:lineRule="auto"/>
              <w:rPr>
                <w:rFonts w:cs="Times New Roman"/>
                <w:sz w:val="20"/>
                <w:szCs w:val="20"/>
                <w:lang w:val="en-US"/>
              </w:rPr>
            </w:pPr>
            <w:r>
              <w:rPr>
                <w:rFonts w:eastAsia="Aptos" w:cs="Times New Roman"/>
                <w:sz w:val="20"/>
                <w:szCs w:val="20"/>
                <w:lang w:val="en-US"/>
              </w:rPr>
              <w:t>The assessment shall ensure that the physical testing … accordance with the requirements under paragraph 6.2. of this Regulation.</w:t>
            </w:r>
          </w:p>
        </w:tc>
        <w:tc>
          <w:tcPr>
            <w:tcW w:w="3392" w:type="dxa"/>
          </w:tcPr>
          <w:p w14:paraId="1C4E2CC0" w14:textId="77777777" w:rsidR="00310129" w:rsidRDefault="00000000">
            <w:pPr>
              <w:spacing w:after="0" w:line="240" w:lineRule="auto"/>
              <w:rPr>
                <w:rFonts w:cs="Times New Roman"/>
                <w:sz w:val="20"/>
                <w:szCs w:val="20"/>
                <w:lang w:val="en-US"/>
              </w:rPr>
            </w:pPr>
            <w:r>
              <w:rPr>
                <w:rFonts w:eastAsia="Aptos" w:cs="Times New Roman"/>
                <w:sz w:val="20"/>
                <w:szCs w:val="20"/>
                <w:lang w:val="en-US"/>
              </w:rPr>
              <w:t xml:space="preserve">The assessment shall ensure that the physical testing … accordance with the requirements under </w:t>
            </w:r>
            <w:r>
              <w:rPr>
                <w:rFonts w:eastAsia="Aptos" w:cs="Times New Roman"/>
                <w:b/>
                <w:bCs/>
                <w:sz w:val="20"/>
                <w:szCs w:val="20"/>
                <w:lang w:val="en-US"/>
              </w:rPr>
              <w:t xml:space="preserve">paragraph 5.2. </w:t>
            </w:r>
            <w:r>
              <w:rPr>
                <w:rFonts w:eastAsia="Aptos" w:cs="Times New Roman"/>
                <w:sz w:val="20"/>
                <w:szCs w:val="20"/>
                <w:lang w:val="en-US"/>
              </w:rPr>
              <w:t>of this Regulation.</w:t>
            </w:r>
          </w:p>
        </w:tc>
        <w:tc>
          <w:tcPr>
            <w:tcW w:w="3387" w:type="dxa"/>
          </w:tcPr>
          <w:p w14:paraId="7E177EE3" w14:textId="77777777" w:rsidR="00310129" w:rsidRDefault="00000000">
            <w:pPr>
              <w:spacing w:after="0" w:line="240" w:lineRule="auto"/>
              <w:rPr>
                <w:rFonts w:cs="Times New Roman"/>
                <w:sz w:val="20"/>
                <w:szCs w:val="20"/>
                <w:lang w:val="en-US"/>
              </w:rPr>
            </w:pPr>
            <w:r>
              <w:rPr>
                <w:rFonts w:eastAsia="Aptos" w:cs="Times New Roman"/>
                <w:sz w:val="20"/>
                <w:szCs w:val="20"/>
                <w:lang w:val="en-US"/>
              </w:rPr>
              <w:t>Correct the paragraph reference.</w:t>
            </w:r>
          </w:p>
        </w:tc>
      </w:tr>
      <w:tr w:rsidR="009D5B85" w14:paraId="47E2E0BD" w14:textId="77777777" w:rsidTr="00AA05ED">
        <w:tc>
          <w:tcPr>
            <w:tcW w:w="508" w:type="dxa"/>
            <w:shd w:val="clear" w:color="auto" w:fill="F2F2F2" w:themeFill="background1" w:themeFillShade="F2"/>
          </w:tcPr>
          <w:p w14:paraId="71BCC8D9" w14:textId="6A064E97" w:rsidR="009D5B85" w:rsidRDefault="009D5B85">
            <w:pPr>
              <w:spacing w:after="0" w:line="240" w:lineRule="auto"/>
              <w:rPr>
                <w:rFonts w:eastAsia="Aptos" w:cs="Times New Roman"/>
                <w:sz w:val="20"/>
                <w:szCs w:val="20"/>
                <w:lang w:val="en-US"/>
              </w:rPr>
            </w:pPr>
            <w:r>
              <w:rPr>
                <w:rFonts w:eastAsia="Aptos" w:cs="Times New Roman"/>
                <w:sz w:val="20"/>
                <w:szCs w:val="20"/>
                <w:lang w:val="en-US"/>
              </w:rPr>
              <w:t>13</w:t>
            </w:r>
          </w:p>
        </w:tc>
        <w:tc>
          <w:tcPr>
            <w:tcW w:w="1433" w:type="dxa"/>
          </w:tcPr>
          <w:p w14:paraId="727229A9" w14:textId="6CD09670" w:rsidR="009D5B85" w:rsidRDefault="009D5B85">
            <w:pPr>
              <w:spacing w:after="0" w:line="240" w:lineRule="auto"/>
              <w:rPr>
                <w:rFonts w:eastAsia="Aptos" w:cs="Times New Roman"/>
                <w:sz w:val="20"/>
                <w:szCs w:val="20"/>
                <w:lang w:val="en-US"/>
              </w:rPr>
            </w:pPr>
            <w:r>
              <w:rPr>
                <w:rFonts w:eastAsia="Aptos" w:cs="Times New Roman"/>
                <w:sz w:val="20"/>
                <w:szCs w:val="20"/>
                <w:lang w:val="en-US"/>
              </w:rPr>
              <w:t>6.3.3.2.1.</w:t>
            </w:r>
          </w:p>
        </w:tc>
        <w:tc>
          <w:tcPr>
            <w:tcW w:w="3394" w:type="dxa"/>
          </w:tcPr>
          <w:p w14:paraId="20B529EA" w14:textId="2745EF42" w:rsidR="009D5B85" w:rsidRDefault="009D5B85">
            <w:pPr>
              <w:spacing w:after="0" w:line="240" w:lineRule="auto"/>
              <w:rPr>
                <w:rFonts w:eastAsia="Aptos" w:cs="Times New Roman"/>
                <w:sz w:val="20"/>
                <w:szCs w:val="20"/>
                <w:lang w:val="en-US"/>
              </w:rPr>
            </w:pPr>
            <w:r w:rsidRPr="009D5B85">
              <w:rPr>
                <w:rFonts w:eastAsia="Aptos" w:cs="Times New Roman"/>
                <w:sz w:val="20"/>
                <w:szCs w:val="20"/>
                <w:lang w:val="en-US"/>
              </w:rPr>
              <w:t>The provisions included in the following paragraphs until 6.3.3.2. apply in the case that confirmatory virtual testing is conducted or required.</w:t>
            </w:r>
          </w:p>
        </w:tc>
        <w:tc>
          <w:tcPr>
            <w:tcW w:w="3392" w:type="dxa"/>
          </w:tcPr>
          <w:p w14:paraId="6115B0AD" w14:textId="69686E9A" w:rsidR="009D5B85" w:rsidRDefault="009D5B85">
            <w:pPr>
              <w:spacing w:after="0" w:line="240" w:lineRule="auto"/>
              <w:rPr>
                <w:rFonts w:eastAsia="Aptos" w:cs="Times New Roman"/>
                <w:sz w:val="20"/>
                <w:szCs w:val="20"/>
                <w:lang w:val="en-US"/>
              </w:rPr>
            </w:pPr>
            <w:r w:rsidRPr="009D5B85">
              <w:rPr>
                <w:rFonts w:eastAsia="Aptos" w:cs="Times New Roman"/>
                <w:sz w:val="20"/>
                <w:szCs w:val="20"/>
                <w:lang w:val="en-US"/>
              </w:rPr>
              <w:t xml:space="preserve">The provisions of the following paragraphs </w:t>
            </w:r>
            <w:r w:rsidRPr="009D5B85">
              <w:rPr>
                <w:rFonts w:eastAsia="Aptos" w:cs="Times New Roman"/>
                <w:b/>
                <w:bCs/>
                <w:sz w:val="20"/>
                <w:szCs w:val="20"/>
                <w:lang w:val="en-US"/>
              </w:rPr>
              <w:t>up to and including 6.3.3.2.4.</w:t>
            </w:r>
            <w:r>
              <w:rPr>
                <w:rFonts w:eastAsia="Aptos" w:cs="Times New Roman"/>
                <w:b/>
                <w:bCs/>
                <w:sz w:val="20"/>
                <w:szCs w:val="20"/>
                <w:lang w:val="en-US"/>
              </w:rPr>
              <w:t xml:space="preserve"> shall</w:t>
            </w:r>
            <w:r>
              <w:rPr>
                <w:rFonts w:eastAsia="Aptos" w:cs="Times New Roman"/>
                <w:sz w:val="20"/>
                <w:szCs w:val="20"/>
                <w:lang w:val="en-US"/>
              </w:rPr>
              <w:t xml:space="preserve"> </w:t>
            </w:r>
            <w:r w:rsidRPr="009D5B85">
              <w:rPr>
                <w:rFonts w:eastAsia="Aptos" w:cs="Times New Roman"/>
                <w:sz w:val="20"/>
                <w:szCs w:val="20"/>
                <w:lang w:val="en-US"/>
              </w:rPr>
              <w:t>apply in the case that confirmatory virtual testing is conducted or required.</w:t>
            </w:r>
          </w:p>
        </w:tc>
        <w:tc>
          <w:tcPr>
            <w:tcW w:w="3387" w:type="dxa"/>
          </w:tcPr>
          <w:p w14:paraId="1827BF4E" w14:textId="7312F1DB" w:rsidR="009D5B85" w:rsidRDefault="009D5B85">
            <w:pPr>
              <w:spacing w:after="0" w:line="240" w:lineRule="auto"/>
              <w:rPr>
                <w:rFonts w:eastAsia="Aptos" w:cs="Times New Roman"/>
                <w:sz w:val="20"/>
                <w:szCs w:val="20"/>
                <w:lang w:val="en-US"/>
              </w:rPr>
            </w:pPr>
            <w:r>
              <w:rPr>
                <w:rFonts w:eastAsia="Aptos" w:cs="Times New Roman"/>
                <w:sz w:val="20"/>
                <w:szCs w:val="20"/>
                <w:lang w:val="en-US"/>
              </w:rPr>
              <w:t xml:space="preserve">Based on IWG approval of ADS-16-03 from Canada and recommendation from Korea: Para. 6.3.3.2.1. has the same form as clarification made to para. </w:t>
            </w:r>
            <w:r w:rsidRPr="009D5B85">
              <w:rPr>
                <w:rFonts w:eastAsia="Aptos" w:cs="Times New Roman"/>
                <w:sz w:val="20"/>
                <w:szCs w:val="20"/>
                <w:lang w:val="en-US"/>
              </w:rPr>
              <w:t>6.3.3.3.1</w:t>
            </w:r>
            <w:r>
              <w:rPr>
                <w:rFonts w:eastAsia="Aptos" w:cs="Times New Roman"/>
                <w:sz w:val="20"/>
                <w:szCs w:val="20"/>
                <w:lang w:val="en-US"/>
              </w:rPr>
              <w:t>.</w:t>
            </w:r>
          </w:p>
        </w:tc>
      </w:tr>
      <w:tr w:rsidR="005C4694" w14:paraId="71561726" w14:textId="77777777" w:rsidTr="00AA05ED">
        <w:trPr>
          <w:cantSplit/>
        </w:trPr>
        <w:tc>
          <w:tcPr>
            <w:tcW w:w="508" w:type="dxa"/>
            <w:vMerge w:val="restart"/>
            <w:shd w:val="clear" w:color="auto" w:fill="F2F2F2" w:themeFill="background1" w:themeFillShade="F2"/>
          </w:tcPr>
          <w:p w14:paraId="518CC562" w14:textId="54372842" w:rsidR="005C4694" w:rsidRDefault="005C4694">
            <w:pPr>
              <w:spacing w:after="0" w:line="240" w:lineRule="auto"/>
              <w:rPr>
                <w:rFonts w:cs="Times New Roman"/>
                <w:sz w:val="20"/>
                <w:szCs w:val="20"/>
                <w:lang w:val="en-US"/>
              </w:rPr>
            </w:pPr>
            <w:r>
              <w:rPr>
                <w:rFonts w:eastAsia="Aptos" w:cs="Times New Roman"/>
                <w:sz w:val="20"/>
                <w:szCs w:val="20"/>
                <w:lang w:val="en-US"/>
              </w:rPr>
              <w:lastRenderedPageBreak/>
              <w:t>1</w:t>
            </w:r>
            <w:r w:rsidR="009D5B85">
              <w:rPr>
                <w:rFonts w:eastAsia="Aptos" w:cs="Times New Roman"/>
                <w:sz w:val="20"/>
                <w:szCs w:val="20"/>
                <w:lang w:val="en-US"/>
              </w:rPr>
              <w:t>4</w:t>
            </w:r>
          </w:p>
        </w:tc>
        <w:tc>
          <w:tcPr>
            <w:tcW w:w="1433" w:type="dxa"/>
            <w:vMerge w:val="restart"/>
          </w:tcPr>
          <w:p w14:paraId="207D1FC3" w14:textId="77777777" w:rsidR="005C4694" w:rsidRDefault="005C4694">
            <w:pPr>
              <w:spacing w:after="0" w:line="240" w:lineRule="auto"/>
              <w:rPr>
                <w:rFonts w:cs="Times New Roman"/>
                <w:sz w:val="20"/>
                <w:szCs w:val="20"/>
                <w:lang w:val="en-US"/>
              </w:rPr>
            </w:pPr>
            <w:r>
              <w:rPr>
                <w:rFonts w:eastAsia="Aptos" w:cs="Times New Roman"/>
                <w:sz w:val="20"/>
                <w:szCs w:val="20"/>
                <w:lang w:val="en-US"/>
              </w:rPr>
              <w:t>Annex 1</w:t>
            </w:r>
          </w:p>
        </w:tc>
        <w:tc>
          <w:tcPr>
            <w:tcW w:w="3394" w:type="dxa"/>
          </w:tcPr>
          <w:p w14:paraId="7B38498A" w14:textId="77777777" w:rsidR="005C4694" w:rsidRDefault="005C4694">
            <w:pPr>
              <w:spacing w:after="0" w:line="240" w:lineRule="auto"/>
              <w:rPr>
                <w:rFonts w:cs="Times New Roman"/>
                <w:sz w:val="20"/>
                <w:szCs w:val="20"/>
                <w:lang w:val="en-US"/>
              </w:rPr>
            </w:pPr>
            <w:r>
              <w:rPr>
                <w:rFonts w:eastAsia="Aptos" w:cs="Times New Roman"/>
                <w:sz w:val="20"/>
                <w:szCs w:val="20"/>
                <w:vertAlign w:val="superscript"/>
                <w:lang w:val="en-US"/>
              </w:rPr>
              <w:t xml:space="preserve">5 </w:t>
            </w:r>
            <w:r>
              <w:rPr>
                <w:rFonts w:eastAsia="Aptos" w:cs="Times New Roman"/>
                <w:sz w:val="20"/>
                <w:szCs w:val="20"/>
                <w:lang w:val="en-US"/>
              </w:rPr>
              <w:t xml:space="preserve">At aggregate level, this information can provide useful information on the validity of the HMI concept and on the need to provide more effective procedures for keeping the </w:t>
            </w:r>
            <w:proofErr w:type="spellStart"/>
            <w:r>
              <w:rPr>
                <w:rFonts w:eastAsia="Aptos" w:cs="Times New Roman"/>
                <w:sz w:val="20"/>
                <w:szCs w:val="20"/>
                <w:lang w:val="en-US"/>
              </w:rPr>
              <w:t>fall-back</w:t>
            </w:r>
            <w:proofErr w:type="spellEnd"/>
            <w:r>
              <w:rPr>
                <w:rFonts w:eastAsia="Aptos" w:cs="Times New Roman"/>
                <w:sz w:val="20"/>
                <w:szCs w:val="20"/>
                <w:lang w:val="en-US"/>
              </w:rPr>
              <w:t xml:space="preserve"> user available.</w:t>
            </w:r>
          </w:p>
        </w:tc>
        <w:tc>
          <w:tcPr>
            <w:tcW w:w="3392" w:type="dxa"/>
          </w:tcPr>
          <w:p w14:paraId="396A1AD6" w14:textId="77777777" w:rsidR="005C4694" w:rsidRDefault="005C4694">
            <w:pPr>
              <w:spacing w:after="0" w:line="240" w:lineRule="auto"/>
              <w:rPr>
                <w:rFonts w:cs="Times New Roman"/>
                <w:sz w:val="20"/>
                <w:szCs w:val="20"/>
                <w:lang w:val="en-US"/>
              </w:rPr>
            </w:pPr>
            <w:r>
              <w:rPr>
                <w:rFonts w:eastAsia="Aptos" w:cs="Times New Roman"/>
                <w:sz w:val="20"/>
                <w:szCs w:val="20"/>
                <w:vertAlign w:val="superscript"/>
                <w:lang w:val="en-US"/>
              </w:rPr>
              <w:t xml:space="preserve">5 </w:t>
            </w:r>
            <w:r>
              <w:rPr>
                <w:rFonts w:eastAsia="Aptos" w:cs="Times New Roman"/>
                <w:sz w:val="20"/>
                <w:szCs w:val="20"/>
                <w:lang w:val="en-US"/>
              </w:rPr>
              <w:t xml:space="preserve">At aggregate level, this information can provide useful information on the validity of the HMI concept and on the need to provide more effective procedures for keeping the </w:t>
            </w:r>
            <w:r>
              <w:rPr>
                <w:rFonts w:eastAsia="Aptos" w:cs="Times New Roman"/>
                <w:b/>
                <w:bCs/>
                <w:sz w:val="20"/>
                <w:szCs w:val="20"/>
                <w:lang w:val="en-US"/>
              </w:rPr>
              <w:t>fallback</w:t>
            </w:r>
            <w:r>
              <w:rPr>
                <w:rFonts w:eastAsia="Aptos" w:cs="Times New Roman"/>
                <w:sz w:val="20"/>
                <w:szCs w:val="20"/>
                <w:lang w:val="en-US"/>
              </w:rPr>
              <w:t xml:space="preserve"> user available.</w:t>
            </w:r>
          </w:p>
        </w:tc>
        <w:tc>
          <w:tcPr>
            <w:tcW w:w="3387" w:type="dxa"/>
          </w:tcPr>
          <w:p w14:paraId="36944634" w14:textId="77777777" w:rsidR="005C4694" w:rsidRDefault="005C4694">
            <w:pPr>
              <w:spacing w:after="0" w:line="240" w:lineRule="auto"/>
              <w:rPr>
                <w:rFonts w:cs="Times New Roman"/>
                <w:sz w:val="20"/>
                <w:szCs w:val="20"/>
                <w:lang w:val="en-US"/>
              </w:rPr>
            </w:pPr>
            <w:r>
              <w:rPr>
                <w:rFonts w:eastAsia="Aptos" w:cs="Times New Roman"/>
                <w:sz w:val="20"/>
                <w:szCs w:val="20"/>
                <w:lang w:val="en-US"/>
              </w:rPr>
              <w:t>Remove hyphen from “fallback”</w:t>
            </w:r>
          </w:p>
        </w:tc>
      </w:tr>
      <w:tr w:rsidR="005C4694" w14:paraId="7FB53725" w14:textId="77777777" w:rsidTr="00AA05ED">
        <w:tc>
          <w:tcPr>
            <w:tcW w:w="508" w:type="dxa"/>
            <w:vMerge/>
            <w:shd w:val="clear" w:color="auto" w:fill="F2F2F2" w:themeFill="background1" w:themeFillShade="F2"/>
          </w:tcPr>
          <w:p w14:paraId="5E598BF9" w14:textId="77777777" w:rsidR="005C4694" w:rsidRDefault="005C4694">
            <w:pPr>
              <w:spacing w:after="0" w:line="240" w:lineRule="auto"/>
              <w:rPr>
                <w:rFonts w:eastAsia="Aptos" w:cs="Times New Roman"/>
                <w:sz w:val="20"/>
                <w:szCs w:val="20"/>
                <w:lang w:val="en-US"/>
              </w:rPr>
            </w:pPr>
          </w:p>
        </w:tc>
        <w:tc>
          <w:tcPr>
            <w:tcW w:w="1433" w:type="dxa"/>
            <w:vMerge/>
          </w:tcPr>
          <w:p w14:paraId="2C5BBBA8" w14:textId="77777777" w:rsidR="005C4694" w:rsidRDefault="005C4694">
            <w:pPr>
              <w:spacing w:after="0" w:line="240" w:lineRule="auto"/>
              <w:rPr>
                <w:rFonts w:eastAsia="Aptos" w:cs="Times New Roman"/>
                <w:sz w:val="20"/>
                <w:szCs w:val="20"/>
                <w:lang w:val="en-US"/>
              </w:rPr>
            </w:pPr>
          </w:p>
        </w:tc>
        <w:tc>
          <w:tcPr>
            <w:tcW w:w="3394" w:type="dxa"/>
          </w:tcPr>
          <w:p w14:paraId="563ADA98" w14:textId="135C1731" w:rsidR="005C4694" w:rsidRPr="00581C77" w:rsidRDefault="005C4694">
            <w:pPr>
              <w:spacing w:after="0" w:line="240" w:lineRule="auto"/>
              <w:rPr>
                <w:rFonts w:eastAsia="Aptos" w:cs="Times New Roman"/>
                <w:sz w:val="20"/>
                <w:szCs w:val="20"/>
                <w:lang w:val="en-US"/>
              </w:rPr>
            </w:pPr>
            <w:r w:rsidRPr="00581C77">
              <w:rPr>
                <w:rFonts w:eastAsia="Aptos" w:cs="Times New Roman"/>
                <w:sz w:val="20"/>
                <w:szCs w:val="20"/>
                <w:lang w:val="en-US"/>
              </w:rPr>
              <w:t>ADS failure to achieve a [</w:t>
            </w:r>
            <w:proofErr w:type="gramStart"/>
            <w:r w:rsidRPr="00581C77">
              <w:rPr>
                <w:rFonts w:eastAsia="Aptos" w:cs="Times New Roman"/>
                <w:sz w:val="20"/>
                <w:szCs w:val="20"/>
                <w:lang w:val="en-US"/>
              </w:rPr>
              <w:t>mitigated]  risk</w:t>
            </w:r>
            <w:proofErr w:type="gramEnd"/>
            <w:r w:rsidRPr="00581C77">
              <w:rPr>
                <w:rFonts w:eastAsia="Aptos" w:cs="Times New Roman"/>
                <w:sz w:val="20"/>
                <w:szCs w:val="20"/>
                <w:lang w:val="en-US"/>
              </w:rPr>
              <w:t xml:space="preserve"> condition when necessary</w:t>
            </w:r>
          </w:p>
        </w:tc>
        <w:tc>
          <w:tcPr>
            <w:tcW w:w="3392" w:type="dxa"/>
          </w:tcPr>
          <w:p w14:paraId="2AE0ECC3" w14:textId="1F3891EA" w:rsidR="005C4694" w:rsidRPr="00581C77" w:rsidRDefault="005C4694">
            <w:pPr>
              <w:spacing w:after="0" w:line="240" w:lineRule="auto"/>
              <w:rPr>
                <w:rFonts w:eastAsia="Aptos" w:cs="Times New Roman"/>
                <w:sz w:val="20"/>
                <w:szCs w:val="20"/>
                <w:lang w:val="en-US"/>
              </w:rPr>
            </w:pPr>
            <w:r>
              <w:rPr>
                <w:rFonts w:eastAsia="Aptos" w:cs="Times New Roman"/>
                <w:sz w:val="20"/>
                <w:szCs w:val="20"/>
                <w:lang w:val="en-US"/>
              </w:rPr>
              <w:t>Remove brackets</w:t>
            </w:r>
          </w:p>
        </w:tc>
        <w:tc>
          <w:tcPr>
            <w:tcW w:w="3387" w:type="dxa"/>
          </w:tcPr>
          <w:p w14:paraId="11E7ABC4" w14:textId="77777777" w:rsidR="005C4694" w:rsidRDefault="005C4694">
            <w:pPr>
              <w:spacing w:after="0" w:line="240" w:lineRule="auto"/>
              <w:rPr>
                <w:rFonts w:eastAsia="Aptos" w:cs="Times New Roman"/>
                <w:sz w:val="20"/>
                <w:szCs w:val="20"/>
                <w:lang w:val="en-US"/>
              </w:rPr>
            </w:pPr>
          </w:p>
        </w:tc>
      </w:tr>
      <w:tr w:rsidR="00581C77" w14:paraId="7CF18867" w14:textId="77777777" w:rsidTr="00AA05ED">
        <w:tc>
          <w:tcPr>
            <w:tcW w:w="508" w:type="dxa"/>
            <w:shd w:val="clear" w:color="auto" w:fill="F2F2F2" w:themeFill="background1" w:themeFillShade="F2"/>
          </w:tcPr>
          <w:p w14:paraId="7CC8B6FE" w14:textId="01FA189C" w:rsidR="00581C77" w:rsidRDefault="00581C77">
            <w:pPr>
              <w:spacing w:after="0" w:line="240" w:lineRule="auto"/>
              <w:rPr>
                <w:rFonts w:eastAsia="Aptos" w:cs="Times New Roman"/>
                <w:sz w:val="20"/>
                <w:szCs w:val="20"/>
                <w:lang w:val="en-US"/>
              </w:rPr>
            </w:pPr>
            <w:r>
              <w:rPr>
                <w:rFonts w:eastAsia="Aptos" w:cs="Times New Roman"/>
                <w:sz w:val="20"/>
                <w:szCs w:val="20"/>
                <w:lang w:val="en-US"/>
              </w:rPr>
              <w:t>1</w:t>
            </w:r>
            <w:r w:rsidR="009D5B85">
              <w:rPr>
                <w:rFonts w:eastAsia="Aptos" w:cs="Times New Roman"/>
                <w:sz w:val="20"/>
                <w:szCs w:val="20"/>
                <w:lang w:val="en-US"/>
              </w:rPr>
              <w:t>5</w:t>
            </w:r>
          </w:p>
        </w:tc>
        <w:tc>
          <w:tcPr>
            <w:tcW w:w="1433" w:type="dxa"/>
          </w:tcPr>
          <w:p w14:paraId="3B212962" w14:textId="664152C2" w:rsidR="00581C77" w:rsidRDefault="00581C77">
            <w:pPr>
              <w:spacing w:after="0" w:line="240" w:lineRule="auto"/>
              <w:rPr>
                <w:rFonts w:eastAsia="Aptos" w:cs="Times New Roman"/>
                <w:sz w:val="20"/>
                <w:szCs w:val="20"/>
                <w:lang w:val="en-US"/>
              </w:rPr>
            </w:pPr>
            <w:r>
              <w:rPr>
                <w:rFonts w:eastAsia="Aptos" w:cs="Times New Roman"/>
                <w:sz w:val="20"/>
                <w:szCs w:val="20"/>
                <w:lang w:val="en-US"/>
              </w:rPr>
              <w:t>Annex 2</w:t>
            </w:r>
          </w:p>
        </w:tc>
        <w:tc>
          <w:tcPr>
            <w:tcW w:w="3394" w:type="dxa"/>
          </w:tcPr>
          <w:p w14:paraId="023D58DE" w14:textId="5A2E67BE" w:rsidR="00581C77" w:rsidRPr="005C4694" w:rsidRDefault="00206E2B">
            <w:pPr>
              <w:spacing w:after="0" w:line="240" w:lineRule="auto"/>
              <w:rPr>
                <w:rFonts w:eastAsia="Aptos" w:cs="Times New Roman"/>
                <w:sz w:val="20"/>
                <w:szCs w:val="20"/>
                <w:lang w:val="en-US"/>
              </w:rPr>
            </w:pPr>
            <w:r w:rsidRPr="005C4694">
              <w:rPr>
                <w:sz w:val="20"/>
                <w:szCs w:val="20"/>
              </w:rPr>
              <w:t>Change brackets [] to parentheses () such as in “[Y/N]” and units of measurements.</w:t>
            </w:r>
          </w:p>
        </w:tc>
        <w:tc>
          <w:tcPr>
            <w:tcW w:w="3392" w:type="dxa"/>
          </w:tcPr>
          <w:p w14:paraId="0686DBF9" w14:textId="0C1D46B6" w:rsidR="00581C77" w:rsidRPr="005C4694" w:rsidRDefault="00581C77">
            <w:pPr>
              <w:spacing w:after="0" w:line="240" w:lineRule="auto"/>
              <w:rPr>
                <w:rFonts w:eastAsia="Aptos" w:cs="Times New Roman"/>
                <w:sz w:val="20"/>
                <w:szCs w:val="20"/>
                <w:lang w:val="en-US"/>
              </w:rPr>
            </w:pPr>
          </w:p>
        </w:tc>
        <w:tc>
          <w:tcPr>
            <w:tcW w:w="3387" w:type="dxa"/>
          </w:tcPr>
          <w:p w14:paraId="7EB19016" w14:textId="088A112A" w:rsidR="00581C77" w:rsidRPr="00206E2B" w:rsidRDefault="00581C77">
            <w:pPr>
              <w:spacing w:after="0" w:line="240" w:lineRule="auto"/>
              <w:rPr>
                <w:rFonts w:eastAsia="Aptos" w:cs="Times New Roman"/>
                <w:b/>
                <w:bCs/>
                <w:sz w:val="20"/>
                <w:szCs w:val="20"/>
                <w:lang w:val="en-US"/>
              </w:rPr>
            </w:pPr>
            <w:r>
              <w:rPr>
                <w:rFonts w:eastAsia="Aptos" w:cs="Times New Roman"/>
                <w:sz w:val="20"/>
                <w:szCs w:val="20"/>
                <w:lang w:val="en-US"/>
              </w:rPr>
              <w:t>Change brackets to parentheses to avoid possible interpretation that “Y/N” is “text under discussion”.</w:t>
            </w:r>
            <w:r w:rsidR="00206E2B">
              <w:rPr>
                <w:rFonts w:eastAsia="Aptos" w:cs="Times New Roman"/>
                <w:sz w:val="20"/>
                <w:szCs w:val="20"/>
                <w:lang w:val="en-US"/>
              </w:rPr>
              <w:t xml:space="preserve"> </w:t>
            </w:r>
            <w:r w:rsidR="00206E2B" w:rsidRPr="00206E2B">
              <w:rPr>
                <w:rFonts w:eastAsia="Aptos" w:cs="Times New Roman"/>
                <w:i/>
                <w:iCs/>
                <w:sz w:val="20"/>
                <w:szCs w:val="20"/>
                <w:lang w:val="en-US"/>
              </w:rPr>
              <w:t>Excludes bracketed items noted in ADS-17-12.</w:t>
            </w:r>
          </w:p>
        </w:tc>
      </w:tr>
    </w:tbl>
    <w:p w14:paraId="0EC2F9FB" w14:textId="77777777" w:rsidR="00310129" w:rsidRDefault="00310129"/>
    <w:p w14:paraId="68FCB852" w14:textId="77777777" w:rsidR="00310129" w:rsidRDefault="00310129">
      <w:pPr>
        <w:rPr>
          <w:lang w:val="en-US"/>
        </w:rPr>
      </w:pPr>
    </w:p>
    <w:sectPr w:rsidR="00310129" w:rsidSect="00AA05ED">
      <w:headerReference w:type="default" r:id="rId7"/>
      <w:headerReference w:type="first" r:id="rId8"/>
      <w:pgSz w:w="15840" w:h="12240" w:orient="landscape"/>
      <w:pgMar w:top="1440" w:right="1440" w:bottom="1440" w:left="162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7FB29" w14:textId="77777777" w:rsidR="0027690B" w:rsidRDefault="0027690B">
      <w:pPr>
        <w:spacing w:after="0" w:line="240" w:lineRule="auto"/>
      </w:pPr>
      <w:r>
        <w:separator/>
      </w:r>
    </w:p>
  </w:endnote>
  <w:endnote w:type="continuationSeparator" w:id="0">
    <w:p w14:paraId="36DDE2DE" w14:textId="77777777" w:rsidR="0027690B" w:rsidRDefault="00276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Roboto">
    <w:panose1 w:val="02000000000000000000"/>
    <w:charset w:val="00"/>
    <w:family w:val="auto"/>
    <w:pitch w:val="variable"/>
    <w:sig w:usb0="E0000AFF" w:usb1="5000217F" w:usb2="0000002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7D04B" w14:textId="77777777" w:rsidR="0027690B" w:rsidRDefault="0027690B">
      <w:pPr>
        <w:rPr>
          <w:sz w:val="12"/>
        </w:rPr>
      </w:pPr>
      <w:r>
        <w:separator/>
      </w:r>
    </w:p>
  </w:footnote>
  <w:footnote w:type="continuationSeparator" w:id="0">
    <w:p w14:paraId="73E6BE34" w14:textId="77777777" w:rsidR="0027690B" w:rsidRDefault="0027690B">
      <w:pPr>
        <w:rPr>
          <w:sz w:val="12"/>
        </w:rPr>
      </w:pPr>
      <w:r>
        <w:continuationSeparator/>
      </w:r>
    </w:p>
  </w:footnote>
  <w:footnote w:id="1">
    <w:p w14:paraId="3C38983E" w14:textId="77777777" w:rsidR="00310129" w:rsidRDefault="00000000">
      <w:pPr>
        <w:pStyle w:val="footnote"/>
        <w:rPr>
          <w:lang w:val="en-US"/>
        </w:rPr>
      </w:pPr>
      <w:r>
        <w:rPr>
          <w:rStyle w:val="FootnoteCharacters"/>
        </w:rPr>
        <w:footnoteRef/>
      </w:r>
      <w:r>
        <w:tab/>
        <w:t xml:space="preserve"> Declarative descriptions can include structured natural language, programming language or other forms of languages that meet the required criteria (formalized and declarative).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2325" w14:textId="0161C0A2" w:rsidR="00310129" w:rsidRDefault="00000000">
    <w:pPr>
      <w:pStyle w:val="Header"/>
      <w:tabs>
        <w:tab w:val="clear" w:pos="9026"/>
        <w:tab w:val="right" w:pos="12060"/>
      </w:tabs>
      <w:rPr>
        <w:lang w:val="en-US"/>
      </w:rPr>
    </w:pPr>
    <w:r>
      <w:rPr>
        <w:lang w:val="en-US"/>
      </w:rPr>
      <w:t>Prepared by the ADS IWG secretariat</w:t>
    </w:r>
    <w:r>
      <w:rPr>
        <w:lang w:val="en-US"/>
      </w:rPr>
      <w:tab/>
    </w:r>
    <w:r>
      <w:rPr>
        <w:lang w:val="en-US"/>
      </w:rPr>
      <w:tab/>
      <w:t>Document ADS-17-10</w:t>
    </w:r>
    <w:r w:rsidR="009D5B85">
      <w:rPr>
        <w:lang w:val="en-US"/>
      </w:rPr>
      <w:t>/Rev.</w:t>
    </w:r>
    <w:r w:rsidR="007C69E6">
      <w:rPr>
        <w:lang w:val="en-US"/>
      </w:rPr>
      <w:t>2</w:t>
    </w:r>
  </w:p>
  <w:p w14:paraId="4A82E9EE" w14:textId="77777777" w:rsidR="00310129" w:rsidRDefault="00000000">
    <w:pPr>
      <w:pStyle w:val="Header"/>
      <w:tabs>
        <w:tab w:val="clear" w:pos="9026"/>
        <w:tab w:val="right" w:pos="12060"/>
      </w:tabs>
      <w:rPr>
        <w:lang w:val="en-US"/>
      </w:rPr>
    </w:pPr>
    <w:r>
      <w:rPr>
        <w:lang w:val="en-US"/>
      </w:rPr>
      <w:tab/>
    </w:r>
    <w:r>
      <w:rPr>
        <w:lang w:val="en-US"/>
      </w:rPr>
      <w:tab/>
      <w:t>17</w:t>
    </w:r>
    <w:r>
      <w:rPr>
        <w:vertAlign w:val="superscript"/>
        <w:lang w:val="en-US"/>
      </w:rPr>
      <w:t>th</w:t>
    </w:r>
    <w:r>
      <w:rPr>
        <w:lang w:val="en-US"/>
      </w:rPr>
      <w:t xml:space="preserve"> ADS IWG session</w:t>
    </w:r>
  </w:p>
  <w:p w14:paraId="1B551EBD" w14:textId="77777777" w:rsidR="00310129" w:rsidRDefault="00000000">
    <w:pPr>
      <w:pStyle w:val="Header"/>
      <w:tabs>
        <w:tab w:val="clear" w:pos="9026"/>
        <w:tab w:val="right" w:pos="12060"/>
      </w:tabs>
      <w:rPr>
        <w:lang w:val="en-US"/>
      </w:rPr>
    </w:pPr>
    <w:r>
      <w:rPr>
        <w:lang w:val="en-US"/>
      </w:rPr>
      <w:tab/>
    </w:r>
    <w:r>
      <w:rPr>
        <w:lang w:val="en-US"/>
      </w:rPr>
      <w:tab/>
      <w:t>8-12 December 2025, Tokyo</w:t>
    </w:r>
  </w:p>
  <w:p w14:paraId="47EA2FCF" w14:textId="77777777" w:rsidR="00AA05ED" w:rsidRDefault="00AA05ED">
    <w:pPr>
      <w:pStyle w:val="Header"/>
      <w:tabs>
        <w:tab w:val="clear" w:pos="9026"/>
        <w:tab w:val="right" w:pos="12060"/>
      </w:tabs>
      <w:rPr>
        <w:lang w:val="en-US"/>
      </w:rPr>
    </w:pPr>
  </w:p>
  <w:p w14:paraId="2B88F2E2" w14:textId="77777777" w:rsidR="00310129" w:rsidRDefault="00310129">
    <w:pPr>
      <w:pStyle w:val="Header"/>
      <w:tabs>
        <w:tab w:val="clear" w:pos="9026"/>
        <w:tab w:val="right" w:pos="1206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0584" w14:textId="77777777" w:rsidR="00310129" w:rsidRDefault="00000000">
    <w:pPr>
      <w:pStyle w:val="Header"/>
      <w:tabs>
        <w:tab w:val="clear" w:pos="9026"/>
        <w:tab w:val="right" w:pos="12060"/>
      </w:tabs>
      <w:rPr>
        <w:lang w:val="en-US"/>
      </w:rPr>
    </w:pPr>
    <w:r>
      <w:rPr>
        <w:lang w:val="en-US"/>
      </w:rPr>
      <w:t>Prepared by the ADS IWG secretariat</w:t>
    </w:r>
    <w:r>
      <w:rPr>
        <w:lang w:val="en-US"/>
      </w:rPr>
      <w:tab/>
    </w:r>
    <w:r>
      <w:rPr>
        <w:lang w:val="en-US"/>
      </w:rPr>
      <w:tab/>
      <w:t>Document ADS-17-10</w:t>
    </w:r>
  </w:p>
  <w:p w14:paraId="16026289" w14:textId="77777777" w:rsidR="00310129" w:rsidRDefault="00000000">
    <w:pPr>
      <w:pStyle w:val="Header"/>
      <w:tabs>
        <w:tab w:val="clear" w:pos="9026"/>
        <w:tab w:val="right" w:pos="12060"/>
      </w:tabs>
      <w:rPr>
        <w:lang w:val="en-US"/>
      </w:rPr>
    </w:pPr>
    <w:r>
      <w:rPr>
        <w:lang w:val="en-US"/>
      </w:rPr>
      <w:tab/>
    </w:r>
    <w:r>
      <w:rPr>
        <w:lang w:val="en-US"/>
      </w:rPr>
      <w:tab/>
      <w:t>17</w:t>
    </w:r>
    <w:r>
      <w:rPr>
        <w:vertAlign w:val="superscript"/>
        <w:lang w:val="en-US"/>
      </w:rPr>
      <w:t>th</w:t>
    </w:r>
    <w:r>
      <w:rPr>
        <w:lang w:val="en-US"/>
      </w:rPr>
      <w:t xml:space="preserve"> ADS IWG session</w:t>
    </w:r>
  </w:p>
  <w:p w14:paraId="748AE37B" w14:textId="77777777" w:rsidR="00310129" w:rsidRDefault="00000000">
    <w:pPr>
      <w:pStyle w:val="Header"/>
      <w:tabs>
        <w:tab w:val="clear" w:pos="9026"/>
        <w:tab w:val="right" w:pos="12060"/>
      </w:tabs>
      <w:rPr>
        <w:lang w:val="en-US"/>
      </w:rPr>
    </w:pPr>
    <w:bookmarkStart w:id="1" w:name="_Hlk215402304"/>
    <w:r>
      <w:rPr>
        <w:lang w:val="en-US"/>
      </w:rPr>
      <w:tab/>
    </w:r>
    <w:r>
      <w:rPr>
        <w:lang w:val="en-US"/>
      </w:rPr>
      <w:tab/>
      <w:t>8-12 December 2025, Tokyo</w:t>
    </w:r>
    <w:bookmarkEnd w:id="1"/>
  </w:p>
  <w:p w14:paraId="0F45CAFD" w14:textId="77777777" w:rsidR="00310129" w:rsidRDefault="00310129">
    <w:pPr>
      <w:pStyle w:val="Header"/>
      <w:tabs>
        <w:tab w:val="clear" w:pos="9026"/>
        <w:tab w:val="right" w:pos="1206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2C9A"/>
    <w:multiLevelType w:val="multilevel"/>
    <w:tmpl w:val="08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pStyle w:val="ListL5"/>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3A3D0639"/>
    <w:multiLevelType w:val="multilevel"/>
    <w:tmpl w:val="D85CC6A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24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77AA0AFE"/>
    <w:multiLevelType w:val="multilevel"/>
    <w:tmpl w:val="A7E229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21562461">
    <w:abstractNumId w:val="0"/>
  </w:num>
  <w:num w:numId="2" w16cid:durableId="717969252">
    <w:abstractNumId w:val="1"/>
  </w:num>
  <w:num w:numId="3" w16cid:durableId="2087534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29"/>
    <w:rsid w:val="00206E2B"/>
    <w:rsid w:val="0027690B"/>
    <w:rsid w:val="00287005"/>
    <w:rsid w:val="00310129"/>
    <w:rsid w:val="00581C77"/>
    <w:rsid w:val="005B5E05"/>
    <w:rsid w:val="005C4694"/>
    <w:rsid w:val="006509E6"/>
    <w:rsid w:val="007061E6"/>
    <w:rsid w:val="007C69E6"/>
    <w:rsid w:val="00921DDF"/>
    <w:rsid w:val="009D5B85"/>
    <w:rsid w:val="00A66265"/>
    <w:rsid w:val="00AA05ED"/>
    <w:rsid w:val="00C37AA3"/>
    <w:rsid w:val="00CF3E39"/>
    <w:rsid w:val="00ED3006"/>
    <w:rsid w:val="00FF2A5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473F7"/>
  <w15:docId w15:val="{6BAEDA6C-2A8A-45B8-8AB9-74317926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A62"/>
    <w:pPr>
      <w:spacing w:after="160" w:line="259" w:lineRule="auto"/>
    </w:pPr>
    <w:rPr>
      <w:lang w:val="en-GB"/>
    </w:rPr>
  </w:style>
  <w:style w:type="paragraph" w:styleId="Heading1">
    <w:name w:val="heading 1"/>
    <w:basedOn w:val="Normal"/>
    <w:next w:val="Normal"/>
    <w:link w:val="Heading1Char"/>
    <w:uiPriority w:val="9"/>
    <w:qFormat/>
    <w:rsid w:val="00A64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3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3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433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43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433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433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433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2Char">
    <w:name w:val="List L2 Char"/>
    <w:basedOn w:val="DefaultParagraphFont"/>
    <w:link w:val="ListL2"/>
    <w:qFormat/>
    <w:rsid w:val="004E4A62"/>
  </w:style>
  <w:style w:type="character" w:customStyle="1" w:styleId="ListL3Char">
    <w:name w:val="List L3 Char"/>
    <w:basedOn w:val="ListL2Char"/>
    <w:link w:val="ListL3"/>
    <w:qFormat/>
    <w:rsid w:val="004E4A62"/>
  </w:style>
  <w:style w:type="character" w:customStyle="1" w:styleId="ListL4Char">
    <w:name w:val="List L4 Char"/>
    <w:basedOn w:val="ListL3Char"/>
    <w:link w:val="ListL4"/>
    <w:qFormat/>
    <w:rsid w:val="004E4A62"/>
  </w:style>
  <w:style w:type="character" w:customStyle="1" w:styleId="ListL5Char">
    <w:name w:val="List L5 Char"/>
    <w:basedOn w:val="ListL4Char"/>
    <w:link w:val="ListL5"/>
    <w:qFormat/>
    <w:rsid w:val="004E4A62"/>
  </w:style>
  <w:style w:type="character" w:customStyle="1" w:styleId="footnoteChar">
    <w:name w:val="footnote Char"/>
    <w:basedOn w:val="FootnoteTextChar"/>
    <w:link w:val="footnote"/>
    <w:qFormat/>
    <w:rsid w:val="004E4A62"/>
    <w:rPr>
      <w:sz w:val="20"/>
      <w:szCs w:val="20"/>
    </w:rPr>
  </w:style>
  <w:style w:type="character" w:customStyle="1" w:styleId="FootnoteTextChar">
    <w:name w:val="Footnote Text Char"/>
    <w:basedOn w:val="DefaultParagraphFont"/>
    <w:link w:val="FootnoteText"/>
    <w:uiPriority w:val="99"/>
    <w:semiHidden/>
    <w:qFormat/>
    <w:rsid w:val="004E4A62"/>
    <w:rPr>
      <w:sz w:val="20"/>
      <w:szCs w:val="20"/>
    </w:rPr>
  </w:style>
  <w:style w:type="character" w:customStyle="1" w:styleId="Heading1Char">
    <w:name w:val="Heading 1 Char"/>
    <w:basedOn w:val="DefaultParagraphFont"/>
    <w:link w:val="Heading1"/>
    <w:uiPriority w:val="9"/>
    <w:qFormat/>
    <w:rsid w:val="00A6433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qFormat/>
    <w:rsid w:val="00A6433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qFormat/>
    <w:rsid w:val="00A64337"/>
    <w:rPr>
      <w:rFonts w:asciiTheme="minorHAnsi" w:eastAsiaTheme="majorEastAsia" w:hAnsiTheme="minorHAnsi"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qFormat/>
    <w:rsid w:val="00A64337"/>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qFormat/>
    <w:rsid w:val="00A64337"/>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qFormat/>
    <w:rsid w:val="00A64337"/>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qFormat/>
    <w:rsid w:val="00A64337"/>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qFormat/>
    <w:rsid w:val="00A64337"/>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qFormat/>
    <w:rsid w:val="00A64337"/>
    <w:rPr>
      <w:rFonts w:asciiTheme="minorHAnsi" w:eastAsiaTheme="majorEastAsia" w:hAnsiTheme="minorHAnsi" w:cstheme="majorBidi"/>
      <w:color w:val="272727" w:themeColor="text1" w:themeTint="D8"/>
      <w:lang w:val="en-GB"/>
    </w:rPr>
  </w:style>
  <w:style w:type="character" w:customStyle="1" w:styleId="TitleChar">
    <w:name w:val="Title Char"/>
    <w:basedOn w:val="DefaultParagraphFont"/>
    <w:link w:val="Title"/>
    <w:uiPriority w:val="10"/>
    <w:qFormat/>
    <w:rsid w:val="00A64337"/>
    <w:rPr>
      <w:rFonts w:asciiTheme="majorHAnsi" w:eastAsiaTheme="majorEastAsia" w:hAnsiTheme="majorHAnsi" w:cstheme="majorBidi"/>
      <w:spacing w:val="-10"/>
      <w:kern w:val="2"/>
      <w:sz w:val="56"/>
      <w:szCs w:val="56"/>
      <w:lang w:val="en-GB"/>
    </w:rPr>
  </w:style>
  <w:style w:type="character" w:customStyle="1" w:styleId="SubtitleChar">
    <w:name w:val="Subtitle Char"/>
    <w:basedOn w:val="DefaultParagraphFont"/>
    <w:link w:val="Subtitle"/>
    <w:uiPriority w:val="11"/>
    <w:qFormat/>
    <w:rsid w:val="00A64337"/>
    <w:rPr>
      <w:rFonts w:asciiTheme="minorHAnsi" w:eastAsiaTheme="majorEastAsia" w:hAnsiTheme="minorHAnsi" w:cstheme="majorBidi"/>
      <w:color w:val="595959" w:themeColor="text1" w:themeTint="A6"/>
      <w:spacing w:val="15"/>
      <w:sz w:val="28"/>
      <w:szCs w:val="28"/>
      <w:lang w:val="en-GB"/>
    </w:rPr>
  </w:style>
  <w:style w:type="character" w:customStyle="1" w:styleId="QuoteChar">
    <w:name w:val="Quote Char"/>
    <w:basedOn w:val="DefaultParagraphFont"/>
    <w:link w:val="Quote"/>
    <w:uiPriority w:val="29"/>
    <w:qFormat/>
    <w:rsid w:val="00A64337"/>
    <w:rPr>
      <w:i/>
      <w:iCs/>
      <w:color w:val="404040" w:themeColor="text1" w:themeTint="BF"/>
      <w:lang w:val="en-GB"/>
    </w:rPr>
  </w:style>
  <w:style w:type="character" w:styleId="IntenseEmphasis">
    <w:name w:val="Intense Emphasis"/>
    <w:basedOn w:val="DefaultParagraphFont"/>
    <w:uiPriority w:val="21"/>
    <w:qFormat/>
    <w:rsid w:val="00A64337"/>
    <w:rPr>
      <w:i/>
      <w:iCs/>
      <w:color w:val="0F4761" w:themeColor="accent1" w:themeShade="BF"/>
    </w:rPr>
  </w:style>
  <w:style w:type="character" w:customStyle="1" w:styleId="IntenseQuoteChar">
    <w:name w:val="Intense Quote Char"/>
    <w:basedOn w:val="DefaultParagraphFont"/>
    <w:link w:val="IntenseQuote"/>
    <w:uiPriority w:val="30"/>
    <w:qFormat/>
    <w:rsid w:val="00A64337"/>
    <w:rPr>
      <w:i/>
      <w:iCs/>
      <w:color w:val="0F4761" w:themeColor="accent1" w:themeShade="BF"/>
      <w:lang w:val="en-GB"/>
    </w:rPr>
  </w:style>
  <w:style w:type="character" w:styleId="IntenseReference">
    <w:name w:val="Intense Reference"/>
    <w:basedOn w:val="DefaultParagraphFont"/>
    <w:uiPriority w:val="32"/>
    <w:qFormat/>
    <w:rsid w:val="00A64337"/>
    <w:rPr>
      <w:b/>
      <w:bCs/>
      <w:smallCaps/>
      <w:color w:val="0F4761" w:themeColor="accent1" w:themeShade="BF"/>
      <w:spacing w:val="5"/>
    </w:rPr>
  </w:style>
  <w:style w:type="character" w:customStyle="1" w:styleId="HeaderChar">
    <w:name w:val="Header Char"/>
    <w:basedOn w:val="DefaultParagraphFont"/>
    <w:link w:val="Header"/>
    <w:uiPriority w:val="99"/>
    <w:qFormat/>
    <w:rsid w:val="007E7ACD"/>
    <w:rPr>
      <w:lang w:val="en-GB"/>
    </w:rPr>
  </w:style>
  <w:style w:type="character" w:customStyle="1" w:styleId="FooterChar">
    <w:name w:val="Footer Char"/>
    <w:basedOn w:val="DefaultParagraphFont"/>
    <w:link w:val="Footer"/>
    <w:uiPriority w:val="99"/>
    <w:qFormat/>
    <w:rsid w:val="007E7ACD"/>
    <w:rPr>
      <w:lang w:val="en-GB"/>
    </w:rPr>
  </w:style>
  <w:style w:type="character" w:customStyle="1" w:styleId="FootnoteCharacters">
    <w:name w:val="Footnote Characters"/>
    <w:qFormat/>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ListL2">
    <w:name w:val="List L2"/>
    <w:basedOn w:val="ListParagraph"/>
    <w:link w:val="ListL2Char"/>
    <w:qFormat/>
    <w:rsid w:val="004E4A62"/>
    <w:pPr>
      <w:spacing w:after="120"/>
      <w:ind w:right="1152"/>
      <w:contextualSpacing w:val="0"/>
    </w:pPr>
  </w:style>
  <w:style w:type="paragraph" w:styleId="ListParagraph">
    <w:name w:val="List Paragraph"/>
    <w:basedOn w:val="Normal"/>
    <w:uiPriority w:val="34"/>
    <w:qFormat/>
    <w:rsid w:val="004E4A62"/>
    <w:pPr>
      <w:tabs>
        <w:tab w:val="num" w:pos="0"/>
      </w:tabs>
      <w:ind w:left="360" w:hanging="360"/>
      <w:contextualSpacing/>
    </w:pPr>
  </w:style>
  <w:style w:type="paragraph" w:customStyle="1" w:styleId="ListL3">
    <w:name w:val="List L3"/>
    <w:basedOn w:val="ListL2"/>
    <w:link w:val="ListL3Char"/>
    <w:qFormat/>
    <w:rsid w:val="004E4A62"/>
  </w:style>
  <w:style w:type="paragraph" w:customStyle="1" w:styleId="ListL4">
    <w:name w:val="List L4"/>
    <w:basedOn w:val="ListL3"/>
    <w:link w:val="ListL4Char"/>
    <w:qFormat/>
    <w:rsid w:val="004E4A62"/>
  </w:style>
  <w:style w:type="paragraph" w:customStyle="1" w:styleId="ListL5">
    <w:name w:val="List L5"/>
    <w:basedOn w:val="ListL4"/>
    <w:link w:val="ListL5Char"/>
    <w:qFormat/>
    <w:rsid w:val="004E4A62"/>
    <w:pPr>
      <w:numPr>
        <w:ilvl w:val="4"/>
        <w:numId w:val="1"/>
      </w:numPr>
      <w:ind w:left="3960" w:hanging="1152"/>
    </w:pPr>
  </w:style>
  <w:style w:type="paragraph" w:customStyle="1" w:styleId="footnote">
    <w:name w:val="footnote"/>
    <w:basedOn w:val="FootnoteText"/>
    <w:link w:val="footnoteChar"/>
    <w:qFormat/>
    <w:rsid w:val="004E4A62"/>
    <w:pPr>
      <w:ind w:left="187" w:hanging="187"/>
    </w:pPr>
  </w:style>
  <w:style w:type="paragraph" w:styleId="FootnoteText">
    <w:name w:val="footnote text"/>
    <w:basedOn w:val="Normal"/>
    <w:link w:val="FootnoteTextChar"/>
    <w:uiPriority w:val="99"/>
    <w:semiHidden/>
    <w:unhideWhenUsed/>
    <w:rsid w:val="004E4A62"/>
    <w:pPr>
      <w:spacing w:after="0" w:line="240" w:lineRule="auto"/>
    </w:pPr>
    <w:rPr>
      <w:sz w:val="20"/>
      <w:szCs w:val="20"/>
    </w:rPr>
  </w:style>
  <w:style w:type="paragraph" w:styleId="Title">
    <w:name w:val="Title"/>
    <w:basedOn w:val="Normal"/>
    <w:next w:val="Normal"/>
    <w:link w:val="TitleChar"/>
    <w:uiPriority w:val="10"/>
    <w:qFormat/>
    <w:rsid w:val="00A64337"/>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A6433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4337"/>
    <w:pPr>
      <w:spacing w:before="160"/>
      <w:jc w:val="center"/>
    </w:pPr>
    <w:rPr>
      <w:i/>
      <w:iCs/>
      <w:color w:val="404040" w:themeColor="text1" w:themeTint="BF"/>
    </w:rPr>
  </w:style>
  <w:style w:type="paragraph" w:styleId="IntenseQuote">
    <w:name w:val="Intense Quote"/>
    <w:basedOn w:val="Normal"/>
    <w:next w:val="Normal"/>
    <w:link w:val="IntenseQuoteChar"/>
    <w:uiPriority w:val="30"/>
    <w:qFormat/>
    <w:rsid w:val="00A64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E7ACD"/>
    <w:pPr>
      <w:tabs>
        <w:tab w:val="center" w:pos="4513"/>
        <w:tab w:val="right" w:pos="9026"/>
      </w:tabs>
      <w:spacing w:after="0" w:line="240" w:lineRule="auto"/>
    </w:pPr>
  </w:style>
  <w:style w:type="paragraph" w:styleId="Footer">
    <w:name w:val="footer"/>
    <w:basedOn w:val="Normal"/>
    <w:link w:val="FooterChar"/>
    <w:uiPriority w:val="99"/>
    <w:unhideWhenUsed/>
    <w:rsid w:val="007E7ACD"/>
    <w:pPr>
      <w:tabs>
        <w:tab w:val="center" w:pos="4513"/>
        <w:tab w:val="right" w:pos="9026"/>
      </w:tabs>
      <w:spacing w:after="0" w:line="240" w:lineRule="auto"/>
    </w:pPr>
  </w:style>
  <w:style w:type="numbering" w:customStyle="1" w:styleId="List-L2">
    <w:name w:val="List-L2"/>
    <w:uiPriority w:val="99"/>
    <w:qFormat/>
    <w:rsid w:val="00F43EAA"/>
  </w:style>
  <w:style w:type="table" w:styleId="TableGrid">
    <w:name w:val="Table Grid"/>
    <w:basedOn w:val="TableNormal"/>
    <w:uiPriority w:val="39"/>
    <w:rsid w:val="00A64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1096</Words>
  <Characters>6414</Characters>
  <Application>Microsoft Office Word</Application>
  <DocSecurity>0</DocSecurity>
  <Lines>278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Creamer</dc:creator>
  <dc:description/>
  <cp:lastModifiedBy>John Creamer</cp:lastModifiedBy>
  <cp:revision>2</cp:revision>
  <dcterms:created xsi:type="dcterms:W3CDTF">2025-12-08T23:02:00Z</dcterms:created>
  <dcterms:modified xsi:type="dcterms:W3CDTF">2025-12-08T23:02:00Z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625909e2-21c3-4b98-a5a9-a4d3a1c66791</vt:lpwstr>
  </property>
</Properties>
</file>