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6B60DF" w14:paraId="3A5E54EB" w14:textId="77777777" w:rsidTr="00DA0BC2">
        <w:trPr>
          <w:cantSplit/>
          <w:trHeight w:val="568"/>
        </w:trPr>
        <w:tc>
          <w:tcPr>
            <w:tcW w:w="1276" w:type="dxa"/>
            <w:tcBorders>
              <w:bottom w:val="single" w:sz="4" w:space="0" w:color="auto"/>
            </w:tcBorders>
            <w:shd w:val="clear" w:color="auto" w:fill="auto"/>
            <w:vAlign w:val="bottom"/>
          </w:tcPr>
          <w:p w14:paraId="6437BD28" w14:textId="77777777" w:rsidR="00E03A64" w:rsidRPr="006B60DF" w:rsidRDefault="00E03A64" w:rsidP="0041175A">
            <w:pPr>
              <w:spacing w:after="80"/>
            </w:pPr>
          </w:p>
        </w:tc>
        <w:tc>
          <w:tcPr>
            <w:tcW w:w="2268" w:type="dxa"/>
            <w:tcBorders>
              <w:bottom w:val="single" w:sz="4" w:space="0" w:color="auto"/>
            </w:tcBorders>
            <w:shd w:val="clear" w:color="auto" w:fill="auto"/>
            <w:vAlign w:val="bottom"/>
          </w:tcPr>
          <w:p w14:paraId="496081BF" w14:textId="77777777" w:rsidR="00E03A64" w:rsidRPr="006B60DF" w:rsidRDefault="00E03A64" w:rsidP="0041175A">
            <w:pPr>
              <w:spacing w:after="80" w:line="300" w:lineRule="exact"/>
              <w:rPr>
                <w:b/>
                <w:sz w:val="24"/>
                <w:szCs w:val="24"/>
              </w:rPr>
            </w:pPr>
            <w:r w:rsidRPr="006B60DF">
              <w:rPr>
                <w:sz w:val="28"/>
                <w:szCs w:val="28"/>
              </w:rPr>
              <w:t>United Nations</w:t>
            </w:r>
          </w:p>
        </w:tc>
        <w:tc>
          <w:tcPr>
            <w:tcW w:w="6095" w:type="dxa"/>
            <w:gridSpan w:val="2"/>
            <w:tcBorders>
              <w:bottom w:val="single" w:sz="4" w:space="0" w:color="auto"/>
            </w:tcBorders>
            <w:shd w:val="clear" w:color="auto" w:fill="auto"/>
            <w:vAlign w:val="bottom"/>
          </w:tcPr>
          <w:p w14:paraId="165E4A8A" w14:textId="12996A7D" w:rsidR="00E03A64" w:rsidRPr="006B60DF" w:rsidRDefault="00E03A64" w:rsidP="0000255E">
            <w:pPr>
              <w:jc w:val="right"/>
            </w:pPr>
            <w:r w:rsidRPr="006B60DF">
              <w:rPr>
                <w:sz w:val="40"/>
              </w:rPr>
              <w:t>ECE</w:t>
            </w:r>
            <w:r w:rsidRPr="006B60DF">
              <w:t>/TRANS/</w:t>
            </w:r>
            <w:r w:rsidR="001B5ABB" w:rsidRPr="006B60DF">
              <w:t>WP.29/</w:t>
            </w:r>
            <w:r w:rsidR="00636DD2" w:rsidRPr="006B60DF">
              <w:t>GRBP</w:t>
            </w:r>
            <w:r w:rsidR="00490B0A" w:rsidRPr="006B60DF">
              <w:t>/</w:t>
            </w:r>
            <w:r w:rsidR="006022F5">
              <w:t>2025</w:t>
            </w:r>
            <w:r w:rsidR="00490B0A" w:rsidRPr="006B60DF">
              <w:t>/</w:t>
            </w:r>
            <w:r w:rsidR="005E03AD">
              <w:t>20</w:t>
            </w:r>
          </w:p>
        </w:tc>
      </w:tr>
      <w:tr w:rsidR="00E03A64" w:rsidRPr="006B60DF"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6B60DF" w:rsidRDefault="004B6484" w:rsidP="0041175A">
            <w:pPr>
              <w:spacing w:before="120"/>
            </w:pPr>
            <w:r w:rsidRPr="006B60DF">
              <w:rPr>
                <w:noProof/>
                <w:lang w:eastAsia="en-GB"/>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6B60DF" w:rsidRDefault="00E03A64" w:rsidP="0041175A">
            <w:pPr>
              <w:spacing w:before="120" w:line="420" w:lineRule="exact"/>
              <w:rPr>
                <w:sz w:val="40"/>
                <w:szCs w:val="40"/>
              </w:rPr>
            </w:pPr>
            <w:r w:rsidRPr="006B60DF">
              <w:rPr>
                <w:b/>
                <w:sz w:val="40"/>
                <w:szCs w:val="40"/>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6B60DF" w:rsidRDefault="00E03A64" w:rsidP="0041175A">
            <w:pPr>
              <w:tabs>
                <w:tab w:val="right" w:pos="2835"/>
              </w:tabs>
              <w:spacing w:before="240" w:line="240" w:lineRule="exact"/>
            </w:pPr>
            <w:r w:rsidRPr="006B60DF">
              <w:t>Distr.: General</w:t>
            </w:r>
          </w:p>
          <w:p w14:paraId="111F9B4C" w14:textId="62D3C9AB" w:rsidR="00E03A64" w:rsidRPr="006B60DF" w:rsidRDefault="00111F1E" w:rsidP="0041175A">
            <w:pPr>
              <w:spacing w:line="240" w:lineRule="exact"/>
            </w:pPr>
            <w:r>
              <w:t>19</w:t>
            </w:r>
            <w:r w:rsidR="003B55ED">
              <w:t xml:space="preserve"> </w:t>
            </w:r>
            <w:r w:rsidR="00161B31">
              <w:t>June</w:t>
            </w:r>
            <w:r w:rsidR="003C2401" w:rsidRPr="006B60DF">
              <w:t xml:space="preserve"> </w:t>
            </w:r>
            <w:r w:rsidR="006A187B" w:rsidRPr="006B60DF">
              <w:t>202</w:t>
            </w:r>
            <w:r w:rsidR="006022F5">
              <w:t>5</w:t>
            </w:r>
          </w:p>
          <w:p w14:paraId="04957BD1" w14:textId="77777777" w:rsidR="00E03A64" w:rsidRPr="006B60DF" w:rsidRDefault="00E03A64" w:rsidP="0041175A">
            <w:pPr>
              <w:spacing w:line="240" w:lineRule="exact"/>
            </w:pPr>
          </w:p>
          <w:p w14:paraId="75BBC628" w14:textId="77777777" w:rsidR="00E03A64" w:rsidRPr="006B60DF" w:rsidRDefault="00E03A64" w:rsidP="0041175A">
            <w:pPr>
              <w:spacing w:line="240" w:lineRule="exact"/>
            </w:pPr>
            <w:r w:rsidRPr="006B60DF">
              <w:t>Original: English</w:t>
            </w:r>
          </w:p>
        </w:tc>
      </w:tr>
    </w:tbl>
    <w:p w14:paraId="0D6E44E9" w14:textId="77777777" w:rsidR="00BB1F39" w:rsidRPr="006B60DF" w:rsidRDefault="00E03A64" w:rsidP="00E03A64">
      <w:pPr>
        <w:spacing w:before="120"/>
        <w:rPr>
          <w:b/>
          <w:bCs/>
          <w:color w:val="000000"/>
          <w:sz w:val="28"/>
          <w:szCs w:val="28"/>
        </w:rPr>
      </w:pPr>
      <w:r w:rsidRPr="006B60DF">
        <w:rPr>
          <w:b/>
          <w:sz w:val="28"/>
          <w:szCs w:val="28"/>
        </w:rPr>
        <w:t>Economic</w:t>
      </w:r>
      <w:r w:rsidRPr="006B60DF">
        <w:rPr>
          <w:b/>
          <w:bCs/>
          <w:color w:val="000000"/>
          <w:sz w:val="28"/>
          <w:szCs w:val="28"/>
        </w:rPr>
        <w:t xml:space="preserve"> Commission for Europe </w:t>
      </w:r>
    </w:p>
    <w:p w14:paraId="5A565989" w14:textId="77777777" w:rsidR="00BB1F39" w:rsidRPr="006B60DF" w:rsidRDefault="00E03A64" w:rsidP="00E03A64">
      <w:pPr>
        <w:spacing w:before="120"/>
        <w:rPr>
          <w:color w:val="000000"/>
          <w:sz w:val="28"/>
          <w:szCs w:val="28"/>
        </w:rPr>
      </w:pPr>
      <w:r w:rsidRPr="006B60DF">
        <w:rPr>
          <w:sz w:val="28"/>
          <w:szCs w:val="28"/>
        </w:rPr>
        <w:t>Inland</w:t>
      </w:r>
      <w:r w:rsidRPr="006B60DF">
        <w:rPr>
          <w:color w:val="000000"/>
          <w:sz w:val="28"/>
          <w:szCs w:val="28"/>
        </w:rPr>
        <w:t xml:space="preserve"> Transport Committee </w:t>
      </w:r>
    </w:p>
    <w:p w14:paraId="3DB5D421" w14:textId="77777777" w:rsidR="00E03A64" w:rsidRPr="006B60DF" w:rsidRDefault="00E03A64" w:rsidP="00E03A64">
      <w:pPr>
        <w:spacing w:before="120"/>
        <w:rPr>
          <w:color w:val="FF0000"/>
          <w:sz w:val="22"/>
          <w:szCs w:val="22"/>
        </w:rPr>
      </w:pPr>
      <w:r w:rsidRPr="006B60DF">
        <w:rPr>
          <w:b/>
          <w:bCs/>
          <w:color w:val="000000"/>
          <w:sz w:val="24"/>
          <w:szCs w:val="24"/>
        </w:rPr>
        <w:t xml:space="preserve">World Forum for Harmonization of Vehicle Regulations </w:t>
      </w:r>
    </w:p>
    <w:p w14:paraId="0397DD65" w14:textId="6FDACA68" w:rsidR="00E03A64" w:rsidRPr="006B60DF" w:rsidRDefault="00E03A64" w:rsidP="008A1FD4">
      <w:pPr>
        <w:tabs>
          <w:tab w:val="left" w:pos="7256"/>
        </w:tabs>
        <w:spacing w:before="120" w:after="120"/>
        <w:rPr>
          <w:b/>
          <w:bCs/>
        </w:rPr>
      </w:pPr>
      <w:r w:rsidRPr="006B60DF">
        <w:rPr>
          <w:b/>
          <w:bCs/>
        </w:rPr>
        <w:t xml:space="preserve">Working Party on </w:t>
      </w:r>
      <w:r w:rsidR="00BB1F39" w:rsidRPr="006B60DF">
        <w:rPr>
          <w:b/>
          <w:bCs/>
        </w:rPr>
        <w:t>Noise and Tyres</w:t>
      </w:r>
      <w:r w:rsidR="008A1FD4" w:rsidRPr="006B60DF">
        <w:rPr>
          <w:b/>
          <w:bCs/>
        </w:rPr>
        <w:tab/>
      </w:r>
    </w:p>
    <w:p w14:paraId="74151247" w14:textId="04659008" w:rsidR="00904E96" w:rsidRPr="006B60DF" w:rsidRDefault="007251C6" w:rsidP="00904E96">
      <w:pPr>
        <w:rPr>
          <w:b/>
        </w:rPr>
      </w:pPr>
      <w:r>
        <w:rPr>
          <w:b/>
        </w:rPr>
        <w:t>Eight</w:t>
      </w:r>
      <w:r w:rsidR="0007399A">
        <w:rPr>
          <w:b/>
        </w:rPr>
        <w:t>y</w:t>
      </w:r>
      <w:r w:rsidR="000A3E1C">
        <w:rPr>
          <w:b/>
        </w:rPr>
        <w:t>-second</w:t>
      </w:r>
      <w:r>
        <w:rPr>
          <w:b/>
        </w:rPr>
        <w:t xml:space="preserve"> </w:t>
      </w:r>
      <w:r w:rsidR="00904E96" w:rsidRPr="006B60DF">
        <w:rPr>
          <w:b/>
        </w:rPr>
        <w:t xml:space="preserve">session </w:t>
      </w:r>
    </w:p>
    <w:p w14:paraId="676B1C89" w14:textId="0C3832D2" w:rsidR="00904E96" w:rsidRPr="006B60DF" w:rsidRDefault="00904E96" w:rsidP="00904E96">
      <w:pPr>
        <w:rPr>
          <w:bCs/>
        </w:rPr>
      </w:pPr>
      <w:r w:rsidRPr="006B60DF">
        <w:t>Geneva</w:t>
      </w:r>
      <w:r w:rsidRPr="006B60DF">
        <w:rPr>
          <w:bCs/>
        </w:rPr>
        <w:t xml:space="preserve">, </w:t>
      </w:r>
      <w:r w:rsidR="007B0170">
        <w:rPr>
          <w:bCs/>
        </w:rPr>
        <w:t>3</w:t>
      </w:r>
      <w:r w:rsidR="00DA0BC2" w:rsidRPr="006B60DF">
        <w:t>–</w:t>
      </w:r>
      <w:r w:rsidR="007B0170">
        <w:t>5</w:t>
      </w:r>
      <w:r w:rsidR="00DE54E3" w:rsidRPr="006B60DF">
        <w:rPr>
          <w:bCs/>
        </w:rPr>
        <w:t xml:space="preserve"> </w:t>
      </w:r>
      <w:r w:rsidR="00081396" w:rsidRPr="006B60DF">
        <w:rPr>
          <w:bCs/>
        </w:rPr>
        <w:t>September</w:t>
      </w:r>
      <w:r w:rsidR="004468FA" w:rsidRPr="006B60DF">
        <w:rPr>
          <w:bCs/>
        </w:rPr>
        <w:t xml:space="preserve"> 202</w:t>
      </w:r>
      <w:r w:rsidR="007B0170">
        <w:rPr>
          <w:bCs/>
        </w:rPr>
        <w:t>5</w:t>
      </w:r>
    </w:p>
    <w:p w14:paraId="13329F98" w14:textId="727A54FF" w:rsidR="00904E96" w:rsidRPr="006B60DF" w:rsidRDefault="00904E96" w:rsidP="00904E96">
      <w:pPr>
        <w:rPr>
          <w:bCs/>
        </w:rPr>
      </w:pPr>
      <w:r w:rsidRPr="006B60DF">
        <w:rPr>
          <w:bCs/>
        </w:rPr>
        <w:t>Item</w:t>
      </w:r>
      <w:r w:rsidR="006709C3" w:rsidRPr="006B60DF">
        <w:rPr>
          <w:bCs/>
        </w:rPr>
        <w:t xml:space="preserve"> </w:t>
      </w:r>
      <w:r w:rsidR="005E03AD">
        <w:rPr>
          <w:bCs/>
        </w:rPr>
        <w:t xml:space="preserve">3 </w:t>
      </w:r>
      <w:r w:rsidR="00490B0A" w:rsidRPr="006B60DF">
        <w:rPr>
          <w:bCs/>
        </w:rPr>
        <w:t>o</w:t>
      </w:r>
      <w:r w:rsidRPr="006B60DF">
        <w:rPr>
          <w:bCs/>
        </w:rPr>
        <w:t>f the provisional agenda</w:t>
      </w:r>
    </w:p>
    <w:p w14:paraId="18214C4F" w14:textId="528E5812" w:rsidR="00904E96" w:rsidRPr="006B60DF" w:rsidRDefault="00904E96" w:rsidP="00904E96">
      <w:pPr>
        <w:rPr>
          <w:b/>
          <w:bCs/>
        </w:rPr>
      </w:pPr>
      <w:r w:rsidRPr="006B60DF">
        <w:rPr>
          <w:b/>
          <w:bCs/>
        </w:rPr>
        <w:t xml:space="preserve">UN Regulation No. </w:t>
      </w:r>
      <w:r w:rsidR="007F65BF" w:rsidRPr="006B60DF">
        <w:rPr>
          <w:b/>
          <w:bCs/>
        </w:rPr>
        <w:t>5</w:t>
      </w:r>
      <w:r w:rsidRPr="006B60DF">
        <w:rPr>
          <w:b/>
          <w:bCs/>
        </w:rPr>
        <w:t xml:space="preserve">1 </w:t>
      </w:r>
      <w:r w:rsidR="007F65BF" w:rsidRPr="006B60DF">
        <w:rPr>
          <w:b/>
          <w:bCs/>
        </w:rPr>
        <w:t xml:space="preserve">(Noise of M and N </w:t>
      </w:r>
      <w:r w:rsidR="003B0457">
        <w:rPr>
          <w:b/>
          <w:bCs/>
        </w:rPr>
        <w:t>C</w:t>
      </w:r>
      <w:r w:rsidR="007F65BF" w:rsidRPr="006B60DF">
        <w:rPr>
          <w:b/>
          <w:bCs/>
        </w:rPr>
        <w:t xml:space="preserve">ategories of </w:t>
      </w:r>
      <w:r w:rsidR="003B0457">
        <w:rPr>
          <w:b/>
          <w:bCs/>
        </w:rPr>
        <w:t>V</w:t>
      </w:r>
      <w:r w:rsidR="007F65BF" w:rsidRPr="006B60DF">
        <w:rPr>
          <w:b/>
          <w:bCs/>
        </w:rPr>
        <w:t>ehicles)</w:t>
      </w:r>
    </w:p>
    <w:p w14:paraId="50792E1E" w14:textId="7C068168" w:rsidR="00904E96" w:rsidRPr="006B60DF" w:rsidRDefault="00904E96" w:rsidP="00904E96">
      <w:pPr>
        <w:keepNext/>
        <w:keepLines/>
        <w:tabs>
          <w:tab w:val="right" w:pos="851"/>
        </w:tabs>
        <w:spacing w:before="360" w:after="240" w:line="300" w:lineRule="exact"/>
        <w:ind w:left="1134" w:right="1134" w:hanging="1134"/>
        <w:rPr>
          <w:b/>
          <w:sz w:val="24"/>
          <w:szCs w:val="24"/>
        </w:rPr>
      </w:pPr>
      <w:r w:rsidRPr="006B60DF">
        <w:rPr>
          <w:b/>
          <w:sz w:val="28"/>
        </w:rPr>
        <w:tab/>
      </w:r>
      <w:r w:rsidRPr="006B60DF">
        <w:rPr>
          <w:b/>
          <w:sz w:val="28"/>
        </w:rPr>
        <w:tab/>
        <w:t xml:space="preserve">Proposal for </w:t>
      </w:r>
      <w:r w:rsidR="00C63678" w:rsidRPr="006B60DF">
        <w:rPr>
          <w:b/>
          <w:sz w:val="28"/>
        </w:rPr>
        <w:t xml:space="preserve">corrections </w:t>
      </w:r>
      <w:r w:rsidR="003E0C86" w:rsidRPr="006B60DF">
        <w:rPr>
          <w:b/>
          <w:sz w:val="28"/>
        </w:rPr>
        <w:t>to</w:t>
      </w:r>
      <w:r w:rsidR="00237068" w:rsidRPr="006B60DF">
        <w:rPr>
          <w:b/>
          <w:sz w:val="28"/>
        </w:rPr>
        <w:t xml:space="preserve"> the</w:t>
      </w:r>
      <w:r w:rsidRPr="006B60DF">
        <w:rPr>
          <w:b/>
          <w:sz w:val="28"/>
        </w:rPr>
        <w:t xml:space="preserve"> 0</w:t>
      </w:r>
      <w:r w:rsidR="007F65BF" w:rsidRPr="006B60DF">
        <w:rPr>
          <w:b/>
          <w:sz w:val="28"/>
        </w:rPr>
        <w:t>3</w:t>
      </w:r>
      <w:r w:rsidRPr="006B60DF">
        <w:rPr>
          <w:b/>
          <w:sz w:val="28"/>
        </w:rPr>
        <w:t xml:space="preserve"> series of amendments to UN Regulation No. </w:t>
      </w:r>
      <w:r w:rsidR="007F65BF" w:rsidRPr="006B60DF">
        <w:rPr>
          <w:b/>
          <w:sz w:val="28"/>
        </w:rPr>
        <w:t>51</w:t>
      </w:r>
    </w:p>
    <w:p w14:paraId="53EB104F" w14:textId="375D981C" w:rsidR="00904E96" w:rsidRPr="006B60DF" w:rsidRDefault="00904E96" w:rsidP="00904E96">
      <w:pPr>
        <w:keepNext/>
        <w:keepLines/>
        <w:tabs>
          <w:tab w:val="right" w:pos="851"/>
        </w:tabs>
        <w:spacing w:before="360" w:after="240" w:line="270" w:lineRule="exact"/>
        <w:ind w:left="1134" w:right="1134" w:hanging="1134"/>
        <w:rPr>
          <w:b/>
          <w:sz w:val="24"/>
        </w:rPr>
      </w:pPr>
      <w:r w:rsidRPr="006B60DF">
        <w:rPr>
          <w:b/>
          <w:sz w:val="24"/>
        </w:rPr>
        <w:tab/>
      </w:r>
      <w:r w:rsidRPr="006B60DF">
        <w:rPr>
          <w:b/>
          <w:sz w:val="24"/>
        </w:rPr>
        <w:tab/>
        <w:t xml:space="preserve">Submitted by </w:t>
      </w:r>
      <w:r w:rsidR="00081396" w:rsidRPr="006B60DF">
        <w:rPr>
          <w:b/>
          <w:sz w:val="24"/>
        </w:rPr>
        <w:t xml:space="preserve">the experts </w:t>
      </w:r>
      <w:r w:rsidR="00081396" w:rsidRPr="006B60DF">
        <w:rPr>
          <w:rFonts w:hint="eastAsia"/>
          <w:b/>
          <w:sz w:val="24"/>
        </w:rPr>
        <w:t>from</w:t>
      </w:r>
      <w:r w:rsidR="00081396" w:rsidRPr="006B60DF">
        <w:rPr>
          <w:b/>
          <w:sz w:val="24"/>
        </w:rPr>
        <w:t xml:space="preserve"> the International Organization of Motor Vehicle Manufacturers</w:t>
      </w:r>
      <w:r w:rsidR="001D4B3B">
        <w:footnoteReference w:customMarkFollows="1" w:id="2"/>
        <w:t>*</w:t>
      </w:r>
      <w:r w:rsidR="009D22A9" w:rsidRPr="006B60DF">
        <w:rPr>
          <w:b/>
          <w:sz w:val="24"/>
        </w:rPr>
        <w:t xml:space="preserve"> </w:t>
      </w:r>
      <w:r w:rsidR="007B6868" w:rsidRPr="006B60DF">
        <w:rPr>
          <w:b/>
          <w:sz w:val="24"/>
        </w:rPr>
        <w:t xml:space="preserve"> </w:t>
      </w:r>
    </w:p>
    <w:p w14:paraId="2FAAB0BC" w14:textId="22C79FA8" w:rsidR="00A61319" w:rsidRPr="006B60DF" w:rsidRDefault="007251C6" w:rsidP="0006319F">
      <w:pPr>
        <w:pStyle w:val="SingleTxtG"/>
        <w:spacing w:before="240" w:after="0"/>
      </w:pPr>
      <w:r>
        <w:tab/>
      </w:r>
      <w:r>
        <w:tab/>
      </w:r>
      <w:r w:rsidR="00B74EF6" w:rsidRPr="00B74EF6">
        <w:t>The text reproduced below was prepared by the experts from the International Organization of Motor Vehicle Manufacturers (OICA) with the aim to bring clarifications to UN Regulation No. 51. The proposed changes are based on the 03 series of amendment to UN Regulation No. 51, up to Supplement 10. The modifications are marked in bold for new or strikethrough for deleted characters</w:t>
      </w:r>
      <w:r w:rsidR="00A61319" w:rsidRPr="006B60DF">
        <w:t>.</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7F0E57F8" w14:textId="77777777" w:rsidR="00805445" w:rsidRPr="006B60DF" w:rsidRDefault="00805445" w:rsidP="00E03A64">
      <w:pPr>
        <w:rPr>
          <w:bCs/>
        </w:rPr>
      </w:pPr>
    </w:p>
    <w:p w14:paraId="6451C1B3" w14:textId="77777777" w:rsidR="00240D36" w:rsidRPr="006B60DF" w:rsidRDefault="00240D36" w:rsidP="006A187B">
      <w:pPr>
        <w:keepNext/>
        <w:keepLines/>
        <w:tabs>
          <w:tab w:val="right" w:pos="851"/>
          <w:tab w:val="left" w:pos="8505"/>
        </w:tabs>
        <w:spacing w:before="360" w:after="240" w:line="300" w:lineRule="exact"/>
        <w:ind w:left="1134" w:right="1134" w:firstLine="567"/>
        <w:sectPr w:rsidR="00240D36" w:rsidRPr="006B60DF" w:rsidSect="006709C3">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pPr>
    </w:p>
    <w:p w14:paraId="2F80CC91" w14:textId="7FB41E5F" w:rsidR="00A319C7" w:rsidRPr="006B60DF" w:rsidRDefault="000D6583" w:rsidP="000D6583">
      <w:pPr>
        <w:keepNext/>
        <w:keepLines/>
        <w:tabs>
          <w:tab w:val="right" w:pos="851"/>
        </w:tabs>
        <w:spacing w:before="360" w:after="240" w:line="300" w:lineRule="exact"/>
        <w:ind w:left="1134" w:right="1134" w:hanging="459"/>
        <w:rPr>
          <w:b/>
          <w:bCs/>
          <w:sz w:val="28"/>
          <w:szCs w:val="28"/>
        </w:rPr>
      </w:pPr>
      <w:r w:rsidRPr="006B60DF">
        <w:rPr>
          <w:b/>
          <w:bCs/>
          <w:sz w:val="28"/>
          <w:szCs w:val="28"/>
        </w:rPr>
        <w:lastRenderedPageBreak/>
        <w:t>I.</w:t>
      </w:r>
      <w:r w:rsidRPr="006B60DF">
        <w:rPr>
          <w:b/>
          <w:bCs/>
          <w:sz w:val="28"/>
          <w:szCs w:val="28"/>
        </w:rPr>
        <w:tab/>
      </w:r>
      <w:r w:rsidR="00A319C7" w:rsidRPr="006B60DF">
        <w:rPr>
          <w:b/>
          <w:bCs/>
          <w:sz w:val="28"/>
          <w:szCs w:val="28"/>
        </w:rPr>
        <w:t>Proposal</w:t>
      </w:r>
    </w:p>
    <w:p w14:paraId="3BBD2A8D" w14:textId="3E819BF6" w:rsidR="00DD1BD9" w:rsidRPr="00776DC3" w:rsidRDefault="00DD1BD9" w:rsidP="00DD1BD9">
      <w:pPr>
        <w:tabs>
          <w:tab w:val="left" w:pos="2268"/>
          <w:tab w:val="left" w:pos="8505"/>
        </w:tabs>
        <w:spacing w:after="120"/>
        <w:ind w:left="2268" w:right="1134" w:hanging="1134"/>
        <w:jc w:val="both"/>
        <w:rPr>
          <w:i/>
        </w:rPr>
      </w:pPr>
      <w:r w:rsidRPr="00776DC3">
        <w:rPr>
          <w:i/>
        </w:rPr>
        <w:t>Paragraph</w:t>
      </w:r>
      <w:r w:rsidR="00E43DB0">
        <w:rPr>
          <w:i/>
        </w:rPr>
        <w:t>s</w:t>
      </w:r>
      <w:r w:rsidRPr="00776DC3">
        <w:rPr>
          <w:i/>
        </w:rPr>
        <w:t xml:space="preserve"> </w:t>
      </w:r>
      <w:r w:rsidR="00E220F9">
        <w:rPr>
          <w:i/>
        </w:rPr>
        <w:t>2.8</w:t>
      </w:r>
      <w:r w:rsidRPr="00776DC3">
        <w:rPr>
          <w:i/>
        </w:rPr>
        <w:t>.</w:t>
      </w:r>
      <w:r w:rsidR="00E43DB0">
        <w:rPr>
          <w:i/>
        </w:rPr>
        <w:t xml:space="preserve"> to 2.8.3.</w:t>
      </w:r>
      <w:r w:rsidRPr="00776DC3">
        <w:rPr>
          <w:i/>
        </w:rPr>
        <w:t xml:space="preserve">, </w:t>
      </w:r>
      <w:r w:rsidRPr="00776DC3">
        <w:rPr>
          <w:iCs/>
        </w:rPr>
        <w:t xml:space="preserve">amend to read: </w:t>
      </w:r>
    </w:p>
    <w:p w14:paraId="64065CF9" w14:textId="1A268745" w:rsidR="00D90635" w:rsidRPr="00D90635" w:rsidRDefault="005B0AEF" w:rsidP="00D90635">
      <w:pPr>
        <w:tabs>
          <w:tab w:val="left" w:pos="2268"/>
          <w:tab w:val="left" w:pos="8505"/>
        </w:tabs>
        <w:spacing w:after="120"/>
        <w:ind w:left="2268" w:right="1134" w:hanging="1134"/>
        <w:jc w:val="both"/>
        <w:rPr>
          <w:iCs/>
        </w:rPr>
      </w:pPr>
      <w:r w:rsidRPr="00776DC3">
        <w:t>"</w:t>
      </w:r>
      <w:r w:rsidR="00D90635" w:rsidRPr="00D90635">
        <w:rPr>
          <w:iCs/>
          <w:lang w:val="en-US"/>
        </w:rPr>
        <w:t>2.8.</w:t>
      </w:r>
      <w:r w:rsidR="00D90635" w:rsidRPr="00D90635">
        <w:rPr>
          <w:iCs/>
          <w:lang w:val="en-US"/>
        </w:rPr>
        <w:tab/>
      </w:r>
      <w:r w:rsidR="004F12D3">
        <w:rPr>
          <w:iCs/>
          <w:lang w:val="en-US"/>
        </w:rPr>
        <w:t>“</w:t>
      </w:r>
      <w:r w:rsidR="00D90635" w:rsidRPr="00D90635">
        <w:rPr>
          <w:iCs/>
          <w:lang w:val="en-US"/>
        </w:rPr>
        <w:t xml:space="preserve">Maximum net power, </w:t>
      </w:r>
      <w:proofErr w:type="spellStart"/>
      <w:r w:rsidR="00D90635" w:rsidRPr="00D90635">
        <w:rPr>
          <w:iCs/>
          <w:lang w:val="en-US"/>
        </w:rPr>
        <w:t>P</w:t>
      </w:r>
      <w:r w:rsidR="00D90635" w:rsidRPr="00D12F99">
        <w:rPr>
          <w:iCs/>
          <w:vertAlign w:val="subscript"/>
          <w:lang w:val="en-US"/>
        </w:rPr>
        <w:t>n</w:t>
      </w:r>
      <w:proofErr w:type="spellEnd"/>
      <w:r w:rsidR="00D90635" w:rsidRPr="00D90635">
        <w:rPr>
          <w:iCs/>
          <w:lang w:val="en-US"/>
        </w:rPr>
        <w:t xml:space="preserve">" means the declared engine power available for propulsion expressed in kW and measured dependent on the drive train concepts pursuant to UN Regulation No. 85 or UN </w:t>
      </w:r>
      <w:r w:rsidR="00D90635" w:rsidRPr="00D90635">
        <w:rPr>
          <w:iCs/>
          <w:strike/>
          <w:lang w:val="en-US"/>
        </w:rPr>
        <w:t>GTR No. 21</w:t>
      </w:r>
      <w:r w:rsidR="004F12D3">
        <w:rPr>
          <w:iCs/>
          <w:lang w:val="en-US"/>
        </w:rPr>
        <w:t xml:space="preserve"> </w:t>
      </w:r>
      <w:r w:rsidR="004F12D3" w:rsidRPr="00496C6D">
        <w:rPr>
          <w:b/>
          <w:bCs/>
          <w:iCs/>
          <w:lang w:val="en-US"/>
        </w:rPr>
        <w:t>Regulation N</w:t>
      </w:r>
      <w:r w:rsidR="00496C6D" w:rsidRPr="00496C6D">
        <w:rPr>
          <w:b/>
          <w:bCs/>
          <w:iCs/>
          <w:lang w:val="en-US"/>
        </w:rPr>
        <w:t>o. 177</w:t>
      </w:r>
      <w:r w:rsidR="00D90635" w:rsidRPr="00D90635">
        <w:rPr>
          <w:b/>
          <w:bCs/>
          <w:iCs/>
          <w:lang w:val="en-US"/>
        </w:rPr>
        <w:t>.</w:t>
      </w:r>
    </w:p>
    <w:p w14:paraId="7CA3B283" w14:textId="6E68B764" w:rsidR="00DF44D1" w:rsidRDefault="00D90635" w:rsidP="00DF44D1">
      <w:pPr>
        <w:tabs>
          <w:tab w:val="left" w:pos="2268"/>
          <w:tab w:val="left" w:pos="8505"/>
        </w:tabs>
        <w:spacing w:after="120"/>
        <w:ind w:left="2268" w:right="1134" w:hanging="1134"/>
        <w:jc w:val="both"/>
      </w:pPr>
      <w:r w:rsidRPr="00D90635">
        <w:rPr>
          <w:iCs/>
        </w:rPr>
        <w:tab/>
      </w:r>
      <w:r w:rsidRPr="00D90635">
        <w:rPr>
          <w:bCs/>
          <w:iCs/>
        </w:rPr>
        <w:t>Applicable power sources are those which provide drive power for forward motion to the vehicle.</w:t>
      </w:r>
      <w:r w:rsidR="00DF44D1" w:rsidRPr="00DF44D1">
        <w:t xml:space="preserve"> </w:t>
      </w:r>
    </w:p>
    <w:p w14:paraId="5922529A" w14:textId="77777777" w:rsidR="00A11EB4" w:rsidRDefault="00DF44D1" w:rsidP="00DF44D1">
      <w:pPr>
        <w:tabs>
          <w:tab w:val="left" w:pos="2268"/>
          <w:tab w:val="left" w:pos="8505"/>
        </w:tabs>
        <w:spacing w:after="120"/>
        <w:ind w:left="2268" w:right="1134" w:hanging="1134"/>
        <w:jc w:val="both"/>
        <w:rPr>
          <w:bCs/>
          <w:iCs/>
        </w:rPr>
      </w:pPr>
      <w:r w:rsidRPr="00DF44D1">
        <w:rPr>
          <w:bCs/>
          <w:iCs/>
        </w:rPr>
        <w:t>2.8.1.</w:t>
      </w:r>
      <w:r w:rsidRPr="00DF44D1">
        <w:rPr>
          <w:bCs/>
          <w:iCs/>
        </w:rPr>
        <w:tab/>
        <w:t>For vehicles with combustion engine(s) only (ICE)</w:t>
      </w:r>
    </w:p>
    <w:p w14:paraId="5EF90CB0" w14:textId="14C7B5C4" w:rsidR="00DF44D1" w:rsidRPr="00DF44D1" w:rsidRDefault="00A11EB4" w:rsidP="00DF44D1">
      <w:pPr>
        <w:tabs>
          <w:tab w:val="left" w:pos="2268"/>
          <w:tab w:val="left" w:pos="8505"/>
        </w:tabs>
        <w:spacing w:after="120"/>
        <w:ind w:left="2268" w:right="1134" w:hanging="1134"/>
        <w:jc w:val="both"/>
        <w:rPr>
          <w:bCs/>
          <w:iCs/>
        </w:rPr>
      </w:pPr>
      <w:r>
        <w:rPr>
          <w:bCs/>
          <w:iCs/>
        </w:rPr>
        <w:tab/>
      </w:r>
      <w:r w:rsidR="00DF44D1" w:rsidRPr="00DF44D1">
        <w:rPr>
          <w:bCs/>
          <w:iCs/>
        </w:rPr>
        <w:t xml:space="preserve">The maximum engine power is the net power </w:t>
      </w:r>
      <w:proofErr w:type="spellStart"/>
      <w:r w:rsidR="00DF44D1" w:rsidRPr="00DF44D1">
        <w:rPr>
          <w:bCs/>
          <w:iCs/>
        </w:rPr>
        <w:t>P</w:t>
      </w:r>
      <w:r w:rsidR="00DF44D1" w:rsidRPr="00DF44D1">
        <w:rPr>
          <w:bCs/>
          <w:iCs/>
          <w:vertAlign w:val="subscript"/>
        </w:rPr>
        <w:t>n</w:t>
      </w:r>
      <w:proofErr w:type="spellEnd"/>
      <w:r w:rsidR="00DF44D1" w:rsidRPr="00DF44D1">
        <w:rPr>
          <w:bCs/>
          <w:iCs/>
        </w:rPr>
        <w:t xml:space="preserve"> of the combustion engine(s) measured at full engine load pursuant to UN Regulation No.85 paragraph 5.2.</w:t>
      </w:r>
    </w:p>
    <w:p w14:paraId="1368A1B1" w14:textId="77777777" w:rsidR="00DF44D1" w:rsidRPr="00DF44D1" w:rsidRDefault="00DF44D1" w:rsidP="00DF44D1">
      <w:pPr>
        <w:tabs>
          <w:tab w:val="left" w:pos="2268"/>
          <w:tab w:val="left" w:pos="8505"/>
        </w:tabs>
        <w:spacing w:after="120"/>
        <w:ind w:left="2268" w:right="1134" w:hanging="1134"/>
        <w:jc w:val="both"/>
        <w:rPr>
          <w:bCs/>
          <w:iCs/>
        </w:rPr>
      </w:pPr>
      <w:r w:rsidRPr="00DF44D1">
        <w:rPr>
          <w:bCs/>
          <w:iCs/>
        </w:rPr>
        <w:t>2.8.2.</w:t>
      </w:r>
      <w:r w:rsidRPr="00DF44D1">
        <w:rPr>
          <w:bCs/>
          <w:iCs/>
        </w:rPr>
        <w:tab/>
        <w:t>For battery electric vehicles (BEV) or fuel cell electric vehicle (FCEV) that have only one propulsion energy converter</w:t>
      </w:r>
    </w:p>
    <w:p w14:paraId="300FD067" w14:textId="4C94CF2F" w:rsidR="00DF44D1" w:rsidRPr="00DF44D1" w:rsidRDefault="00A11EB4" w:rsidP="00DF44D1">
      <w:pPr>
        <w:tabs>
          <w:tab w:val="left" w:pos="2268"/>
          <w:tab w:val="left" w:pos="8505"/>
        </w:tabs>
        <w:spacing w:after="120"/>
        <w:ind w:left="2268" w:right="1134" w:hanging="1134"/>
        <w:jc w:val="both"/>
        <w:rPr>
          <w:bCs/>
          <w:iCs/>
        </w:rPr>
      </w:pPr>
      <w:r>
        <w:rPr>
          <w:bCs/>
          <w:iCs/>
        </w:rPr>
        <w:tab/>
      </w:r>
      <w:r w:rsidR="00DF44D1" w:rsidRPr="00DF44D1">
        <w:rPr>
          <w:bCs/>
          <w:iCs/>
        </w:rPr>
        <w:t xml:space="preserve">The net power </w:t>
      </w:r>
      <w:proofErr w:type="spellStart"/>
      <w:r w:rsidR="00DF44D1" w:rsidRPr="00DF44D1">
        <w:rPr>
          <w:bCs/>
          <w:iCs/>
        </w:rPr>
        <w:t>P</w:t>
      </w:r>
      <w:r w:rsidR="00DF44D1" w:rsidRPr="00DF44D1">
        <w:rPr>
          <w:bCs/>
          <w:iCs/>
          <w:vertAlign w:val="subscript"/>
        </w:rPr>
        <w:t>n</w:t>
      </w:r>
      <w:proofErr w:type="spellEnd"/>
      <w:r w:rsidR="00DF44D1" w:rsidRPr="00DF44D1">
        <w:rPr>
          <w:bCs/>
          <w:iCs/>
        </w:rPr>
        <w:t xml:space="preserve"> of the electric motor of the electric drive train is determined pursuant to UN Regulation No.85 paragraph 5.3.</w:t>
      </w:r>
    </w:p>
    <w:p w14:paraId="69BAD5BC" w14:textId="77777777" w:rsidR="00DF44D1" w:rsidRPr="00DF44D1" w:rsidRDefault="00DF44D1" w:rsidP="00DF44D1">
      <w:pPr>
        <w:tabs>
          <w:tab w:val="left" w:pos="2268"/>
          <w:tab w:val="left" w:pos="8505"/>
        </w:tabs>
        <w:spacing w:after="120"/>
        <w:ind w:left="2268" w:right="1134" w:hanging="1134"/>
        <w:jc w:val="both"/>
        <w:rPr>
          <w:bCs/>
          <w:iCs/>
        </w:rPr>
      </w:pPr>
      <w:r w:rsidRPr="00DF44D1">
        <w:rPr>
          <w:bCs/>
          <w:iCs/>
        </w:rPr>
        <w:t>2.8.3.</w:t>
      </w:r>
      <w:r w:rsidRPr="00DF44D1">
        <w:rPr>
          <w:bCs/>
          <w:iCs/>
        </w:rPr>
        <w:tab/>
        <w:t>For hybrid electric vehicles (HEV), or pure electric vehicles that have more than one propulsion energy converter</w:t>
      </w:r>
      <w:r w:rsidRPr="00DF44D1">
        <w:rPr>
          <w:rFonts w:ascii="MS Mincho" w:eastAsia="MS Mincho" w:hAnsi="MS Mincho" w:cs="MS Mincho" w:hint="eastAsia"/>
          <w:bCs/>
          <w:iCs/>
        </w:rPr>
        <w:t xml:space="preserve">　</w:t>
      </w:r>
      <w:r w:rsidRPr="00DF44D1">
        <w:rPr>
          <w:bCs/>
          <w:iCs/>
        </w:rPr>
        <w:t xml:space="preserve"> </w:t>
      </w:r>
    </w:p>
    <w:p w14:paraId="10D44DE6" w14:textId="7FC11699" w:rsidR="00DD1BD9" w:rsidRDefault="00A11EB4" w:rsidP="00576D7C">
      <w:pPr>
        <w:tabs>
          <w:tab w:val="left" w:pos="2268"/>
          <w:tab w:val="left" w:pos="8505"/>
        </w:tabs>
        <w:spacing w:after="120"/>
        <w:ind w:left="2268" w:right="1134" w:hanging="1134"/>
        <w:jc w:val="both"/>
        <w:rPr>
          <w:i/>
        </w:rPr>
      </w:pPr>
      <w:r>
        <w:rPr>
          <w:bCs/>
          <w:iCs/>
        </w:rPr>
        <w:tab/>
      </w:r>
      <w:r w:rsidR="00DF44D1" w:rsidRPr="00DF44D1">
        <w:rPr>
          <w:bCs/>
          <w:iCs/>
        </w:rPr>
        <w:t xml:space="preserve">The maximum engine power is the "vehicle system power rating" according to the arithmetic sum of parallel propulsive engines on the vehicle or </w:t>
      </w:r>
      <w:r w:rsidR="00E0622D" w:rsidRPr="00E0622D">
        <w:rPr>
          <w:b/>
          <w:iCs/>
        </w:rPr>
        <w:t>the</w:t>
      </w:r>
      <w:r w:rsidR="00E0622D">
        <w:rPr>
          <w:bCs/>
          <w:iCs/>
        </w:rPr>
        <w:t xml:space="preserve"> </w:t>
      </w:r>
      <w:r w:rsidR="00DF44D1" w:rsidRPr="00DF44D1">
        <w:rPr>
          <w:bCs/>
          <w:iCs/>
          <w:strike/>
        </w:rPr>
        <w:t>GTR 21, paragraph 6.9.1.(b)</w:t>
      </w:r>
      <w:r w:rsidR="00DF44D1" w:rsidRPr="00DF44D1">
        <w:rPr>
          <w:bCs/>
          <w:iCs/>
        </w:rPr>
        <w:t xml:space="preserve"> “sustained vehicle system power</w:t>
      </w:r>
      <w:r w:rsidR="00E0622D">
        <w:rPr>
          <w:bCs/>
          <w:iCs/>
        </w:rPr>
        <w:t xml:space="preserve">” </w:t>
      </w:r>
      <w:r w:rsidR="00E0622D" w:rsidRPr="00435F19">
        <w:rPr>
          <w:b/>
          <w:iCs/>
        </w:rPr>
        <w:t xml:space="preserve">according to UN Regulation </w:t>
      </w:r>
      <w:r w:rsidR="00435F19" w:rsidRPr="00435F19">
        <w:rPr>
          <w:b/>
          <w:iCs/>
        </w:rPr>
        <w:t>No. 177</w:t>
      </w:r>
      <w:r w:rsidR="006A717B">
        <w:rPr>
          <w:b/>
          <w:iCs/>
        </w:rPr>
        <w:t xml:space="preserve">, paragraph </w:t>
      </w:r>
      <w:r w:rsidR="00260DB4">
        <w:rPr>
          <w:b/>
          <w:iCs/>
        </w:rPr>
        <w:t>8.9.1</w:t>
      </w:r>
      <w:r w:rsidR="005B0AEF">
        <w:rPr>
          <w:b/>
          <w:iCs/>
        </w:rPr>
        <w:t>.</w:t>
      </w:r>
      <w:r w:rsidR="00260DB4">
        <w:rPr>
          <w:b/>
          <w:iCs/>
        </w:rPr>
        <w:t>(b)</w:t>
      </w:r>
      <w:r w:rsidR="00DF44D1" w:rsidRPr="00DF44D1">
        <w:rPr>
          <w:bCs/>
          <w:iCs/>
        </w:rPr>
        <w:t>.</w:t>
      </w:r>
      <w:r w:rsidR="005B0AEF" w:rsidRPr="00776DC3">
        <w:t>"</w:t>
      </w:r>
    </w:p>
    <w:p w14:paraId="6D561140" w14:textId="0D48F3DA" w:rsidR="00195B84" w:rsidRPr="006B60DF" w:rsidRDefault="00195B84" w:rsidP="00576D7C">
      <w:pPr>
        <w:tabs>
          <w:tab w:val="left" w:pos="2268"/>
          <w:tab w:val="left" w:pos="8505"/>
        </w:tabs>
        <w:spacing w:after="120"/>
        <w:ind w:left="2268" w:right="1134" w:hanging="1134"/>
        <w:jc w:val="both"/>
      </w:pPr>
      <w:r w:rsidRPr="006B60DF">
        <w:rPr>
          <w:i/>
        </w:rPr>
        <w:t>Add</w:t>
      </w:r>
      <w:r w:rsidR="00D8092E">
        <w:rPr>
          <w:i/>
        </w:rPr>
        <w:t xml:space="preserve"> </w:t>
      </w:r>
      <w:r w:rsidRPr="006B60DF">
        <w:rPr>
          <w:i/>
        </w:rPr>
        <w:t>new paragraph</w:t>
      </w:r>
      <w:r w:rsidR="00256EEF">
        <w:rPr>
          <w:i/>
        </w:rPr>
        <w:t>s</w:t>
      </w:r>
      <w:r w:rsidRPr="006B60DF">
        <w:rPr>
          <w:i/>
        </w:rPr>
        <w:t xml:space="preserve"> </w:t>
      </w:r>
      <w:r w:rsidR="00156103">
        <w:rPr>
          <w:i/>
        </w:rPr>
        <w:t>11.17</w:t>
      </w:r>
      <w:r w:rsidR="00256EEF">
        <w:rPr>
          <w:i/>
        </w:rPr>
        <w:t>. and 11.18</w:t>
      </w:r>
      <w:r w:rsidRPr="006B60DF">
        <w:rPr>
          <w:i/>
        </w:rPr>
        <w:t>.</w:t>
      </w:r>
      <w:r w:rsidR="00E43DB0">
        <w:rPr>
          <w:i/>
        </w:rPr>
        <w:t>,</w:t>
      </w:r>
      <w:r w:rsidRPr="006B60DF">
        <w:t xml:space="preserve"> to read: </w:t>
      </w:r>
    </w:p>
    <w:p w14:paraId="3C66F151" w14:textId="451606A8" w:rsidR="00292864" w:rsidRDefault="00292864" w:rsidP="00576D7C">
      <w:pPr>
        <w:tabs>
          <w:tab w:val="left" w:pos="2268"/>
          <w:tab w:val="left" w:pos="8505"/>
        </w:tabs>
        <w:spacing w:after="120"/>
        <w:ind w:left="2268" w:right="1134" w:hanging="1134"/>
        <w:jc w:val="both"/>
        <w:rPr>
          <w:b/>
          <w:bCs/>
        </w:rPr>
      </w:pPr>
      <w:r w:rsidRPr="00292864">
        <w:rPr>
          <w:b/>
          <w:bCs/>
        </w:rPr>
        <w:t xml:space="preserve">"11.17. </w:t>
      </w:r>
      <w:r w:rsidRPr="00292864">
        <w:rPr>
          <w:b/>
          <w:bCs/>
        </w:rPr>
        <w:tab/>
        <w:t xml:space="preserve">Supplement 10 does not apply to existing type </w:t>
      </w:r>
      <w:r w:rsidRPr="00ED2999">
        <w:rPr>
          <w:b/>
          <w:bCs/>
        </w:rPr>
        <w:t xml:space="preserve">approvals and their extensions, granted prior to the date of entry into force of Supplement </w:t>
      </w:r>
      <w:r w:rsidR="00881A7B" w:rsidRPr="00ED2999">
        <w:rPr>
          <w:b/>
          <w:bCs/>
        </w:rPr>
        <w:t>10</w:t>
      </w:r>
      <w:r w:rsidRPr="00ED2999">
        <w:rPr>
          <w:b/>
          <w:bCs/>
        </w:rPr>
        <w:t>.</w:t>
      </w:r>
      <w:r w:rsidRPr="00292864">
        <w:rPr>
          <w:b/>
          <w:bCs/>
        </w:rPr>
        <w:t xml:space="preserve"> </w:t>
      </w:r>
    </w:p>
    <w:p w14:paraId="5B6A87F2" w14:textId="301EE818" w:rsidR="008E0BAE" w:rsidRPr="008E0BAE" w:rsidRDefault="008E0BAE" w:rsidP="008E0BAE">
      <w:pPr>
        <w:tabs>
          <w:tab w:val="left" w:pos="2268"/>
          <w:tab w:val="left" w:pos="8505"/>
        </w:tabs>
        <w:spacing w:after="120"/>
        <w:ind w:left="2268" w:right="1134" w:hanging="1134"/>
        <w:jc w:val="both"/>
        <w:rPr>
          <w:b/>
          <w:bCs/>
        </w:rPr>
      </w:pPr>
      <w:r w:rsidRPr="008E0BAE">
        <w:rPr>
          <w:b/>
          <w:bCs/>
        </w:rPr>
        <w:t xml:space="preserve">11.18. </w:t>
      </w:r>
      <w:r w:rsidRPr="008E0BAE">
        <w:rPr>
          <w:b/>
          <w:bCs/>
        </w:rPr>
        <w:tab/>
      </w:r>
      <w:r w:rsidR="008F3533">
        <w:rPr>
          <w:b/>
          <w:bCs/>
        </w:rPr>
        <w:t>Supplement [11</w:t>
      </w:r>
      <w:r w:rsidR="00883DF9">
        <w:rPr>
          <w:b/>
          <w:bCs/>
        </w:rPr>
        <w:t>]</w:t>
      </w:r>
      <w:r w:rsidRPr="008E0BAE">
        <w:rPr>
          <w:b/>
          <w:bCs/>
        </w:rPr>
        <w:t xml:space="preserve"> does not apply to existing type approvals and their extensions, granted prior to the date of entry into force of Supplement</w:t>
      </w:r>
      <w:r w:rsidR="00861706">
        <w:rPr>
          <w:b/>
          <w:bCs/>
        </w:rPr>
        <w:t xml:space="preserve"> [11]</w:t>
      </w:r>
      <w:r w:rsidRPr="008E0BAE">
        <w:rPr>
          <w:b/>
          <w:bCs/>
        </w:rPr>
        <w:t>.</w:t>
      </w:r>
      <w:r w:rsidR="005B0AEF" w:rsidRPr="005B0AEF">
        <w:rPr>
          <w:b/>
          <w:bCs/>
        </w:rPr>
        <w:t>"</w:t>
      </w:r>
      <w:r w:rsidRPr="008E0BAE">
        <w:rPr>
          <w:b/>
          <w:bCs/>
        </w:rPr>
        <w:t xml:space="preserve"> </w:t>
      </w:r>
    </w:p>
    <w:p w14:paraId="11DAE4F4" w14:textId="336E4606" w:rsidR="00776DC3" w:rsidRPr="00776DC3" w:rsidRDefault="00776DC3" w:rsidP="00C76641">
      <w:pPr>
        <w:tabs>
          <w:tab w:val="left" w:pos="2268"/>
          <w:tab w:val="left" w:pos="8505"/>
        </w:tabs>
        <w:spacing w:after="120"/>
        <w:ind w:left="1134" w:right="1134"/>
        <w:jc w:val="both"/>
        <w:rPr>
          <w:i/>
        </w:rPr>
      </w:pPr>
      <w:r w:rsidRPr="00776DC3">
        <w:rPr>
          <w:i/>
        </w:rPr>
        <w:t>Annex</w:t>
      </w:r>
      <w:r w:rsidR="00D97C59">
        <w:rPr>
          <w:i/>
        </w:rPr>
        <w:t xml:space="preserve"> 3,</w:t>
      </w:r>
      <w:r w:rsidRPr="00776DC3">
        <w:rPr>
          <w:i/>
        </w:rPr>
        <w:t xml:space="preserve"> </w:t>
      </w:r>
      <w:r w:rsidR="00401D53">
        <w:rPr>
          <w:i/>
        </w:rPr>
        <w:t>p</w:t>
      </w:r>
      <w:r w:rsidRPr="00776DC3">
        <w:rPr>
          <w:i/>
        </w:rPr>
        <w:t xml:space="preserve">aragraph 1.2., </w:t>
      </w:r>
      <w:r w:rsidRPr="00776DC3">
        <w:rPr>
          <w:iCs/>
        </w:rPr>
        <w:t xml:space="preserve">amend to read: </w:t>
      </w:r>
    </w:p>
    <w:p w14:paraId="158E2143" w14:textId="4DB6D419" w:rsidR="00776DC3" w:rsidRPr="00776DC3" w:rsidRDefault="00776DC3" w:rsidP="00776DC3">
      <w:pPr>
        <w:tabs>
          <w:tab w:val="left" w:pos="2268"/>
          <w:tab w:val="left" w:pos="8505"/>
        </w:tabs>
        <w:spacing w:after="120"/>
        <w:ind w:left="2268" w:right="1134" w:hanging="1134"/>
        <w:jc w:val="both"/>
      </w:pPr>
      <w:r w:rsidRPr="00776DC3">
        <w:t>"1.2.</w:t>
      </w:r>
      <w:r w:rsidRPr="00776DC3">
        <w:tab/>
      </w:r>
      <w:r w:rsidRPr="00776DC3">
        <w:rPr>
          <w:strike/>
        </w:rPr>
        <w:t>Calibration</w:t>
      </w:r>
      <w:r w:rsidR="00766232">
        <w:t xml:space="preserve"> </w:t>
      </w:r>
      <w:r w:rsidR="00694EAF" w:rsidRPr="00EC5F14">
        <w:rPr>
          <w:b/>
          <w:bCs/>
        </w:rPr>
        <w:t>Daily</w:t>
      </w:r>
      <w:r w:rsidR="00694EAF">
        <w:t xml:space="preserve"> </w:t>
      </w:r>
      <w:r w:rsidR="00694EAF" w:rsidRPr="00694EAF">
        <w:rPr>
          <w:b/>
          <w:bCs/>
        </w:rPr>
        <w:t>V</w:t>
      </w:r>
      <w:r w:rsidRPr="00694EAF">
        <w:rPr>
          <w:b/>
          <w:bCs/>
        </w:rPr>
        <w:t>erification</w:t>
      </w:r>
      <w:r w:rsidRPr="00776DC3">
        <w:rPr>
          <w:b/>
          <w:bCs/>
        </w:rPr>
        <w:t xml:space="preserve"> and Adjustment</w:t>
      </w:r>
      <w:r w:rsidRPr="00776DC3">
        <w:t xml:space="preserve"> of the </w:t>
      </w:r>
      <w:proofErr w:type="spellStart"/>
      <w:r w:rsidRPr="00776DC3">
        <w:rPr>
          <w:strike/>
        </w:rPr>
        <w:t>e</w:t>
      </w:r>
      <w:r w:rsidRPr="00776DC3">
        <w:rPr>
          <w:b/>
          <w:bCs/>
        </w:rPr>
        <w:t>E</w:t>
      </w:r>
      <w:r w:rsidRPr="00776DC3">
        <w:t>ntire</w:t>
      </w:r>
      <w:proofErr w:type="spellEnd"/>
      <w:r w:rsidRPr="00776DC3">
        <w:t xml:space="preserve"> Acoustic Measurement System for </w:t>
      </w:r>
      <w:proofErr w:type="spellStart"/>
      <w:r w:rsidRPr="00776DC3">
        <w:rPr>
          <w:strike/>
        </w:rPr>
        <w:t>a</w:t>
      </w:r>
      <w:proofErr w:type="spellEnd"/>
      <w:r w:rsidRPr="00776DC3">
        <w:t xml:space="preserve"> </w:t>
      </w:r>
      <w:r w:rsidR="00AD6ACC">
        <w:rPr>
          <w:b/>
          <w:bCs/>
        </w:rPr>
        <w:t>every</w:t>
      </w:r>
      <w:r w:rsidR="00621B4C">
        <w:t xml:space="preserve"> </w:t>
      </w:r>
      <w:r w:rsidRPr="00776DC3">
        <w:t>Measurement Session</w:t>
      </w:r>
    </w:p>
    <w:p w14:paraId="089EB8CC" w14:textId="4E85FF26" w:rsidR="00776DC3" w:rsidRPr="00776DC3" w:rsidRDefault="00776DC3" w:rsidP="00776DC3">
      <w:pPr>
        <w:tabs>
          <w:tab w:val="left" w:pos="2268"/>
          <w:tab w:val="left" w:pos="8505"/>
        </w:tabs>
        <w:spacing w:after="120"/>
        <w:ind w:left="2268" w:right="1134" w:hanging="1134"/>
        <w:jc w:val="both"/>
      </w:pPr>
      <w:r>
        <w:tab/>
      </w:r>
      <w:r w:rsidRPr="00776DC3">
        <w:t xml:space="preserve">At the beginning </w:t>
      </w:r>
      <w:r w:rsidRPr="00776DC3">
        <w:rPr>
          <w:strike/>
        </w:rPr>
        <w:t>and at the end</w:t>
      </w:r>
      <w:r w:rsidRPr="00776DC3">
        <w:t xml:space="preserve"> of every measurement session, the entire acoustic measurement system shall be checked by means of a sound calibrator of at least precision Class 1 according to IEC 60942:2003</w:t>
      </w:r>
      <w:r w:rsidRPr="00776DC3">
        <w:rPr>
          <w:b/>
          <w:bCs/>
        </w:rPr>
        <w:t>, and - if necessary – adjusted to the reference values given by the calibrator</w:t>
      </w:r>
      <w:r w:rsidRPr="00776DC3">
        <w:t xml:space="preserve">. </w:t>
      </w:r>
    </w:p>
    <w:p w14:paraId="79355C5A" w14:textId="17DDDE1B" w:rsidR="00944CD9" w:rsidRDefault="00776DC3" w:rsidP="00776DC3">
      <w:pPr>
        <w:tabs>
          <w:tab w:val="left" w:pos="2268"/>
          <w:tab w:val="left" w:pos="8505"/>
        </w:tabs>
        <w:spacing w:after="120"/>
        <w:ind w:left="2268" w:right="1134" w:hanging="1134"/>
        <w:jc w:val="both"/>
      </w:pPr>
      <w:r>
        <w:rPr>
          <w:b/>
          <w:bCs/>
        </w:rPr>
        <w:tab/>
      </w:r>
      <w:r w:rsidRPr="00776DC3">
        <w:rPr>
          <w:b/>
          <w:bCs/>
        </w:rPr>
        <w:t xml:space="preserve">At the end of the measurement session, the entire acoustic measurement system shall be re-checked by the same calibrator which was used for the </w:t>
      </w:r>
      <w:r w:rsidR="00427BFA">
        <w:rPr>
          <w:b/>
          <w:bCs/>
        </w:rPr>
        <w:t>check</w:t>
      </w:r>
      <w:r w:rsidRPr="00776DC3">
        <w:rPr>
          <w:b/>
          <w:bCs/>
        </w:rPr>
        <w:t xml:space="preserve"> in the beginning.</w:t>
      </w:r>
      <w:r w:rsidRPr="00776DC3">
        <w:t xml:space="preserve"> </w:t>
      </w:r>
      <w:r w:rsidR="00944CD9" w:rsidRPr="00944CD9">
        <w:t xml:space="preserve">Without any further adjustment the difference between the readings </w:t>
      </w:r>
      <w:r w:rsidR="00944CD9" w:rsidRPr="00944CD9">
        <w:rPr>
          <w:strike/>
        </w:rPr>
        <w:t>of two consecutive checks</w:t>
      </w:r>
      <w:r w:rsidR="00944CD9" w:rsidRPr="00944CD9">
        <w:t xml:space="preserve"> </w:t>
      </w:r>
      <w:r w:rsidR="00944CD9" w:rsidRPr="00776DC3">
        <w:rPr>
          <w:b/>
          <w:bCs/>
        </w:rPr>
        <w:t>at the beginning and at the end</w:t>
      </w:r>
      <w:r w:rsidR="00944CD9" w:rsidRPr="00944CD9">
        <w:t xml:space="preserve"> shall be less than or equal to 0.5 dB</w:t>
      </w:r>
      <w:r w:rsidR="00944CD9" w:rsidRPr="00944CD9">
        <w:rPr>
          <w:strike/>
        </w:rPr>
        <w:t>(A)</w:t>
      </w:r>
      <w:r w:rsidR="00944CD9" w:rsidRPr="00944CD9">
        <w:t>.</w:t>
      </w:r>
    </w:p>
    <w:p w14:paraId="19072FE3" w14:textId="77777777" w:rsidR="00AF4667" w:rsidRDefault="00776DC3" w:rsidP="00776DC3">
      <w:pPr>
        <w:tabs>
          <w:tab w:val="left" w:pos="2268"/>
          <w:tab w:val="left" w:pos="8505"/>
        </w:tabs>
        <w:spacing w:after="120"/>
        <w:ind w:left="2268" w:right="1134" w:hanging="1134"/>
        <w:jc w:val="both"/>
      </w:pPr>
      <w:r>
        <w:tab/>
      </w:r>
      <w:r w:rsidRPr="00776DC3">
        <w:t xml:space="preserve">If </w:t>
      </w:r>
      <w:r w:rsidRPr="00776DC3">
        <w:rPr>
          <w:strike/>
        </w:rPr>
        <w:t>this value</w:t>
      </w:r>
      <w:r w:rsidRPr="00776DC3">
        <w:t xml:space="preserve"> </w:t>
      </w:r>
      <w:r w:rsidRPr="00776DC3">
        <w:rPr>
          <w:b/>
          <w:bCs/>
        </w:rPr>
        <w:t>the difference</w:t>
      </w:r>
      <w:r w:rsidRPr="00776DC3">
        <w:t xml:space="preserve"> is </w:t>
      </w:r>
      <w:r w:rsidRPr="00776DC3">
        <w:rPr>
          <w:strike/>
        </w:rPr>
        <w:t>exceeded</w:t>
      </w:r>
      <w:r w:rsidRPr="00776DC3">
        <w:t xml:space="preserve"> </w:t>
      </w:r>
      <w:r w:rsidRPr="00776DC3">
        <w:rPr>
          <w:b/>
          <w:bCs/>
        </w:rPr>
        <w:t>greater than 0.5 dB</w:t>
      </w:r>
      <w:r w:rsidRPr="00776DC3">
        <w:t xml:space="preserve">, the results of the </w:t>
      </w:r>
      <w:r w:rsidRPr="00776DC3">
        <w:rPr>
          <w:b/>
          <w:bCs/>
        </w:rPr>
        <w:t>whole</w:t>
      </w:r>
      <w:r w:rsidRPr="00776DC3">
        <w:t xml:space="preserve"> measurements </w:t>
      </w:r>
      <w:r w:rsidRPr="00776DC3">
        <w:rPr>
          <w:b/>
          <w:bCs/>
        </w:rPr>
        <w:t>session</w:t>
      </w:r>
      <w:r w:rsidRPr="00776DC3">
        <w:t xml:space="preserve"> </w:t>
      </w:r>
      <w:r w:rsidRPr="00776DC3">
        <w:rPr>
          <w:strike/>
        </w:rPr>
        <w:t>obtained after the previous satisfactory check</w:t>
      </w:r>
      <w:r w:rsidRPr="00776DC3">
        <w:t xml:space="preserve"> shall be discarded.</w:t>
      </w:r>
    </w:p>
    <w:p w14:paraId="7FED1F03" w14:textId="4C688650" w:rsidR="00AF4667" w:rsidRPr="00AF4667" w:rsidRDefault="00AF4667" w:rsidP="00AF4667">
      <w:pPr>
        <w:tabs>
          <w:tab w:val="left" w:pos="2268"/>
          <w:tab w:val="left" w:pos="8505"/>
        </w:tabs>
        <w:spacing w:after="120"/>
        <w:ind w:left="2268" w:right="1134" w:hanging="1134"/>
        <w:jc w:val="both"/>
      </w:pPr>
      <w:r>
        <w:tab/>
      </w:r>
      <w:r w:rsidRPr="00AF4667">
        <w:t>For indoor testing, the entire measurement system shall be checked at the beginning and at the end of a series of sessions</w:t>
      </w:r>
      <w:r w:rsidR="00E71282">
        <w:t xml:space="preserve">, </w:t>
      </w:r>
      <w:r w:rsidR="00E71282">
        <w:rPr>
          <w:b/>
          <w:bCs/>
        </w:rPr>
        <w:t>according to ISO 362-3</w:t>
      </w:r>
      <w:r w:rsidR="00540951">
        <w:rPr>
          <w:b/>
          <w:bCs/>
        </w:rPr>
        <w:t>:2021</w:t>
      </w:r>
      <w:r w:rsidRPr="00AF4667">
        <w:t xml:space="preserve">. </w:t>
      </w:r>
    </w:p>
    <w:p w14:paraId="63E66198" w14:textId="0E6D38C6" w:rsidR="00FA1327" w:rsidRDefault="00AF4667" w:rsidP="00AF4667">
      <w:pPr>
        <w:tabs>
          <w:tab w:val="left" w:pos="2268"/>
          <w:tab w:val="left" w:pos="8505"/>
        </w:tabs>
        <w:spacing w:after="120"/>
        <w:ind w:left="2268" w:right="1134" w:hanging="1134"/>
        <w:jc w:val="both"/>
      </w:pPr>
      <w:r>
        <w:tab/>
      </w:r>
      <w:r w:rsidRPr="00AF4667">
        <w:t>A qualified calibration method (i.e. electrical calibration) is recommended to be provided by the hardware supplier and, in that case, shall be implemented in the measurement software used</w:t>
      </w:r>
      <w:r w:rsidRPr="00266469">
        <w:t xml:space="preserve">. </w:t>
      </w:r>
      <w:r w:rsidR="00A86407" w:rsidRPr="00266469">
        <w:t>S</w:t>
      </w:r>
      <w:r w:rsidRPr="00266469">
        <w:t>imulation algorithms using sound source localization detection should deactivate that feature for these tests.</w:t>
      </w:r>
      <w:r w:rsidR="005B0AEF" w:rsidRPr="00776DC3">
        <w:t>"</w:t>
      </w:r>
    </w:p>
    <w:p w14:paraId="79C48593" w14:textId="4EE73646" w:rsidR="000C7E66" w:rsidRPr="00776DC3" w:rsidRDefault="002D5A61" w:rsidP="000C7E66">
      <w:pPr>
        <w:tabs>
          <w:tab w:val="left" w:pos="2268"/>
          <w:tab w:val="left" w:pos="8505"/>
        </w:tabs>
        <w:spacing w:after="120"/>
        <w:ind w:left="2268" w:right="1134" w:hanging="1134"/>
        <w:jc w:val="both"/>
        <w:rPr>
          <w:i/>
        </w:rPr>
      </w:pPr>
      <w:r>
        <w:rPr>
          <w:i/>
        </w:rPr>
        <w:lastRenderedPageBreak/>
        <w:t xml:space="preserve">Annex 3, </w:t>
      </w:r>
      <w:r w:rsidR="00E43DB0">
        <w:rPr>
          <w:i/>
        </w:rPr>
        <w:t>p</w:t>
      </w:r>
      <w:r w:rsidR="000C7E66" w:rsidRPr="00DB270F">
        <w:rPr>
          <w:i/>
        </w:rPr>
        <w:t xml:space="preserve">aragraph </w:t>
      </w:r>
      <w:r w:rsidR="00A02DEC" w:rsidRPr="00A02DEC">
        <w:rPr>
          <w:i/>
        </w:rPr>
        <w:t>2.2.2.3.4.</w:t>
      </w:r>
      <w:r w:rsidR="000C7E66" w:rsidRPr="00DB270F">
        <w:rPr>
          <w:i/>
        </w:rPr>
        <w:t>,</w:t>
      </w:r>
      <w:r w:rsidR="000C7E66" w:rsidRPr="00776DC3">
        <w:rPr>
          <w:i/>
        </w:rPr>
        <w:t xml:space="preserve"> </w:t>
      </w:r>
      <w:r w:rsidR="000C7E66" w:rsidRPr="00776DC3">
        <w:rPr>
          <w:iCs/>
        </w:rPr>
        <w:t xml:space="preserve">amend to read: </w:t>
      </w:r>
    </w:p>
    <w:p w14:paraId="194CD261" w14:textId="011B8950" w:rsidR="00A02DEC" w:rsidRPr="00A02DEC" w:rsidRDefault="005B0AEF" w:rsidP="00A02DEC">
      <w:pPr>
        <w:tabs>
          <w:tab w:val="left" w:pos="2268"/>
          <w:tab w:val="left" w:pos="8505"/>
        </w:tabs>
        <w:spacing w:after="120"/>
        <w:ind w:left="2268" w:right="1134" w:hanging="1134"/>
        <w:jc w:val="both"/>
      </w:pPr>
      <w:r w:rsidRPr="00776DC3">
        <w:t>"</w:t>
      </w:r>
      <w:r w:rsidR="00A02DEC" w:rsidRPr="00A02DEC">
        <w:t>2.2.2.3.4.</w:t>
      </w:r>
      <w:r w:rsidR="00A02DEC" w:rsidRPr="00A02DEC">
        <w:tab/>
        <w:t>Calculation of the test mass of a virtual vehicle with two axles:</w:t>
      </w:r>
    </w:p>
    <w:p w14:paraId="332FA30A" w14:textId="05280A9E" w:rsidR="00A02DEC" w:rsidRPr="00A02DEC" w:rsidRDefault="00A02DEC" w:rsidP="00A02DEC">
      <w:pPr>
        <w:tabs>
          <w:tab w:val="left" w:pos="2268"/>
          <w:tab w:val="left" w:pos="8505"/>
        </w:tabs>
        <w:spacing w:after="120"/>
        <w:ind w:left="2268" w:right="1134" w:hanging="1134"/>
        <w:jc w:val="both"/>
      </w:pPr>
      <w:r>
        <w:tab/>
      </w:r>
      <w:r w:rsidRPr="00A02DEC">
        <w:t>When a vehicle family is not represented by a two-axle vehicle because it is physically not available, the vehicle family can be represented by a vehicle with more than two axles (</w:t>
      </w:r>
      <w:proofErr w:type="spellStart"/>
      <w:r w:rsidRPr="00A02DEC">
        <w:t>vrf</w:t>
      </w:r>
      <w:proofErr w:type="spellEnd"/>
      <w:r w:rsidRPr="00A02DEC">
        <w:t>). In that case the test mass of a virtual two-axle vehicle (</w:t>
      </w:r>
      <w:proofErr w:type="spellStart"/>
      <w:r w:rsidRPr="00A02DEC">
        <w:rPr>
          <w:iCs/>
        </w:rPr>
        <w:t>m</w:t>
      </w:r>
      <w:r w:rsidRPr="00A02DEC">
        <w:rPr>
          <w:iCs/>
          <w:vertAlign w:val="subscript"/>
        </w:rPr>
        <w:t>t</w:t>
      </w:r>
      <w:proofErr w:type="spellEnd"/>
      <w:r w:rsidRPr="00A02DEC">
        <w:rPr>
          <w:iCs/>
          <w:vertAlign w:val="subscript"/>
        </w:rPr>
        <w:t xml:space="preserve"> (2 axles virtual)</w:t>
      </w:r>
      <w:r w:rsidRPr="00A02DEC">
        <w:t>)</w:t>
      </w:r>
      <w:r w:rsidRPr="00A02DEC">
        <w:rPr>
          <w:iCs/>
          <w:vertAlign w:val="subscript"/>
        </w:rPr>
        <w:t xml:space="preserve"> </w:t>
      </w:r>
      <w:r w:rsidRPr="00A02DEC">
        <w:t>can be calculated in the following way:</w:t>
      </w:r>
    </w:p>
    <w:p w14:paraId="458E7B44" w14:textId="6C2C1275" w:rsidR="00A02DEC" w:rsidRPr="00A02DEC" w:rsidRDefault="00A02DEC" w:rsidP="00A02DEC">
      <w:pPr>
        <w:tabs>
          <w:tab w:val="left" w:pos="2268"/>
          <w:tab w:val="left" w:pos="8505"/>
        </w:tabs>
        <w:spacing w:after="120"/>
        <w:ind w:left="2268" w:right="1134" w:hanging="1134"/>
        <w:jc w:val="both"/>
      </w:pPr>
      <w:r>
        <w:tab/>
      </w:r>
      <w:r w:rsidRPr="00A02DEC">
        <w:t>For the calculation of the unladen vehicle mass of the virtual two-axle vehicle (</w:t>
      </w:r>
      <w:proofErr w:type="spellStart"/>
      <w:r w:rsidRPr="00A02DEC">
        <w:t>m</w:t>
      </w:r>
      <w:r w:rsidRPr="00A02DEC">
        <w:rPr>
          <w:vertAlign w:val="subscript"/>
        </w:rPr>
        <w:t>unladen</w:t>
      </w:r>
      <w:proofErr w:type="spellEnd"/>
      <w:r w:rsidRPr="00A02DEC">
        <w:rPr>
          <w:vertAlign w:val="subscript"/>
        </w:rPr>
        <w:t xml:space="preserve"> (2 axles virtual)</w:t>
      </w:r>
      <w:r w:rsidRPr="00A02DEC">
        <w:t>), take from the vehicle with more than two axles (</w:t>
      </w:r>
      <w:proofErr w:type="spellStart"/>
      <w:r w:rsidRPr="00A02DEC">
        <w:t>vrf</w:t>
      </w:r>
      <w:proofErr w:type="spellEnd"/>
      <w:r w:rsidRPr="00A02DEC">
        <w:t>) the measured unladen front axle load (</w:t>
      </w:r>
      <w:proofErr w:type="spellStart"/>
      <w:r w:rsidRPr="00A02DEC">
        <w:t>m</w:t>
      </w:r>
      <w:r w:rsidRPr="00A02DEC">
        <w:rPr>
          <w:vertAlign w:val="subscript"/>
        </w:rPr>
        <w:t>fa</w:t>
      </w:r>
      <w:proofErr w:type="spellEnd"/>
      <w:r w:rsidRPr="00A02DEC">
        <w:rPr>
          <w:vertAlign w:val="subscript"/>
        </w:rPr>
        <w:t xml:space="preserve"> (</w:t>
      </w:r>
      <w:proofErr w:type="spellStart"/>
      <w:r w:rsidRPr="00A02DEC">
        <w:rPr>
          <w:vertAlign w:val="subscript"/>
        </w:rPr>
        <w:t>vrf</w:t>
      </w:r>
      <w:proofErr w:type="spellEnd"/>
      <w:r w:rsidRPr="00A02DEC">
        <w:rPr>
          <w:vertAlign w:val="subscript"/>
        </w:rPr>
        <w:t>) load unladen</w:t>
      </w:r>
      <w:r w:rsidRPr="00A02DEC">
        <w:t>) and the measured unladen rear axle load of that driven rear axle (</w:t>
      </w:r>
      <w:proofErr w:type="spellStart"/>
      <w:r w:rsidRPr="00A02DEC">
        <w:t>m</w:t>
      </w:r>
      <w:r w:rsidRPr="00A02DEC">
        <w:rPr>
          <w:vertAlign w:val="subscript"/>
        </w:rPr>
        <w:t>ra</w:t>
      </w:r>
      <w:proofErr w:type="spellEnd"/>
      <w:r w:rsidRPr="00A02DEC">
        <w:rPr>
          <w:vertAlign w:val="subscript"/>
        </w:rPr>
        <w:t xml:space="preserve"> (</w:t>
      </w:r>
      <w:proofErr w:type="spellStart"/>
      <w:r w:rsidRPr="00A02DEC">
        <w:rPr>
          <w:vertAlign w:val="subscript"/>
        </w:rPr>
        <w:t>vrf</w:t>
      </w:r>
      <w:proofErr w:type="spellEnd"/>
      <w:r w:rsidRPr="00A02DEC">
        <w:rPr>
          <w:vertAlign w:val="subscript"/>
        </w:rPr>
        <w:t>) load unladen</w:t>
      </w:r>
      <w:r w:rsidRPr="00A02DEC">
        <w:t xml:space="preserve">) which has the highest unladen load. </w:t>
      </w:r>
    </w:p>
    <w:p w14:paraId="061BC83B" w14:textId="71CD0225" w:rsidR="00A02DEC" w:rsidRPr="00A02DEC" w:rsidRDefault="00A02DEC" w:rsidP="00A02DEC">
      <w:pPr>
        <w:tabs>
          <w:tab w:val="left" w:pos="2268"/>
          <w:tab w:val="left" w:pos="8505"/>
        </w:tabs>
        <w:spacing w:after="120"/>
        <w:ind w:left="2268" w:right="1134" w:hanging="1134"/>
        <w:jc w:val="both"/>
      </w:pPr>
      <w:r>
        <w:tab/>
      </w:r>
      <w:r w:rsidRPr="00A02DEC">
        <w:t>If the vehicle (</w:t>
      </w:r>
      <w:proofErr w:type="spellStart"/>
      <w:r w:rsidRPr="00A02DEC">
        <w:t>vrf</w:t>
      </w:r>
      <w:proofErr w:type="spellEnd"/>
      <w:r w:rsidRPr="00A02DEC">
        <w:t>) has more than one front axle, take the one with the highest unladen front axle load.</w:t>
      </w:r>
    </w:p>
    <w:p w14:paraId="742137EC" w14:textId="52621970" w:rsidR="00474F7B" w:rsidRPr="00A02DEC" w:rsidRDefault="00474F7B" w:rsidP="00474F7B">
      <w:pPr>
        <w:tabs>
          <w:tab w:val="left" w:pos="2268"/>
          <w:tab w:val="left" w:pos="8505"/>
        </w:tabs>
        <w:spacing w:after="120"/>
        <w:ind w:left="2268" w:right="1134" w:hanging="1134"/>
        <w:jc w:val="both"/>
        <w:rPr>
          <w:iCs/>
          <w:strike/>
        </w:rPr>
      </w:pPr>
      <w:r w:rsidRPr="00DB270F">
        <w:tab/>
      </w:r>
      <w:r w:rsidRPr="00A02DEC">
        <w:rPr>
          <w:strike/>
        </w:rPr>
        <w:sym w:font="Wingdings" w:char="F0E8"/>
      </w:r>
      <w:r w:rsidRPr="00A02DEC">
        <w:rPr>
          <w:strike/>
        </w:rPr>
        <w:t xml:space="preserve"> </w:t>
      </w:r>
      <w:proofErr w:type="spellStart"/>
      <w:r w:rsidRPr="00A02DEC">
        <w:rPr>
          <w:iCs/>
          <w:strike/>
        </w:rPr>
        <w:t>m</w:t>
      </w:r>
      <w:r w:rsidRPr="00A02DEC">
        <w:rPr>
          <w:iCs/>
          <w:strike/>
          <w:vertAlign w:val="subscript"/>
        </w:rPr>
        <w:t>unladen</w:t>
      </w:r>
      <w:proofErr w:type="spellEnd"/>
      <w:r w:rsidRPr="00A02DEC">
        <w:rPr>
          <w:iCs/>
          <w:strike/>
          <w:vertAlign w:val="subscript"/>
        </w:rPr>
        <w:t xml:space="preserve"> (2 axles virtual) </w:t>
      </w:r>
      <w:r w:rsidRPr="00A02DEC">
        <w:rPr>
          <w:strike/>
        </w:rPr>
        <w:t xml:space="preserve">= </w:t>
      </w:r>
      <w:proofErr w:type="spellStart"/>
      <w:r w:rsidRPr="00A02DEC">
        <w:rPr>
          <w:iCs/>
          <w:strike/>
        </w:rPr>
        <w:t>m</w:t>
      </w:r>
      <w:r w:rsidRPr="00A02DEC">
        <w:rPr>
          <w:iCs/>
          <w:strike/>
          <w:vertAlign w:val="subscript"/>
        </w:rPr>
        <w:t>fa</w:t>
      </w:r>
      <w:proofErr w:type="spellEnd"/>
      <w:r w:rsidRPr="00A02DEC">
        <w:rPr>
          <w:iCs/>
          <w:strike/>
          <w:vertAlign w:val="subscript"/>
        </w:rPr>
        <w:t xml:space="preserve"> (</w:t>
      </w:r>
      <w:proofErr w:type="spellStart"/>
      <w:r w:rsidRPr="00A02DEC">
        <w:rPr>
          <w:iCs/>
          <w:strike/>
          <w:vertAlign w:val="subscript"/>
        </w:rPr>
        <w:t>vrf</w:t>
      </w:r>
      <w:proofErr w:type="spellEnd"/>
      <w:r w:rsidRPr="00A02DEC">
        <w:rPr>
          <w:iCs/>
          <w:strike/>
          <w:vertAlign w:val="subscript"/>
        </w:rPr>
        <w:t>) load unladen</w:t>
      </w:r>
      <w:r w:rsidRPr="00A02DEC">
        <w:rPr>
          <w:iCs/>
          <w:strike/>
        </w:rPr>
        <w:t xml:space="preserve"> </w:t>
      </w:r>
      <w:r w:rsidRPr="00A02DEC">
        <w:rPr>
          <w:strike/>
        </w:rPr>
        <w:t xml:space="preserve">+ </w:t>
      </w:r>
      <w:proofErr w:type="spellStart"/>
      <w:r w:rsidRPr="00A02DEC">
        <w:rPr>
          <w:iCs/>
          <w:strike/>
        </w:rPr>
        <w:t>m</w:t>
      </w:r>
      <w:r w:rsidRPr="00A02DEC">
        <w:rPr>
          <w:iCs/>
          <w:strike/>
          <w:vertAlign w:val="subscript"/>
        </w:rPr>
        <w:t>ra</w:t>
      </w:r>
      <w:proofErr w:type="spellEnd"/>
      <w:r w:rsidRPr="00A02DEC">
        <w:rPr>
          <w:iCs/>
          <w:strike/>
          <w:vertAlign w:val="subscript"/>
        </w:rPr>
        <w:t xml:space="preserve"> (</w:t>
      </w:r>
      <w:proofErr w:type="spellStart"/>
      <w:r w:rsidRPr="00A02DEC">
        <w:rPr>
          <w:iCs/>
          <w:strike/>
          <w:vertAlign w:val="subscript"/>
        </w:rPr>
        <w:t>vrf</w:t>
      </w:r>
      <w:proofErr w:type="spellEnd"/>
      <w:r w:rsidRPr="00A02DEC">
        <w:rPr>
          <w:iCs/>
          <w:strike/>
          <w:vertAlign w:val="subscript"/>
        </w:rPr>
        <w:t>) load unladen</w:t>
      </w:r>
    </w:p>
    <w:p w14:paraId="776D09F1" w14:textId="77777777" w:rsidR="00474F7B" w:rsidRPr="00474F7B" w:rsidRDefault="00474F7B" w:rsidP="00474F7B">
      <w:pPr>
        <w:tabs>
          <w:tab w:val="left" w:pos="2268"/>
          <w:tab w:val="left" w:pos="8505"/>
        </w:tabs>
        <w:spacing w:after="120"/>
        <w:ind w:left="2268" w:right="1134" w:hanging="1134"/>
        <w:jc w:val="both"/>
        <w:rPr>
          <w:strike/>
        </w:rPr>
      </w:pPr>
      <w:r w:rsidRPr="00DB270F">
        <w:tab/>
      </w:r>
      <w:r w:rsidRPr="00A02DEC">
        <w:rPr>
          <w:strike/>
        </w:rPr>
        <w:sym w:font="Wingdings" w:char="F0E8"/>
      </w:r>
      <w:r w:rsidRPr="00A02DEC">
        <w:rPr>
          <w:strike/>
        </w:rPr>
        <w:t xml:space="preserve"> </w:t>
      </w:r>
      <w:proofErr w:type="spellStart"/>
      <w:r w:rsidRPr="00A02DEC">
        <w:rPr>
          <w:iCs/>
          <w:strike/>
        </w:rPr>
        <w:t>m</w:t>
      </w:r>
      <w:r w:rsidRPr="00A02DEC">
        <w:rPr>
          <w:iCs/>
          <w:strike/>
          <w:vertAlign w:val="subscript"/>
        </w:rPr>
        <w:t>xload</w:t>
      </w:r>
      <w:proofErr w:type="spellEnd"/>
      <w:r w:rsidRPr="00A02DEC">
        <w:rPr>
          <w:iCs/>
          <w:strike/>
          <w:vertAlign w:val="subscript"/>
        </w:rPr>
        <w:t xml:space="preserve"> (2 axles virtual)</w:t>
      </w:r>
      <w:r w:rsidRPr="00A02DEC">
        <w:rPr>
          <w:iCs/>
          <w:strike/>
        </w:rPr>
        <w:t xml:space="preserve"> = </w:t>
      </w:r>
      <w:proofErr w:type="spellStart"/>
      <w:r w:rsidRPr="00A02DEC">
        <w:rPr>
          <w:iCs/>
          <w:strike/>
        </w:rPr>
        <w:t>m</w:t>
      </w:r>
      <w:r w:rsidRPr="00A02DEC">
        <w:rPr>
          <w:iCs/>
          <w:strike/>
          <w:vertAlign w:val="subscript"/>
        </w:rPr>
        <w:t>target</w:t>
      </w:r>
      <w:proofErr w:type="spellEnd"/>
      <w:r w:rsidRPr="00A02DEC">
        <w:rPr>
          <w:iCs/>
          <w:strike/>
        </w:rPr>
        <w:t xml:space="preserve"> − </w:t>
      </w:r>
      <w:r w:rsidRPr="00A02DEC">
        <w:rPr>
          <w:strike/>
        </w:rPr>
        <w:t>(</w:t>
      </w:r>
      <w:r w:rsidRPr="00A02DEC">
        <w:rPr>
          <w:iCs/>
          <w:strike/>
        </w:rPr>
        <w:t>m</w:t>
      </w:r>
      <w:r w:rsidRPr="00A02DEC">
        <w:rPr>
          <w:iCs/>
          <w:strike/>
          <w:vertAlign w:val="subscript"/>
        </w:rPr>
        <w:t>d</w:t>
      </w:r>
      <w:r w:rsidRPr="00A02DEC">
        <w:rPr>
          <w:iCs/>
          <w:strike/>
        </w:rPr>
        <w:t xml:space="preserve"> + </w:t>
      </w:r>
      <w:proofErr w:type="spellStart"/>
      <w:r w:rsidRPr="00A02DEC">
        <w:rPr>
          <w:iCs/>
          <w:strike/>
        </w:rPr>
        <w:t>m</w:t>
      </w:r>
      <w:r w:rsidRPr="00A02DEC">
        <w:rPr>
          <w:iCs/>
          <w:strike/>
          <w:vertAlign w:val="subscript"/>
        </w:rPr>
        <w:t>unladen</w:t>
      </w:r>
      <w:proofErr w:type="spellEnd"/>
      <w:r w:rsidRPr="00A02DEC">
        <w:rPr>
          <w:iCs/>
          <w:strike/>
          <w:vertAlign w:val="subscript"/>
        </w:rPr>
        <w:t xml:space="preserve"> (2 axles virtual)</w:t>
      </w:r>
      <w:r w:rsidRPr="00A02DEC">
        <w:rPr>
          <w:strike/>
        </w:rPr>
        <w:t>)</w:t>
      </w:r>
    </w:p>
    <w:p w14:paraId="21799AA2" w14:textId="461D5725" w:rsidR="00474F7B" w:rsidRPr="00A02DEC" w:rsidRDefault="00474F7B" w:rsidP="006F50D4">
      <w:pPr>
        <w:tabs>
          <w:tab w:val="left" w:pos="2835"/>
          <w:tab w:val="left" w:pos="8505"/>
        </w:tabs>
        <w:spacing w:after="120"/>
        <w:ind w:left="2268" w:right="1134" w:hanging="1134"/>
        <w:jc w:val="both"/>
        <w:rPr>
          <w:b/>
          <w:bCs/>
          <w:iCs/>
        </w:rPr>
      </w:pPr>
      <w:r w:rsidRPr="006F50D4">
        <w:rPr>
          <w:b/>
          <w:bCs/>
        </w:rPr>
        <w:t xml:space="preserve"> </w:t>
      </w:r>
      <w:r w:rsidRPr="006F50D4">
        <w:rPr>
          <w:b/>
          <w:bCs/>
        </w:rPr>
        <w:tab/>
      </w:r>
      <w:r w:rsidR="006F50D4" w:rsidRPr="006F50D4">
        <w:rPr>
          <w:b/>
          <w:bCs/>
        </w:rPr>
        <w:tab/>
      </w:r>
      <w:proofErr w:type="spellStart"/>
      <w:r w:rsidRPr="00A02DEC">
        <w:rPr>
          <w:b/>
          <w:bCs/>
          <w:iCs/>
        </w:rPr>
        <w:t>m</w:t>
      </w:r>
      <w:r w:rsidRPr="00A02DEC">
        <w:rPr>
          <w:b/>
          <w:bCs/>
          <w:iCs/>
          <w:vertAlign w:val="subscript"/>
        </w:rPr>
        <w:t>unladen</w:t>
      </w:r>
      <w:proofErr w:type="spellEnd"/>
      <w:r w:rsidRPr="00A02DEC">
        <w:rPr>
          <w:b/>
          <w:bCs/>
          <w:iCs/>
          <w:vertAlign w:val="subscript"/>
        </w:rPr>
        <w:t xml:space="preserve"> (2 axles virtual) </w:t>
      </w:r>
      <w:r w:rsidRPr="00A02DEC">
        <w:rPr>
          <w:b/>
          <w:bCs/>
        </w:rPr>
        <w:t xml:space="preserve">= </w:t>
      </w:r>
      <w:proofErr w:type="spellStart"/>
      <w:r w:rsidRPr="00A02DEC">
        <w:rPr>
          <w:b/>
          <w:bCs/>
          <w:iCs/>
        </w:rPr>
        <w:t>m</w:t>
      </w:r>
      <w:r w:rsidRPr="00A02DEC">
        <w:rPr>
          <w:b/>
          <w:bCs/>
          <w:iCs/>
          <w:vertAlign w:val="subscript"/>
        </w:rPr>
        <w:t>fa</w:t>
      </w:r>
      <w:proofErr w:type="spellEnd"/>
      <w:r w:rsidRPr="00A02DEC">
        <w:rPr>
          <w:b/>
          <w:bCs/>
          <w:iCs/>
          <w:vertAlign w:val="subscript"/>
        </w:rPr>
        <w:t xml:space="preserve"> (</w:t>
      </w:r>
      <w:proofErr w:type="spellStart"/>
      <w:r w:rsidRPr="00A02DEC">
        <w:rPr>
          <w:b/>
          <w:bCs/>
          <w:iCs/>
          <w:vertAlign w:val="subscript"/>
        </w:rPr>
        <w:t>vrf</w:t>
      </w:r>
      <w:proofErr w:type="spellEnd"/>
      <w:r w:rsidRPr="00A02DEC">
        <w:rPr>
          <w:b/>
          <w:bCs/>
          <w:iCs/>
          <w:vertAlign w:val="subscript"/>
        </w:rPr>
        <w:t>) load unladen</w:t>
      </w:r>
      <w:r w:rsidRPr="00A02DEC">
        <w:rPr>
          <w:b/>
          <w:bCs/>
          <w:iCs/>
        </w:rPr>
        <w:t xml:space="preserve"> </w:t>
      </w:r>
      <w:r w:rsidRPr="00A02DEC">
        <w:rPr>
          <w:b/>
          <w:bCs/>
        </w:rPr>
        <w:t xml:space="preserve">+ </w:t>
      </w:r>
      <w:proofErr w:type="spellStart"/>
      <w:r w:rsidRPr="00A02DEC">
        <w:rPr>
          <w:b/>
          <w:bCs/>
          <w:iCs/>
        </w:rPr>
        <w:t>m</w:t>
      </w:r>
      <w:r w:rsidRPr="00A02DEC">
        <w:rPr>
          <w:b/>
          <w:bCs/>
          <w:iCs/>
          <w:vertAlign w:val="subscript"/>
        </w:rPr>
        <w:t>ra</w:t>
      </w:r>
      <w:proofErr w:type="spellEnd"/>
      <w:r w:rsidRPr="00A02DEC">
        <w:rPr>
          <w:b/>
          <w:bCs/>
          <w:iCs/>
          <w:vertAlign w:val="subscript"/>
        </w:rPr>
        <w:t xml:space="preserve"> (</w:t>
      </w:r>
      <w:proofErr w:type="spellStart"/>
      <w:r w:rsidRPr="00A02DEC">
        <w:rPr>
          <w:b/>
          <w:bCs/>
          <w:iCs/>
          <w:vertAlign w:val="subscript"/>
        </w:rPr>
        <w:t>vrf</w:t>
      </w:r>
      <w:proofErr w:type="spellEnd"/>
      <w:r w:rsidRPr="00A02DEC">
        <w:rPr>
          <w:b/>
          <w:bCs/>
          <w:iCs/>
          <w:vertAlign w:val="subscript"/>
        </w:rPr>
        <w:t>) load unladen</w:t>
      </w:r>
      <w:r w:rsidRPr="00A02DEC">
        <w:rPr>
          <w:b/>
          <w:bCs/>
          <w:iCs/>
        </w:rPr>
        <w:tab/>
      </w:r>
      <w:r w:rsidRPr="00A02DEC">
        <w:rPr>
          <w:b/>
          <w:bCs/>
          <w:iCs/>
        </w:rPr>
        <w:tab/>
      </w:r>
    </w:p>
    <w:p w14:paraId="2D32EC95" w14:textId="1A11CA72" w:rsidR="00A02DEC" w:rsidRPr="00A02DEC" w:rsidRDefault="00474F7B" w:rsidP="006F50D4">
      <w:pPr>
        <w:tabs>
          <w:tab w:val="left" w:pos="2835"/>
          <w:tab w:val="left" w:pos="8505"/>
        </w:tabs>
        <w:spacing w:after="120"/>
        <w:ind w:left="2268" w:right="1134" w:hanging="1134"/>
        <w:jc w:val="both"/>
      </w:pPr>
      <w:r w:rsidRPr="006F50D4">
        <w:rPr>
          <w:b/>
          <w:bCs/>
        </w:rPr>
        <w:tab/>
      </w:r>
      <w:r w:rsidR="006F50D4" w:rsidRPr="006F50D4">
        <w:rPr>
          <w:b/>
          <w:bCs/>
        </w:rPr>
        <w:tab/>
      </w:r>
      <w:proofErr w:type="spellStart"/>
      <w:r w:rsidRPr="00A02DEC">
        <w:rPr>
          <w:b/>
          <w:bCs/>
          <w:iCs/>
        </w:rPr>
        <w:t>m</w:t>
      </w:r>
      <w:r w:rsidRPr="00A02DEC">
        <w:rPr>
          <w:b/>
          <w:bCs/>
          <w:iCs/>
          <w:vertAlign w:val="subscript"/>
        </w:rPr>
        <w:t>xload</w:t>
      </w:r>
      <w:proofErr w:type="spellEnd"/>
      <w:r w:rsidRPr="00A02DEC">
        <w:rPr>
          <w:b/>
          <w:bCs/>
          <w:iCs/>
          <w:vertAlign w:val="subscript"/>
        </w:rPr>
        <w:t xml:space="preserve"> (2 axles virtual)</w:t>
      </w:r>
      <w:r w:rsidRPr="00A02DEC">
        <w:rPr>
          <w:b/>
          <w:bCs/>
          <w:iCs/>
        </w:rPr>
        <w:t xml:space="preserve"> = </w:t>
      </w:r>
      <w:proofErr w:type="spellStart"/>
      <w:r w:rsidRPr="00A02DEC">
        <w:rPr>
          <w:b/>
          <w:bCs/>
          <w:iCs/>
        </w:rPr>
        <w:t>m</w:t>
      </w:r>
      <w:r w:rsidRPr="00A02DEC">
        <w:rPr>
          <w:b/>
          <w:bCs/>
          <w:iCs/>
          <w:vertAlign w:val="subscript"/>
        </w:rPr>
        <w:t>target</w:t>
      </w:r>
      <w:proofErr w:type="spellEnd"/>
      <w:r w:rsidRPr="00A02DEC">
        <w:rPr>
          <w:b/>
          <w:bCs/>
          <w:iCs/>
        </w:rPr>
        <w:t xml:space="preserve"> − </w:t>
      </w:r>
      <w:r w:rsidRPr="00A02DEC">
        <w:rPr>
          <w:b/>
          <w:bCs/>
        </w:rPr>
        <w:t>(</w:t>
      </w:r>
      <w:r w:rsidRPr="00A02DEC">
        <w:rPr>
          <w:b/>
          <w:bCs/>
          <w:iCs/>
        </w:rPr>
        <w:t>m</w:t>
      </w:r>
      <w:r w:rsidRPr="00A02DEC">
        <w:rPr>
          <w:b/>
          <w:bCs/>
          <w:iCs/>
          <w:vertAlign w:val="subscript"/>
        </w:rPr>
        <w:t>d</w:t>
      </w:r>
      <w:r w:rsidRPr="00A02DEC">
        <w:rPr>
          <w:b/>
          <w:bCs/>
          <w:iCs/>
        </w:rPr>
        <w:t xml:space="preserve"> + </w:t>
      </w:r>
      <w:proofErr w:type="spellStart"/>
      <w:r w:rsidRPr="00A02DEC">
        <w:rPr>
          <w:b/>
          <w:bCs/>
          <w:iCs/>
        </w:rPr>
        <w:t>m</w:t>
      </w:r>
      <w:r w:rsidRPr="00A02DEC">
        <w:rPr>
          <w:b/>
          <w:bCs/>
          <w:iCs/>
          <w:vertAlign w:val="subscript"/>
        </w:rPr>
        <w:t>unladen</w:t>
      </w:r>
      <w:proofErr w:type="spellEnd"/>
      <w:r w:rsidRPr="00A02DEC">
        <w:rPr>
          <w:b/>
          <w:bCs/>
          <w:iCs/>
          <w:vertAlign w:val="subscript"/>
        </w:rPr>
        <w:t xml:space="preserve"> (2 axles virtual)</w:t>
      </w:r>
      <w:r w:rsidRPr="00A02DEC">
        <w:rPr>
          <w:b/>
          <w:bCs/>
        </w:rPr>
        <w:t>)</w:t>
      </w:r>
      <w:r w:rsidR="00A02DEC" w:rsidRPr="00A02DEC">
        <w:tab/>
      </w:r>
    </w:p>
    <w:p w14:paraId="15AADB23" w14:textId="60D83828" w:rsidR="00A02DEC" w:rsidRPr="00A02DEC" w:rsidRDefault="00A02DEC" w:rsidP="00A02DEC">
      <w:pPr>
        <w:tabs>
          <w:tab w:val="left" w:pos="2268"/>
          <w:tab w:val="left" w:pos="8505"/>
        </w:tabs>
        <w:spacing w:after="120"/>
        <w:ind w:left="2268" w:right="1134" w:hanging="1134"/>
        <w:jc w:val="both"/>
      </w:pPr>
      <w:r>
        <w:tab/>
      </w:r>
      <w:r w:rsidRPr="00A02DEC">
        <w:t>Due to the requirement that the sum of the extra loading (</w:t>
      </w:r>
      <w:proofErr w:type="spellStart"/>
      <w:r w:rsidRPr="00A02DEC">
        <w:rPr>
          <w:iCs/>
        </w:rPr>
        <w:t>m</w:t>
      </w:r>
      <w:r w:rsidRPr="00A02DEC">
        <w:rPr>
          <w:iCs/>
          <w:vertAlign w:val="subscript"/>
        </w:rPr>
        <w:t>xload</w:t>
      </w:r>
      <w:proofErr w:type="spellEnd"/>
      <w:r w:rsidRPr="00A02DEC">
        <w:rPr>
          <w:iCs/>
          <w:vertAlign w:val="subscript"/>
        </w:rPr>
        <w:t xml:space="preserve"> (2 axles virtual)</w:t>
      </w:r>
      <w:r w:rsidRPr="00A02DEC">
        <w:t xml:space="preserve">) and the unladen rear axle load, </w:t>
      </w:r>
      <w:proofErr w:type="spellStart"/>
      <w:r w:rsidRPr="00A02DEC">
        <w:rPr>
          <w:iCs/>
        </w:rPr>
        <w:t>m</w:t>
      </w:r>
      <w:r w:rsidRPr="00A02DEC">
        <w:rPr>
          <w:iCs/>
          <w:vertAlign w:val="subscript"/>
        </w:rPr>
        <w:t>ra</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load unladen</w:t>
      </w:r>
      <w:r w:rsidRPr="00A02DEC">
        <w:t xml:space="preserve">, is limited to 75 per cent of the technically permissible maximum laden mass allowed for the rear axle,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(2 axles virtual)</w:t>
      </w:r>
      <w:r w:rsidRPr="00A02DEC">
        <w:t xml:space="preserve">,  this value,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(2 axles virtual)</w:t>
      </w:r>
      <w:r w:rsidRPr="00A02DEC">
        <w:t>, has to be chosen in such a way that it represents the rear axle of the forecasted highest production-volume in the manufacturer's variation with a technically permissible maximum laden mass allowed for the rear axle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(chosen) </w:t>
      </w:r>
      <w:r w:rsidRPr="00A02DEC">
        <w:t>) for the vehicle family as declared by the manufacturer.</w:t>
      </w:r>
    </w:p>
    <w:p w14:paraId="6B9095A5" w14:textId="77777777" w:rsidR="00137128" w:rsidRPr="00A02DEC" w:rsidRDefault="00137128" w:rsidP="00137128">
      <w:pPr>
        <w:tabs>
          <w:tab w:val="left" w:pos="2268"/>
          <w:tab w:val="left" w:pos="8505"/>
        </w:tabs>
        <w:spacing w:after="120"/>
        <w:ind w:left="2268" w:right="1134" w:hanging="1134"/>
        <w:jc w:val="both"/>
        <w:rPr>
          <w:strike/>
        </w:rPr>
      </w:pPr>
      <w:r>
        <w:tab/>
      </w:r>
      <w:r w:rsidRPr="00A02DEC">
        <w:rPr>
          <w:strike/>
        </w:rPr>
        <w:sym w:font="Wingdings" w:char="F0E8"/>
      </w:r>
      <w:r w:rsidRPr="00A02DEC">
        <w:rPr>
          <w:strike/>
        </w:rPr>
        <w:t xml:space="preserve"> </w:t>
      </w:r>
      <w:r w:rsidRPr="00A02DEC">
        <w:rPr>
          <w:iCs/>
          <w:strike/>
        </w:rPr>
        <w:t>m</w:t>
      </w:r>
      <w:r w:rsidRPr="00A02DEC">
        <w:rPr>
          <w:iCs/>
          <w:strike/>
          <w:vertAlign w:val="subscript"/>
        </w:rPr>
        <w:t xml:space="preserve">ac </w:t>
      </w:r>
      <w:proofErr w:type="spellStart"/>
      <w:r w:rsidRPr="00A02DEC">
        <w:rPr>
          <w:iCs/>
          <w:strike/>
          <w:vertAlign w:val="subscript"/>
        </w:rPr>
        <w:t>ra</w:t>
      </w:r>
      <w:proofErr w:type="spellEnd"/>
      <w:r w:rsidRPr="00A02DEC">
        <w:rPr>
          <w:iCs/>
          <w:strike/>
          <w:vertAlign w:val="subscript"/>
        </w:rPr>
        <w:t xml:space="preserve"> max (4x2 virtual) </w:t>
      </w:r>
      <w:r w:rsidRPr="00A02DEC">
        <w:rPr>
          <w:strike/>
        </w:rPr>
        <w:t>=</w:t>
      </w:r>
      <w:r w:rsidRPr="00A02DEC">
        <w:rPr>
          <w:iCs/>
          <w:strike/>
        </w:rPr>
        <w:t xml:space="preserve"> m</w:t>
      </w:r>
      <w:r w:rsidRPr="00A02DEC">
        <w:rPr>
          <w:iCs/>
          <w:strike/>
          <w:vertAlign w:val="subscript"/>
        </w:rPr>
        <w:t xml:space="preserve">ac </w:t>
      </w:r>
      <w:proofErr w:type="spellStart"/>
      <w:r w:rsidRPr="00A02DEC">
        <w:rPr>
          <w:iCs/>
          <w:strike/>
          <w:vertAlign w:val="subscript"/>
        </w:rPr>
        <w:t>ra</w:t>
      </w:r>
      <w:proofErr w:type="spellEnd"/>
      <w:r w:rsidRPr="00A02DEC">
        <w:rPr>
          <w:iCs/>
          <w:strike/>
          <w:vertAlign w:val="subscript"/>
        </w:rPr>
        <w:t xml:space="preserve"> max (chosen)</w:t>
      </w:r>
      <w:r w:rsidRPr="00A02DEC">
        <w:rPr>
          <w:strike/>
          <w:vertAlign w:val="subscript"/>
        </w:rPr>
        <w:t xml:space="preserve"> </w:t>
      </w:r>
    </w:p>
    <w:p w14:paraId="24C9C0C5" w14:textId="36F4BAD4" w:rsidR="00137128" w:rsidRPr="00A02DEC" w:rsidRDefault="00137128" w:rsidP="00137128">
      <w:pPr>
        <w:tabs>
          <w:tab w:val="left" w:pos="2835"/>
          <w:tab w:val="left" w:pos="8505"/>
        </w:tabs>
        <w:spacing w:after="120"/>
        <w:ind w:left="2268" w:right="1134" w:hanging="1134"/>
        <w:jc w:val="both"/>
        <w:rPr>
          <w:b/>
          <w:bCs/>
        </w:rPr>
      </w:pPr>
      <w:r>
        <w:tab/>
      </w:r>
      <w:r w:rsidRPr="00137128">
        <w:rPr>
          <w:b/>
          <w:bCs/>
        </w:rPr>
        <w:tab/>
      </w:r>
      <w:r w:rsidRPr="00A02DEC">
        <w:rPr>
          <w:b/>
          <w:bCs/>
          <w:iCs/>
        </w:rPr>
        <w:t>m</w:t>
      </w:r>
      <w:r w:rsidRPr="00A02DEC">
        <w:rPr>
          <w:b/>
          <w:bCs/>
          <w:iCs/>
          <w:vertAlign w:val="subscript"/>
        </w:rPr>
        <w:t xml:space="preserve">ac </w:t>
      </w:r>
      <w:proofErr w:type="spellStart"/>
      <w:r w:rsidRPr="00A02DEC">
        <w:rPr>
          <w:b/>
          <w:bCs/>
          <w:iCs/>
          <w:vertAlign w:val="subscript"/>
        </w:rPr>
        <w:t>ra</w:t>
      </w:r>
      <w:proofErr w:type="spellEnd"/>
      <w:r w:rsidRPr="00A02DEC">
        <w:rPr>
          <w:b/>
          <w:bCs/>
          <w:iCs/>
          <w:vertAlign w:val="subscript"/>
        </w:rPr>
        <w:t xml:space="preserve"> max (4x2 virtual) </w:t>
      </w:r>
      <w:r w:rsidRPr="00A02DEC">
        <w:rPr>
          <w:b/>
          <w:bCs/>
        </w:rPr>
        <w:t>=</w:t>
      </w:r>
      <w:r w:rsidRPr="00A02DEC">
        <w:rPr>
          <w:b/>
          <w:bCs/>
          <w:iCs/>
        </w:rPr>
        <w:t xml:space="preserve"> m</w:t>
      </w:r>
      <w:r w:rsidRPr="00A02DEC">
        <w:rPr>
          <w:b/>
          <w:bCs/>
          <w:iCs/>
          <w:vertAlign w:val="subscript"/>
        </w:rPr>
        <w:t xml:space="preserve">ac </w:t>
      </w:r>
      <w:proofErr w:type="spellStart"/>
      <w:r w:rsidRPr="00A02DEC">
        <w:rPr>
          <w:b/>
          <w:bCs/>
          <w:iCs/>
          <w:vertAlign w:val="subscript"/>
        </w:rPr>
        <w:t>ra</w:t>
      </w:r>
      <w:proofErr w:type="spellEnd"/>
      <w:r w:rsidRPr="00A02DEC">
        <w:rPr>
          <w:b/>
          <w:bCs/>
          <w:iCs/>
          <w:vertAlign w:val="subscript"/>
        </w:rPr>
        <w:t xml:space="preserve"> max (chosen)</w:t>
      </w:r>
      <w:r w:rsidRPr="00A02DEC">
        <w:rPr>
          <w:b/>
          <w:bCs/>
          <w:vertAlign w:val="subscript"/>
        </w:rPr>
        <w:t xml:space="preserve"> </w:t>
      </w:r>
    </w:p>
    <w:p w14:paraId="2554723E" w14:textId="3ADD8085" w:rsidR="00A02DEC" w:rsidRPr="00A02DEC" w:rsidRDefault="002D386F" w:rsidP="00A02DEC">
      <w:pPr>
        <w:tabs>
          <w:tab w:val="left" w:pos="2268"/>
          <w:tab w:val="left" w:pos="8505"/>
        </w:tabs>
        <w:spacing w:after="120"/>
        <w:ind w:left="2268" w:right="1134" w:hanging="1134"/>
        <w:jc w:val="both"/>
      </w:pPr>
      <w:r>
        <w:tab/>
      </w:r>
      <w:r w:rsidR="00A02DEC" w:rsidRPr="00A02DEC">
        <w:t xml:space="preserve">If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iCs/>
        </w:rPr>
        <w:t xml:space="preserve"> </w:t>
      </w:r>
      <w:r w:rsidR="00A02DEC" w:rsidRPr="00A02DEC">
        <w:t xml:space="preserve">≤ 0.75 </w:t>
      </w:r>
      <w:r w:rsidR="00A02DEC" w:rsidRPr="00A02DEC">
        <w:rPr>
          <w:iCs/>
        </w:rPr>
        <w:t>m</w:t>
      </w:r>
      <w:r w:rsidR="00A02DEC" w:rsidRPr="00A02DEC">
        <w:rPr>
          <w:iCs/>
          <w:vertAlign w:val="subscript"/>
        </w:rPr>
        <w:t xml:space="preserve">ac </w:t>
      </w:r>
      <w:proofErr w:type="spellStart"/>
      <w:r w:rsidR="00A02DEC" w:rsidRPr="00A02DEC">
        <w:rPr>
          <w:iCs/>
          <w:vertAlign w:val="subscript"/>
        </w:rPr>
        <w:t>ra</w:t>
      </w:r>
      <w:proofErr w:type="spellEnd"/>
      <w:r w:rsidR="00A02DEC" w:rsidRPr="00A02DEC">
        <w:rPr>
          <w:iCs/>
          <w:vertAlign w:val="subscript"/>
        </w:rPr>
        <w:t xml:space="preserve"> max (chosen)</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rPr>
          <w:iCs/>
        </w:rPr>
        <w:tab/>
      </w:r>
    </w:p>
    <w:p w14:paraId="33AF854C" w14:textId="76D02E07" w:rsidR="00A02DEC" w:rsidRPr="00A02DEC" w:rsidRDefault="002D386F" w:rsidP="006F50D4">
      <w:pPr>
        <w:tabs>
          <w:tab w:val="left" w:pos="2835"/>
          <w:tab w:val="left" w:pos="8505"/>
        </w:tabs>
        <w:spacing w:after="120"/>
        <w:ind w:left="2268" w:right="1134" w:hanging="1134"/>
        <w:jc w:val="both"/>
      </w:pPr>
      <w:r>
        <w:tab/>
      </w:r>
      <w:r w:rsidR="00333742">
        <w:tab/>
      </w:r>
      <w:r w:rsidR="00A02DEC" w:rsidRPr="00A02DEC">
        <w:t>then</w:t>
      </w:r>
    </w:p>
    <w:p w14:paraId="6F99871A" w14:textId="00BBD85F" w:rsidR="00A02DEC" w:rsidRPr="00A02DEC" w:rsidRDefault="002D386F" w:rsidP="006F50D4">
      <w:pPr>
        <w:tabs>
          <w:tab w:val="left" w:pos="2835"/>
        </w:tabs>
        <w:spacing w:after="120"/>
        <w:ind w:left="2268" w:right="1134" w:hanging="1134"/>
        <w:jc w:val="both"/>
      </w:pPr>
      <w:r>
        <w:rPr>
          <w:iCs/>
        </w:rPr>
        <w:tab/>
      </w:r>
      <w:r w:rsidR="00333742">
        <w:rPr>
          <w:iCs/>
        </w:rPr>
        <w:tab/>
      </w:r>
      <w:proofErr w:type="spellStart"/>
      <w:r w:rsidR="00A02DEC" w:rsidRPr="00A02DEC">
        <w:rPr>
          <w:iCs/>
        </w:rPr>
        <w:t>m</w:t>
      </w:r>
      <w:r w:rsidR="00A02DEC" w:rsidRPr="00A02DEC">
        <w:rPr>
          <w:iCs/>
          <w:vertAlign w:val="subscript"/>
        </w:rPr>
        <w:t>t</w:t>
      </w:r>
      <w:proofErr w:type="spellEnd"/>
      <w:r w:rsidR="00A02DEC" w:rsidRPr="00A02DEC">
        <w:rPr>
          <w:iCs/>
          <w:vertAlign w:val="subscript"/>
        </w:rPr>
        <w:t xml:space="preserve"> (2 axles virtual)</w:t>
      </w:r>
      <w:r w:rsidR="00A02DEC" w:rsidRPr="00A02DEC">
        <w:rPr>
          <w:vertAlign w:val="subscript"/>
        </w:rPr>
        <w:t xml:space="preserve"> </w:t>
      </w:r>
      <w:r w:rsidR="00A02DEC" w:rsidRPr="00A02DEC">
        <w:t xml:space="preserve">=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vertAlign w:val="subscript"/>
        </w:rPr>
        <w:t xml:space="preserve"> </w:t>
      </w:r>
      <w:r w:rsidR="00A02DEC" w:rsidRPr="00A02DEC">
        <w:t xml:space="preserve">+ </w:t>
      </w:r>
      <w:r w:rsidR="00A02DEC" w:rsidRPr="00A02DEC">
        <w:rPr>
          <w:iCs/>
        </w:rPr>
        <w:t>m</w:t>
      </w:r>
      <w:r w:rsidR="00A02DEC" w:rsidRPr="00A02DEC">
        <w:rPr>
          <w:iCs/>
          <w:vertAlign w:val="subscript"/>
        </w:rPr>
        <w:t>d</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fa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p>
    <w:p w14:paraId="6FE0F01F" w14:textId="4E74C02A" w:rsidR="00A02DEC" w:rsidRPr="00A02DEC" w:rsidRDefault="002D386F" w:rsidP="006F50D4">
      <w:pPr>
        <w:tabs>
          <w:tab w:val="left" w:pos="2268"/>
          <w:tab w:val="left" w:pos="2835"/>
          <w:tab w:val="left" w:pos="8505"/>
        </w:tabs>
        <w:spacing w:after="120"/>
        <w:ind w:left="2268" w:right="1134" w:hanging="1134"/>
        <w:jc w:val="both"/>
      </w:pPr>
      <w:r>
        <w:tab/>
      </w:r>
      <w:r w:rsidR="00333742">
        <w:tab/>
      </w:r>
      <w:r w:rsidR="00A02DEC" w:rsidRPr="00A02DEC">
        <w:t xml:space="preserve">and </w:t>
      </w:r>
    </w:p>
    <w:p w14:paraId="2368C2E2" w14:textId="6FFCF3C8" w:rsidR="00A02DEC" w:rsidRPr="00A02DEC" w:rsidRDefault="002D386F" w:rsidP="006F50D4">
      <w:pPr>
        <w:tabs>
          <w:tab w:val="left" w:pos="2268"/>
          <w:tab w:val="left" w:pos="2835"/>
          <w:tab w:val="left" w:pos="8505"/>
        </w:tabs>
        <w:spacing w:after="120"/>
        <w:ind w:left="2268" w:right="1134" w:hanging="1134"/>
        <w:jc w:val="both"/>
      </w:pPr>
      <w:r>
        <w:rPr>
          <w:iCs/>
        </w:rPr>
        <w:tab/>
      </w:r>
      <w:r w:rsidR="00333742">
        <w:rPr>
          <w:iCs/>
        </w:rPr>
        <w:tab/>
      </w:r>
      <w:proofErr w:type="spellStart"/>
      <w:r w:rsidR="00A02DEC" w:rsidRPr="00A02DEC">
        <w:rPr>
          <w:iCs/>
        </w:rPr>
        <w:t>m</w:t>
      </w:r>
      <w:r w:rsidR="00A02DEC" w:rsidRPr="00A02DEC">
        <w:rPr>
          <w:iCs/>
          <w:vertAlign w:val="subscript"/>
        </w:rPr>
        <w:t>t</w:t>
      </w:r>
      <w:proofErr w:type="spellEnd"/>
      <w:r w:rsidR="00A02DEC" w:rsidRPr="00A02DEC">
        <w:rPr>
          <w:iCs/>
          <w:vertAlign w:val="subscript"/>
        </w:rPr>
        <w:t xml:space="preserve"> (2 axles virtual)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target</w:t>
      </w:r>
      <w:proofErr w:type="spellEnd"/>
      <w:r w:rsidR="00A02DEC" w:rsidRPr="00A02DEC">
        <w:rPr>
          <w:vertAlign w:val="subscript"/>
        </w:rPr>
        <w:t xml:space="preserve"> </w:t>
      </w:r>
    </w:p>
    <w:p w14:paraId="0509280E" w14:textId="0F5F7B3D" w:rsidR="00A02DEC" w:rsidRPr="00A02DEC" w:rsidRDefault="002D386F" w:rsidP="00A02DEC">
      <w:pPr>
        <w:tabs>
          <w:tab w:val="left" w:pos="2268"/>
          <w:tab w:val="left" w:pos="8505"/>
        </w:tabs>
        <w:spacing w:after="120"/>
        <w:ind w:left="2268" w:right="1134" w:hanging="1134"/>
        <w:jc w:val="both"/>
        <w:rPr>
          <w:iCs/>
        </w:rPr>
      </w:pPr>
      <w:r>
        <w:tab/>
      </w:r>
      <w:r w:rsidR="00A02DEC" w:rsidRPr="00A02DEC">
        <w:t xml:space="preserve">If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iCs/>
        </w:rPr>
        <w:t xml:space="preserve"> </w:t>
      </w:r>
      <w:r w:rsidR="00A02DEC" w:rsidRPr="00A02DEC">
        <w:t xml:space="preserve">&gt; 0.75 </w:t>
      </w:r>
      <w:r w:rsidR="00A02DEC" w:rsidRPr="00A02DEC">
        <w:rPr>
          <w:iCs/>
        </w:rPr>
        <w:t>m</w:t>
      </w:r>
      <w:r w:rsidR="00A02DEC" w:rsidRPr="00A02DEC">
        <w:rPr>
          <w:iCs/>
          <w:vertAlign w:val="subscript"/>
        </w:rPr>
        <w:t xml:space="preserve">ac </w:t>
      </w:r>
      <w:proofErr w:type="spellStart"/>
      <w:r w:rsidR="00A02DEC" w:rsidRPr="00A02DEC">
        <w:rPr>
          <w:iCs/>
          <w:vertAlign w:val="subscript"/>
        </w:rPr>
        <w:t>ra</w:t>
      </w:r>
      <w:proofErr w:type="spellEnd"/>
      <w:r w:rsidR="00A02DEC" w:rsidRPr="00A02DEC">
        <w:rPr>
          <w:iCs/>
          <w:vertAlign w:val="subscript"/>
        </w:rPr>
        <w:t xml:space="preserve"> max (chosen)</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rPr>
          <w:iCs/>
        </w:rPr>
        <w:tab/>
      </w:r>
    </w:p>
    <w:p w14:paraId="4B524D4B" w14:textId="56212868" w:rsidR="00A02DEC" w:rsidRPr="00A02DEC" w:rsidRDefault="002D386F" w:rsidP="006F50D4">
      <w:pPr>
        <w:tabs>
          <w:tab w:val="left" w:pos="2835"/>
          <w:tab w:val="left" w:pos="8505"/>
        </w:tabs>
        <w:spacing w:after="120"/>
        <w:ind w:left="2268" w:right="1134" w:hanging="1134"/>
        <w:jc w:val="both"/>
      </w:pPr>
      <w:r>
        <w:tab/>
      </w:r>
      <w:r w:rsidR="00333742">
        <w:tab/>
      </w:r>
      <w:r w:rsidR="00A02DEC" w:rsidRPr="00A02DEC">
        <w:t xml:space="preserve">then </w:t>
      </w:r>
    </w:p>
    <w:p w14:paraId="2F6C1688" w14:textId="4CDC83D3"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proofErr w:type="spellStart"/>
      <w:r w:rsidRPr="00A02DEC">
        <w:rPr>
          <w:iCs/>
        </w:rPr>
        <w:t>m</w:t>
      </w:r>
      <w:r w:rsidRPr="00A02DEC">
        <w:rPr>
          <w:iCs/>
          <w:vertAlign w:val="subscript"/>
        </w:rPr>
        <w:t>t</w:t>
      </w:r>
      <w:proofErr w:type="spellEnd"/>
      <w:r w:rsidRPr="00A02DEC">
        <w:rPr>
          <w:iCs/>
          <w:vertAlign w:val="subscript"/>
        </w:rPr>
        <w:t xml:space="preserve"> (2 axles virtual)</w:t>
      </w:r>
      <w:r w:rsidRPr="00A02DEC">
        <w:rPr>
          <w:vertAlign w:val="subscript"/>
        </w:rPr>
        <w:t xml:space="preserve"> </w:t>
      </w:r>
      <w:r w:rsidRPr="00A02DEC">
        <w:t xml:space="preserve">= 0.75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(chosen)</w:t>
      </w:r>
      <w:r w:rsidRPr="00A02DEC">
        <w:rPr>
          <w:iCs/>
        </w:rPr>
        <w:t xml:space="preserve"> </w:t>
      </w:r>
      <w:r w:rsidRPr="00A02DEC">
        <w:t xml:space="preserve">+ </w:t>
      </w:r>
      <w:r w:rsidRPr="00A02DEC">
        <w:rPr>
          <w:iCs/>
        </w:rPr>
        <w:t>m</w:t>
      </w:r>
      <w:r w:rsidRPr="00A02DEC">
        <w:rPr>
          <w:iCs/>
          <w:vertAlign w:val="subscript"/>
        </w:rPr>
        <w:t>d</w:t>
      </w:r>
      <w:r w:rsidRPr="00A02DEC">
        <w:rPr>
          <w:iCs/>
        </w:rPr>
        <w:t xml:space="preserve"> </w:t>
      </w:r>
      <w:r w:rsidRPr="00A02DEC">
        <w:t>+</w:t>
      </w:r>
      <w:r w:rsidRPr="00A02DEC">
        <w:rPr>
          <w:iCs/>
        </w:rPr>
        <w:t xml:space="preserve"> </w:t>
      </w:r>
      <w:proofErr w:type="spellStart"/>
      <w:r w:rsidRPr="00A02DEC">
        <w:rPr>
          <w:iCs/>
        </w:rPr>
        <w:t>m</w:t>
      </w:r>
      <w:r w:rsidRPr="00A02DEC">
        <w:rPr>
          <w:iCs/>
          <w:vertAlign w:val="subscript"/>
        </w:rPr>
        <w:t>fa</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load unladen </w:t>
      </w:r>
    </w:p>
    <w:p w14:paraId="60A9228A" w14:textId="2AD19D66"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r w:rsidRPr="00A02DEC">
        <w:t xml:space="preserve">and </w:t>
      </w:r>
    </w:p>
    <w:p w14:paraId="539EFEBE" w14:textId="469021A1"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proofErr w:type="spellStart"/>
      <w:r w:rsidRPr="00A02DEC">
        <w:rPr>
          <w:iCs/>
        </w:rPr>
        <w:t>m</w:t>
      </w:r>
      <w:r w:rsidRPr="00A02DEC">
        <w:rPr>
          <w:iCs/>
          <w:vertAlign w:val="subscript"/>
        </w:rPr>
        <w:t>t</w:t>
      </w:r>
      <w:proofErr w:type="spellEnd"/>
      <w:r w:rsidRPr="00A02DEC">
        <w:rPr>
          <w:iCs/>
          <w:vertAlign w:val="subscript"/>
        </w:rPr>
        <w:t xml:space="preserve"> (2 axles virtual) </w:t>
      </w:r>
      <w:r w:rsidRPr="00A02DEC">
        <w:t>&lt;</w:t>
      </w:r>
      <w:r w:rsidRPr="00A02DEC">
        <w:rPr>
          <w:iCs/>
        </w:rPr>
        <w:t xml:space="preserve"> </w:t>
      </w:r>
      <w:proofErr w:type="spellStart"/>
      <w:r w:rsidRPr="00A02DEC">
        <w:rPr>
          <w:iCs/>
        </w:rPr>
        <w:t>m</w:t>
      </w:r>
      <w:r w:rsidRPr="00A02DEC">
        <w:rPr>
          <w:iCs/>
          <w:vertAlign w:val="subscript"/>
        </w:rPr>
        <w:t>target</w:t>
      </w:r>
      <w:proofErr w:type="spellEnd"/>
      <w:r w:rsidRPr="00A02DEC">
        <w:rPr>
          <w:iCs/>
          <w:vertAlign w:val="subscript"/>
        </w:rPr>
        <w:t xml:space="preserve">   </w:t>
      </w:r>
    </w:p>
    <w:p w14:paraId="159FAD78" w14:textId="0429B3E0" w:rsidR="00A02DEC" w:rsidRPr="00A02DEC" w:rsidRDefault="002D386F" w:rsidP="00A02DEC">
      <w:pPr>
        <w:tabs>
          <w:tab w:val="left" w:pos="2268"/>
          <w:tab w:val="left" w:pos="8505"/>
        </w:tabs>
        <w:spacing w:after="120"/>
        <w:ind w:left="2268" w:right="1134" w:hanging="1134"/>
        <w:jc w:val="both"/>
      </w:pPr>
      <w:r>
        <w:tab/>
      </w:r>
      <w:r w:rsidR="00A02DEC" w:rsidRPr="00A02DEC">
        <w:t>The test mass of the vehicle with more than two axles representing the vehicle family is defined as followed:</w:t>
      </w:r>
    </w:p>
    <w:p w14:paraId="29CEA465" w14:textId="77777777" w:rsidR="00A02DEC" w:rsidRPr="00A02DEC" w:rsidRDefault="00A02DEC" w:rsidP="00A02DEC">
      <w:pPr>
        <w:tabs>
          <w:tab w:val="left" w:pos="2268"/>
          <w:tab w:val="left" w:pos="8505"/>
        </w:tabs>
        <w:spacing w:after="120"/>
        <w:ind w:left="2268" w:right="1134" w:hanging="1134"/>
        <w:jc w:val="both"/>
      </w:pPr>
      <w:r w:rsidRPr="00A02DEC">
        <w:rPr>
          <w:iCs/>
        </w:rPr>
        <w:tab/>
      </w:r>
      <w:proofErr w:type="spellStart"/>
      <w:r w:rsidRPr="00A02DEC">
        <w:rPr>
          <w:iCs/>
        </w:rPr>
        <w:t>m</w:t>
      </w:r>
      <w:r w:rsidRPr="00A02DEC">
        <w:rPr>
          <w:iCs/>
          <w:vertAlign w:val="subscript"/>
        </w:rPr>
        <w:t>t</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w:t>
      </w:r>
      <w:r w:rsidRPr="00A02DEC">
        <w:t xml:space="preserve">= </w:t>
      </w:r>
      <w:proofErr w:type="spellStart"/>
      <w:r w:rsidRPr="00A02DEC">
        <w:rPr>
          <w:iCs/>
        </w:rPr>
        <w:t>m</w:t>
      </w:r>
      <w:r w:rsidRPr="00A02DEC">
        <w:rPr>
          <w:iCs/>
          <w:vertAlign w:val="subscript"/>
        </w:rPr>
        <w:t>t</w:t>
      </w:r>
      <w:proofErr w:type="spellEnd"/>
      <w:r w:rsidRPr="00A02DEC">
        <w:rPr>
          <w:iCs/>
          <w:vertAlign w:val="subscript"/>
        </w:rPr>
        <w:t xml:space="preserve"> (2 axles virtual) </w:t>
      </w:r>
    </w:p>
    <w:p w14:paraId="77857B53" w14:textId="77777777" w:rsidR="00A02DEC" w:rsidRPr="00A02DEC" w:rsidRDefault="00A02DEC" w:rsidP="00A02DEC">
      <w:pPr>
        <w:tabs>
          <w:tab w:val="left" w:pos="2268"/>
          <w:tab w:val="left" w:pos="8505"/>
        </w:tabs>
        <w:spacing w:after="120"/>
        <w:ind w:left="2268" w:right="1134" w:hanging="1134"/>
        <w:jc w:val="both"/>
      </w:pPr>
      <w:r w:rsidRPr="00A02DEC">
        <w:tab/>
        <w:t>and the extra loading is calculated as</w:t>
      </w:r>
    </w:p>
    <w:p w14:paraId="56D907AD" w14:textId="64C30BD8" w:rsidR="00A02DEC" w:rsidRPr="00A02DEC" w:rsidRDefault="00A02DEC" w:rsidP="00A02DEC">
      <w:pPr>
        <w:tabs>
          <w:tab w:val="left" w:pos="2268"/>
          <w:tab w:val="left" w:pos="8505"/>
        </w:tabs>
        <w:spacing w:after="120"/>
        <w:ind w:left="2268" w:right="1134" w:hanging="1134"/>
        <w:jc w:val="both"/>
      </w:pPr>
      <w:r w:rsidRPr="00A02DEC">
        <w:tab/>
      </w:r>
      <w:proofErr w:type="spellStart"/>
      <w:r w:rsidRPr="00A02DEC">
        <w:rPr>
          <w:iCs/>
        </w:rPr>
        <w:t>m</w:t>
      </w:r>
      <w:r w:rsidRPr="00A02DEC">
        <w:rPr>
          <w:iCs/>
          <w:vertAlign w:val="subscript"/>
        </w:rPr>
        <w:t>xload</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w:t>
      </w:r>
      <w:r w:rsidRPr="00A02DEC">
        <w:t xml:space="preserve">= </w:t>
      </w:r>
      <w:proofErr w:type="spellStart"/>
      <w:r w:rsidRPr="00A02DEC">
        <w:rPr>
          <w:iCs/>
        </w:rPr>
        <w:t>m</w:t>
      </w:r>
      <w:r w:rsidRPr="00A02DEC">
        <w:rPr>
          <w:iCs/>
          <w:vertAlign w:val="subscript"/>
        </w:rPr>
        <w:t>t</w:t>
      </w:r>
      <w:proofErr w:type="spellEnd"/>
      <w:r w:rsidRPr="00A02DEC">
        <w:rPr>
          <w:iCs/>
          <w:vertAlign w:val="subscript"/>
        </w:rPr>
        <w:t xml:space="preserve"> (2 axles virtual) </w:t>
      </w:r>
      <w:r w:rsidRPr="00A02DEC">
        <w:t xml:space="preserve">– </w:t>
      </w:r>
      <w:r w:rsidRPr="00A02DEC">
        <w:rPr>
          <w:iCs/>
        </w:rPr>
        <w:t>m</w:t>
      </w:r>
      <w:r w:rsidRPr="00A02DEC">
        <w:rPr>
          <w:iCs/>
          <w:vertAlign w:val="subscript"/>
        </w:rPr>
        <w:t>d</w:t>
      </w:r>
      <w:r w:rsidRPr="00A02DEC">
        <w:t xml:space="preserve"> – </w:t>
      </w:r>
      <w:proofErr w:type="spellStart"/>
      <w:r w:rsidRPr="00A02DEC">
        <w:rPr>
          <w:iCs/>
        </w:rPr>
        <w:t>m</w:t>
      </w:r>
      <w:r w:rsidRPr="00A02DEC">
        <w:rPr>
          <w:iCs/>
          <w:vertAlign w:val="subscript"/>
        </w:rPr>
        <w:t>unladen</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w:t>
      </w:r>
      <w:r w:rsidR="005B0AEF" w:rsidRPr="00776DC3">
        <w:t>"</w:t>
      </w:r>
    </w:p>
    <w:p w14:paraId="5BCE1459" w14:textId="2F13BD42" w:rsidR="00E74F57" w:rsidRDefault="00641F53" w:rsidP="00E74F57">
      <w:pPr>
        <w:keepLines/>
        <w:spacing w:after="120"/>
        <w:ind w:left="2268" w:right="1134" w:hanging="1134"/>
        <w:jc w:val="both"/>
        <w:rPr>
          <w:iCs/>
        </w:rPr>
      </w:pPr>
      <w:r w:rsidRPr="00641F53">
        <w:rPr>
          <w:i/>
        </w:rPr>
        <w:t xml:space="preserve">Annex 3, Appendix </w:t>
      </w:r>
      <w:r>
        <w:rPr>
          <w:i/>
        </w:rPr>
        <w:t xml:space="preserve">2, </w:t>
      </w:r>
      <w:r w:rsidR="007B25DD">
        <w:rPr>
          <w:i/>
        </w:rPr>
        <w:t>p</w:t>
      </w:r>
      <w:r w:rsidR="00E74F57" w:rsidRPr="00DB270F">
        <w:rPr>
          <w:i/>
        </w:rPr>
        <w:t xml:space="preserve">aragraph </w:t>
      </w:r>
      <w:r w:rsidR="00770F40">
        <w:rPr>
          <w:i/>
        </w:rPr>
        <w:t>3</w:t>
      </w:r>
      <w:r w:rsidR="00E74F57" w:rsidRPr="00A02DEC">
        <w:rPr>
          <w:i/>
        </w:rPr>
        <w:t>.3.4.</w:t>
      </w:r>
      <w:r w:rsidR="00E74F57" w:rsidRPr="00DB270F">
        <w:rPr>
          <w:i/>
        </w:rPr>
        <w:t>,</w:t>
      </w:r>
      <w:r w:rsidR="00E74F57" w:rsidRPr="00776DC3">
        <w:rPr>
          <w:i/>
        </w:rPr>
        <w:t xml:space="preserve"> </w:t>
      </w:r>
      <w:r w:rsidR="00E74F57" w:rsidRPr="00776DC3">
        <w:rPr>
          <w:iCs/>
        </w:rPr>
        <w:t>amend to read:</w:t>
      </w:r>
    </w:p>
    <w:p w14:paraId="47FC2209" w14:textId="0729090D" w:rsidR="00274749" w:rsidRPr="00D4723B" w:rsidRDefault="005B0AEF" w:rsidP="00E74F57">
      <w:pPr>
        <w:keepLines/>
        <w:spacing w:after="120"/>
        <w:ind w:left="2268" w:right="1134" w:hanging="1134"/>
        <w:jc w:val="both"/>
        <w:rPr>
          <w:bCs/>
        </w:rPr>
      </w:pPr>
      <w:r w:rsidRPr="00776DC3">
        <w:t>"</w:t>
      </w:r>
      <w:r w:rsidR="00274749" w:rsidRPr="00D4723B">
        <w:rPr>
          <w:bCs/>
        </w:rPr>
        <w:t>3.3.4.</w:t>
      </w:r>
      <w:r w:rsidR="00274749" w:rsidRPr="00D4723B">
        <w:rPr>
          <w:bCs/>
        </w:rPr>
        <w:tab/>
        <w:t>For each gear, run</w:t>
      </w:r>
      <w:r w:rsidR="00274749" w:rsidRPr="00D4723B">
        <w:rPr>
          <w:b/>
        </w:rPr>
        <w:t xml:space="preserve">, </w:t>
      </w:r>
      <w:r w:rsidR="00274749" w:rsidRPr="00D4723B">
        <w:rPr>
          <w:bCs/>
        </w:rPr>
        <w:t>and vehicle side</w:t>
      </w:r>
      <w:r w:rsidR="00274749" w:rsidRPr="00D4723B">
        <w:rPr>
          <w:b/>
        </w:rPr>
        <w:t xml:space="preserve">, </w:t>
      </w:r>
      <w:r w:rsidR="00274749" w:rsidRPr="00D4723B">
        <w:rPr>
          <w:bCs/>
        </w:rPr>
        <w:t xml:space="preserve">extract the power train component </w:t>
      </w:r>
      <w:proofErr w:type="spellStart"/>
      <w:proofErr w:type="gramStart"/>
      <w:r w:rsidR="00274749" w:rsidRPr="00D4723B">
        <w:rPr>
          <w:bCs/>
        </w:rPr>
        <w:t>L</w:t>
      </w:r>
      <w:r w:rsidR="00274749" w:rsidRPr="00D4723B">
        <w:rPr>
          <w:bCs/>
          <w:vertAlign w:val="subscript"/>
        </w:rPr>
        <w:t>PT,wot</w:t>
      </w:r>
      <w:proofErr w:type="gramEnd"/>
      <w:r w:rsidR="00274749" w:rsidRPr="00D4723B">
        <w:rPr>
          <w:bCs/>
          <w:vertAlign w:val="subscript"/>
        </w:rPr>
        <w:t>,j</w:t>
      </w:r>
      <w:proofErr w:type="spellEnd"/>
      <w:r w:rsidR="00274749" w:rsidRPr="00D4723B">
        <w:rPr>
          <w:bCs/>
        </w:rPr>
        <w:t xml:space="preserve"> from the reported acceleration test </w:t>
      </w:r>
      <w:proofErr w:type="spellStart"/>
      <w:r w:rsidR="00274749" w:rsidRPr="00D4723B">
        <w:rPr>
          <w:bCs/>
        </w:rPr>
        <w:t>L</w:t>
      </w:r>
      <w:r w:rsidR="00274749" w:rsidRPr="00D4723B">
        <w:rPr>
          <w:bCs/>
          <w:vertAlign w:val="subscript"/>
        </w:rPr>
        <w:t>wot,j</w:t>
      </w:r>
      <w:proofErr w:type="spellEnd"/>
      <w:r w:rsidR="00274749" w:rsidRPr="00D4723B">
        <w:rPr>
          <w:bCs/>
        </w:rPr>
        <w:t>, by calculation.</w:t>
      </w:r>
    </w:p>
    <w:p w14:paraId="2EB294D4" w14:textId="77777777" w:rsidR="00274749" w:rsidRPr="00D4723B" w:rsidRDefault="007C0F6A" w:rsidP="00274749">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w:bookmarkStart w:id="0" w:name="_Hlk162966095"/>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w:bookmarkEnd w:id="0"/>
                    </m:sup>
                  </m:sSup>
                </m:e>
              </m:d>
            </m:e>
          </m:func>
        </m:oMath>
      </m:oMathPara>
    </w:p>
    <w:p w14:paraId="14044F87" w14:textId="77777777" w:rsidR="00274749" w:rsidRPr="00D4723B" w:rsidRDefault="00274749" w:rsidP="00274749">
      <w:pPr>
        <w:keepLines/>
        <w:spacing w:after="120"/>
        <w:ind w:left="2268" w:right="1134"/>
        <w:jc w:val="both"/>
        <w:rPr>
          <w:bCs/>
          <w:strike/>
        </w:rPr>
      </w:pPr>
      <w:r w:rsidRPr="00D4723B">
        <w:rPr>
          <w:bCs/>
        </w:rPr>
        <w:t>In case that</w:t>
      </w:r>
      <w:r w:rsidRPr="00D4723B">
        <w:rPr>
          <w:bCs/>
          <w:strike/>
        </w:rPr>
        <w:t xml:space="preserve"> </w:t>
      </w:r>
    </w:p>
    <w:p w14:paraId="046B9E9A" w14:textId="77777777" w:rsidR="00274749" w:rsidRPr="00D4723B" w:rsidRDefault="00274749" w:rsidP="00274749">
      <w:pPr>
        <w:tabs>
          <w:tab w:val="left" w:pos="2268"/>
        </w:tabs>
        <w:spacing w:after="120"/>
        <w:ind w:left="2268" w:right="1134" w:hanging="1134"/>
        <w:jc w:val="both"/>
      </w:pPr>
      <w:r w:rsidRPr="00D4723B">
        <w:tab/>
      </w:r>
      <m:oMath>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m:sup>
        </m:sSup>
      </m:oMath>
      <w:r w:rsidRPr="00D4723B">
        <w:t xml:space="preserve"> ≥ 0.99 × 10</w:t>
      </w:r>
      <w:r w:rsidRPr="00D4723B">
        <w:rPr>
          <w:vertAlign w:val="superscript"/>
        </w:rPr>
        <w:t>0.1×</w:t>
      </w:r>
      <w:proofErr w:type="gramStart"/>
      <w:r w:rsidRPr="00D4723B">
        <w:rPr>
          <w:vertAlign w:val="superscript"/>
        </w:rPr>
        <w:t>Lwot,j</w:t>
      </w:r>
      <w:proofErr w:type="gramEnd"/>
    </w:p>
    <w:p w14:paraId="2FB02209" w14:textId="77777777" w:rsidR="00274749" w:rsidRPr="00D4723B" w:rsidRDefault="00274749" w:rsidP="00274749">
      <w:pPr>
        <w:keepLines/>
        <w:spacing w:after="120"/>
        <w:ind w:left="2268" w:right="1134"/>
        <w:jc w:val="both"/>
        <w:rPr>
          <w:bCs/>
        </w:rPr>
      </w:pPr>
      <w:r w:rsidRPr="00D4723B">
        <w:rPr>
          <w:bCs/>
        </w:rPr>
        <w:t xml:space="preserve">the power train component </w:t>
      </w:r>
      <w:proofErr w:type="spellStart"/>
      <w:proofErr w:type="gramStart"/>
      <w:r w:rsidRPr="00D4723B">
        <w:rPr>
          <w:bCs/>
        </w:rPr>
        <w:t>L</w:t>
      </w:r>
      <w:r w:rsidRPr="00D4723B">
        <w:rPr>
          <w:bCs/>
          <w:vertAlign w:val="subscript"/>
        </w:rPr>
        <w:t>PT,wot</w:t>
      </w:r>
      <w:proofErr w:type="gramEnd"/>
      <w:r w:rsidRPr="00D4723B">
        <w:rPr>
          <w:bCs/>
          <w:vertAlign w:val="subscript"/>
        </w:rPr>
        <w:t>,j</w:t>
      </w:r>
      <w:proofErr w:type="spellEnd"/>
      <w:r w:rsidRPr="00D4723B">
        <w:rPr>
          <w:bCs/>
        </w:rPr>
        <w:t xml:space="preserve"> is determined by </w:t>
      </w:r>
    </w:p>
    <w:p w14:paraId="13166D91" w14:textId="77777777" w:rsidR="00274749" w:rsidRPr="00D4723B" w:rsidRDefault="007C0F6A" w:rsidP="00274749">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r>
                    <m:rPr>
                      <m:sty m:val="p"/>
                    </m:rPr>
                    <w:rPr>
                      <w:rFonts w:ascii="Cambria Math" w:hAnsi="Cambria Math"/>
                    </w:rPr>
                    <m:t>0.01×</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e>
              </m:d>
            </m:e>
          </m:func>
        </m:oMath>
      </m:oMathPara>
    </w:p>
    <w:p w14:paraId="5E76134A" w14:textId="77777777" w:rsidR="00274749" w:rsidRPr="00D4723B" w:rsidRDefault="00274749" w:rsidP="00274749">
      <w:pPr>
        <w:tabs>
          <w:tab w:val="left" w:pos="2268"/>
        </w:tabs>
        <w:spacing w:after="120"/>
        <w:ind w:left="2268" w:right="1134" w:hanging="1134"/>
      </w:pPr>
      <w:r w:rsidRPr="00D4723B">
        <w:rPr>
          <w:b/>
          <w:bCs/>
        </w:rPr>
        <w:tab/>
      </w:r>
      <w:r w:rsidRPr="00D4723B">
        <w:t xml:space="preserve">with </w:t>
      </w:r>
      <w:proofErr w:type="spellStart"/>
      <w:proofErr w:type="gramStart"/>
      <w:r w:rsidRPr="00D4723B">
        <w:t>L</w:t>
      </w:r>
      <w:r w:rsidRPr="00D4723B">
        <w:rPr>
          <w:vertAlign w:val="subscript"/>
        </w:rPr>
        <w:t>TR,wot</w:t>
      </w:r>
      <w:proofErr w:type="gramEnd"/>
      <w:r w:rsidRPr="00D4723B">
        <w:rPr>
          <w:vertAlign w:val="subscript"/>
        </w:rPr>
        <w:t>,j,ϑwot</w:t>
      </w:r>
      <w:proofErr w:type="spellEnd"/>
      <w:r w:rsidRPr="00D4723B">
        <w:t xml:space="preserve"> redefined as </w:t>
      </w:r>
    </w:p>
    <w:p w14:paraId="72CEDFE3" w14:textId="77777777" w:rsidR="00274749" w:rsidRPr="00D4723B" w:rsidRDefault="00274749" w:rsidP="00274749">
      <w:pPr>
        <w:tabs>
          <w:tab w:val="left" w:pos="2268"/>
        </w:tabs>
        <w:spacing w:after="120"/>
        <w:ind w:left="2268" w:right="1134" w:hanging="1134"/>
      </w:pPr>
      <w:r w:rsidRPr="00D4723B">
        <w:tab/>
      </w:r>
      <w:proofErr w:type="spellStart"/>
      <w:proofErr w:type="gramStart"/>
      <w:r w:rsidRPr="00D4723B">
        <w:t>L</w:t>
      </w:r>
      <w:r w:rsidRPr="00D4723B">
        <w:rPr>
          <w:vertAlign w:val="subscript"/>
        </w:rPr>
        <w:t>TR,wot</w:t>
      </w:r>
      <w:proofErr w:type="gramEnd"/>
      <w:r w:rsidRPr="00D4723B">
        <w:rPr>
          <w:vertAlign w:val="subscript"/>
        </w:rPr>
        <w:t>,j,ϑwot</w:t>
      </w:r>
      <w:proofErr w:type="spellEnd"/>
      <w:r w:rsidRPr="00D4723B">
        <w:t xml:space="preserve"> = 10 × </w:t>
      </w:r>
      <w:proofErr w:type="spellStart"/>
      <w:r w:rsidRPr="00D4723B">
        <w:t>lg</w:t>
      </w:r>
      <w:proofErr w:type="spellEnd"/>
      <w:r w:rsidRPr="00D4723B">
        <w:t>(0.99 × 10</w:t>
      </w:r>
      <w:r w:rsidRPr="00D4723B">
        <w:rPr>
          <w:vertAlign w:val="superscript"/>
        </w:rPr>
        <w:t>0.1×Lwot,j</w:t>
      </w:r>
      <w:r w:rsidRPr="00D4723B">
        <w:t>)</w:t>
      </w:r>
    </w:p>
    <w:p w14:paraId="056FF7C9" w14:textId="5A177812" w:rsidR="00274749" w:rsidRPr="005D79B0" w:rsidRDefault="00274749" w:rsidP="00274749">
      <w:pPr>
        <w:tabs>
          <w:tab w:val="left" w:pos="2268"/>
        </w:tabs>
        <w:spacing w:after="120"/>
        <w:ind w:left="2268" w:right="1134" w:hanging="1134"/>
      </w:pPr>
      <w:r w:rsidRPr="00455BCD">
        <w:tab/>
      </w:r>
      <w:r w:rsidRPr="00D62C0A">
        <w:t xml:space="preserve">The redefined </w:t>
      </w:r>
      <w:proofErr w:type="spellStart"/>
      <w:proofErr w:type="gramStart"/>
      <w:r w:rsidRPr="00D62C0A">
        <w:t>L</w:t>
      </w:r>
      <w:r w:rsidRPr="00D62C0A">
        <w:rPr>
          <w:vertAlign w:val="subscript"/>
        </w:rPr>
        <w:t>TR,wot</w:t>
      </w:r>
      <w:proofErr w:type="gramEnd"/>
      <w:r w:rsidRPr="00D62C0A">
        <w:rPr>
          <w:vertAlign w:val="subscript"/>
        </w:rPr>
        <w:t>,j,ϑwot</w:t>
      </w:r>
      <w:proofErr w:type="spellEnd"/>
      <w:r w:rsidRPr="00D62C0A">
        <w:rPr>
          <w:vertAlign w:val="subscript"/>
        </w:rPr>
        <w:t xml:space="preserve"> </w:t>
      </w:r>
      <w:r w:rsidRPr="00D62C0A">
        <w:t>shall then be subjected to temperature correction in</w:t>
      </w:r>
      <w:r w:rsidR="00951D74">
        <w:t xml:space="preserve"> </w:t>
      </w:r>
      <w:r w:rsidR="00951D74" w:rsidRPr="00D62C0A">
        <w:rPr>
          <w:strike/>
        </w:rPr>
        <w:t>3.2.</w:t>
      </w:r>
      <w:r w:rsidR="00EF6765">
        <w:rPr>
          <w:strike/>
        </w:rPr>
        <w:t>3.</w:t>
      </w:r>
      <w:r w:rsidRPr="00D62C0A">
        <w:t xml:space="preserve"> </w:t>
      </w:r>
      <w:r w:rsidR="004B572B" w:rsidRPr="004B572B">
        <w:rPr>
          <w:b/>
          <w:bCs/>
        </w:rPr>
        <w:t>paragraph</w:t>
      </w:r>
      <w:r w:rsidR="004B572B">
        <w:t xml:space="preserve"> </w:t>
      </w:r>
      <w:r w:rsidRPr="00D62C0A">
        <w:rPr>
          <w:b/>
          <w:bCs/>
        </w:rPr>
        <w:t>3.3.3.</w:t>
      </w:r>
      <w:r w:rsidRPr="005D79B0">
        <w:t xml:space="preserve"> to obtain the corresponding </w:t>
      </w:r>
      <w:proofErr w:type="spellStart"/>
      <w:proofErr w:type="gramStart"/>
      <w:r w:rsidRPr="005D79B0">
        <w:t>L</w:t>
      </w:r>
      <w:r w:rsidRPr="005D79B0">
        <w:rPr>
          <w:vertAlign w:val="subscript"/>
        </w:rPr>
        <w:t>TR,wot</w:t>
      </w:r>
      <w:proofErr w:type="gramEnd"/>
      <w:r w:rsidRPr="005D79B0">
        <w:rPr>
          <w:vertAlign w:val="subscript"/>
        </w:rPr>
        <w:t>,j,ϑref</w:t>
      </w:r>
      <w:proofErr w:type="spellEnd"/>
      <w:r w:rsidRPr="005D79B0">
        <w:rPr>
          <w:vertAlign w:val="subscript"/>
        </w:rPr>
        <w:t>.</w:t>
      </w:r>
      <w:r w:rsidRPr="005D79B0">
        <w:t>.</w:t>
      </w:r>
      <w:r w:rsidRPr="005D79B0">
        <w:tab/>
      </w:r>
    </w:p>
    <w:p w14:paraId="33819849" w14:textId="77777777" w:rsidR="00274749" w:rsidRPr="00281C39" w:rsidRDefault="00274749" w:rsidP="00274749">
      <w:pPr>
        <w:keepLines/>
        <w:spacing w:after="120"/>
        <w:ind w:left="2268" w:right="1134"/>
        <w:jc w:val="both"/>
        <w:rPr>
          <w:bCs/>
        </w:rPr>
      </w:pPr>
      <w:r w:rsidRPr="00281C39">
        <w:rPr>
          <w:bCs/>
        </w:rPr>
        <w:t xml:space="preserve">Calculate per gear the acceleration test result </w:t>
      </w:r>
      <w:proofErr w:type="spellStart"/>
      <w:proofErr w:type="gramStart"/>
      <w:r w:rsidRPr="00281C39">
        <w:rPr>
          <w:bCs/>
        </w:rPr>
        <w:t>L</w:t>
      </w:r>
      <w:r w:rsidRPr="00281C39">
        <w:rPr>
          <w:bCs/>
          <w:vertAlign w:val="subscript"/>
        </w:rPr>
        <w:t>wot,j</w:t>
      </w:r>
      <w:proofErr w:type="spellEnd"/>
      <w:proofErr w:type="gramEnd"/>
      <w:r w:rsidRPr="00281C39">
        <w:rPr>
          <w:bCs/>
          <w:vertAlign w:val="subscript"/>
        </w:rPr>
        <w:t>,</w:t>
      </w:r>
      <w:r w:rsidRPr="00281C39">
        <w:rPr>
          <w:bCs/>
          <w:vertAlign w:val="subscript"/>
        </w:rPr>
        <w:sym w:font="Symbol" w:char="F04A"/>
      </w:r>
      <w:r w:rsidRPr="00281C39">
        <w:rPr>
          <w:bCs/>
          <w:position w:val="-4"/>
          <w:vertAlign w:val="subscript"/>
          <w14:props3d w14:extrusionH="0" w14:contourW="0" w14:prstMaterial="matte"/>
        </w:rPr>
        <w:t>ref</w:t>
      </w:r>
    </w:p>
    <w:p w14:paraId="0DBC0030" w14:textId="09725DF6" w:rsidR="00274749" w:rsidRPr="00281C39" w:rsidRDefault="007C0F6A" w:rsidP="00274749">
      <w:pPr>
        <w:keepLines/>
        <w:spacing w:after="120"/>
        <w:ind w:left="2268" w:right="1134"/>
        <w:jc w:val="both"/>
        <w:rPr>
          <w:bCs/>
        </w:rPr>
      </w:p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Sub>
              <m:sSubPr>
                <m:ctrlPr>
                  <w:rPr>
                    <w:rFonts w:ascii="Cambria Math" w:hAnsi="Cambria Math"/>
                    <w:bCs/>
                    <w:iCs/>
                  </w:rPr>
                </m:ctrlPr>
              </m:sSubPr>
              <m:e>
                <m:r>
                  <m:rPr>
                    <m:sty m:val="p"/>
                  </m:rPr>
                  <w:rPr>
                    <w:rFonts w:ascii="Cambria Math" w:hAnsi="Cambria Math"/>
                  </w:rPr>
                  <m:t>ϑ</m:t>
                </m:r>
              </m:e>
              <m:sub>
                <m:r>
                  <m:rPr>
                    <m:sty m:val="p"/>
                  </m:rPr>
                  <w:rPr>
                    <w:rFonts w:ascii="Cambria Math" w:hAnsi="Cambria Math"/>
                  </w:rPr>
                  <m:t>ref</m:t>
                </m:r>
              </m:sub>
            </m:sSub>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m:t>
                        </m:r>
                        <m:sSub>
                          <m:sSubPr>
                            <m:ctrlPr>
                              <w:rPr>
                                <w:rFonts w:ascii="Cambria Math" w:hAnsi="Cambria Math"/>
                                <w:bCs/>
                                <w:iCs/>
                              </w:rPr>
                            </m:ctrlPr>
                          </m:sSubPr>
                          <m:e>
                            <m:r>
                              <m:rPr>
                                <m:sty m:val="p"/>
                              </m:rPr>
                              <w:rPr>
                                <w:rFonts w:ascii="Cambria Math" w:hAnsi="Cambria Math"/>
                              </w:rPr>
                              <m:t>ϑ</m:t>
                            </m:r>
                          </m:e>
                          <m:sub>
                            <m:r>
                              <m:rPr>
                                <m:sty m:val="p"/>
                              </m:rPr>
                              <w:rPr>
                                <w:rFonts w:ascii="Cambria Math" w:hAnsi="Cambria Math"/>
                              </w:rPr>
                              <m:t>ref</m:t>
                            </m:r>
                          </m:sub>
                        </m:sSub>
                      </m:sub>
                    </m:sSub>
                  </m:sup>
                </m:sSup>
              </m:e>
            </m:d>
          </m:e>
        </m:func>
      </m:oMath>
      <w:r w:rsidR="005B0AEF" w:rsidRPr="00776DC3">
        <w:t>"</w:t>
      </w:r>
    </w:p>
    <w:p w14:paraId="20CFC14A" w14:textId="5BA39590" w:rsidR="006C16F7" w:rsidRPr="00366C93" w:rsidRDefault="00D808C3" w:rsidP="00366C93">
      <w:pPr>
        <w:tabs>
          <w:tab w:val="left" w:pos="2268"/>
          <w:tab w:val="left" w:pos="8505"/>
        </w:tabs>
        <w:spacing w:after="120"/>
        <w:ind w:left="2268" w:right="1134" w:hanging="1134"/>
        <w:jc w:val="both"/>
        <w:rPr>
          <w:i/>
          <w:lang w:val="en-US"/>
        </w:rPr>
      </w:pPr>
      <w:r w:rsidRPr="00366C93">
        <w:rPr>
          <w:i/>
          <w:lang w:val="en-US"/>
        </w:rPr>
        <w:t xml:space="preserve">Annex 7, </w:t>
      </w:r>
      <w:r w:rsidR="00E43DB0">
        <w:rPr>
          <w:i/>
          <w:iCs/>
          <w:lang w:val="en-US"/>
        </w:rPr>
        <w:t>p</w:t>
      </w:r>
      <w:r w:rsidR="00366C93" w:rsidRPr="00366C93">
        <w:rPr>
          <w:i/>
          <w:iCs/>
          <w:lang w:val="en-US"/>
        </w:rPr>
        <w:t>aragraph 5.2.,</w:t>
      </w:r>
      <w:r w:rsidR="00366C93" w:rsidRPr="00366C93">
        <w:rPr>
          <w:lang w:val="en-US"/>
        </w:rPr>
        <w:t xml:space="preserve"> amend to read</w:t>
      </w:r>
      <w:r w:rsidR="00366C93">
        <w:rPr>
          <w:lang w:val="en-US"/>
        </w:rPr>
        <w:t>:</w:t>
      </w:r>
    </w:p>
    <w:p w14:paraId="5A8A3CEA" w14:textId="0FDA0E73" w:rsidR="00366C93" w:rsidRPr="00366C93" w:rsidRDefault="005B0AEF" w:rsidP="00366C93">
      <w:pPr>
        <w:tabs>
          <w:tab w:val="left" w:pos="2268"/>
          <w:tab w:val="left" w:pos="8505"/>
        </w:tabs>
        <w:spacing w:after="120"/>
        <w:ind w:left="2268" w:right="1134" w:hanging="1134"/>
        <w:jc w:val="both"/>
        <w:rPr>
          <w:bCs/>
        </w:rPr>
      </w:pPr>
      <w:r w:rsidRPr="00776DC3">
        <w:t>"</w:t>
      </w:r>
      <w:r w:rsidR="00366C93" w:rsidRPr="00366C93">
        <w:rPr>
          <w:bCs/>
        </w:rPr>
        <w:t>5.2.</w:t>
      </w:r>
      <w:r w:rsidR="00366C93" w:rsidRPr="00366C93">
        <w:rPr>
          <w:bCs/>
        </w:rPr>
        <w:tab/>
        <w:t>The determination of gear α is as follows:</w:t>
      </w:r>
    </w:p>
    <w:p w14:paraId="044FBB46" w14:textId="77777777" w:rsidR="00366C93" w:rsidRPr="00366C93" w:rsidRDefault="00366C93" w:rsidP="0064683B">
      <w:pPr>
        <w:tabs>
          <w:tab w:val="left" w:pos="8505"/>
        </w:tabs>
        <w:spacing w:after="120"/>
        <w:ind w:left="2835" w:right="1134" w:hanging="567"/>
        <w:jc w:val="both"/>
        <w:rPr>
          <w:bCs/>
        </w:rPr>
      </w:pPr>
      <w:r w:rsidRPr="00366C93">
        <w:rPr>
          <w:bCs/>
        </w:rPr>
        <w:t>-</w:t>
      </w:r>
      <w:r w:rsidRPr="00366C93">
        <w:rPr>
          <w:bCs/>
        </w:rPr>
        <w:tab/>
        <w:t>α = 3 for manual transmission and for automatic transmission tested in locked position with up to 5 </w:t>
      </w:r>
      <w:proofErr w:type="gramStart"/>
      <w:r w:rsidRPr="00366C93">
        <w:rPr>
          <w:bCs/>
        </w:rPr>
        <w:t>gears;</w:t>
      </w:r>
      <w:proofErr w:type="gramEnd"/>
    </w:p>
    <w:p w14:paraId="0700C4FF" w14:textId="77777777" w:rsidR="0064683B" w:rsidRDefault="00366C93" w:rsidP="0064683B">
      <w:pPr>
        <w:tabs>
          <w:tab w:val="left" w:pos="8505"/>
        </w:tabs>
        <w:spacing w:after="120"/>
        <w:ind w:left="2835" w:right="1134" w:hanging="567"/>
        <w:jc w:val="both"/>
        <w:rPr>
          <w:bCs/>
        </w:rPr>
      </w:pPr>
      <w:r w:rsidRPr="00366C93">
        <w:rPr>
          <w:bCs/>
        </w:rPr>
        <w:t>-</w:t>
      </w:r>
      <w:r w:rsidRPr="00366C93">
        <w:rPr>
          <w:bCs/>
        </w:rPr>
        <w:tab/>
        <w:t>α = 4 for manual transmission and for automatic transmission tested in locked position with 6 or more gears. If the acceleration calculated from AA to BB + vehicle length in gear 4 exceeds 1.9 m/s²,</w:t>
      </w:r>
      <w:r w:rsidRPr="00366C93">
        <w:t xml:space="preserve"> the first</w:t>
      </w:r>
      <w:r w:rsidRPr="00366C93">
        <w:rPr>
          <w:bCs/>
        </w:rPr>
        <w:t xml:space="preserve"> higher gear α &gt; 4 with an acceleration lower than or equal to 1.9 m/s² shall be chosen.</w:t>
      </w:r>
      <w:r w:rsidRPr="00366C93">
        <w:t xml:space="preserve"> </w:t>
      </w:r>
      <w:r w:rsidRPr="00366C93">
        <w:rPr>
          <w:bCs/>
        </w:rPr>
        <w:t>If there is no gear with an acceleration less than or equal to 1.9 m/s² available, the highest available gear shall be chosen.</w:t>
      </w:r>
    </w:p>
    <w:p w14:paraId="01D00CE1" w14:textId="2D89B204" w:rsidR="00366C93" w:rsidRPr="00366C93" w:rsidRDefault="0064683B" w:rsidP="00366C93">
      <w:pPr>
        <w:tabs>
          <w:tab w:val="left" w:pos="2268"/>
          <w:tab w:val="left" w:pos="8505"/>
        </w:tabs>
        <w:spacing w:after="120"/>
        <w:ind w:left="2268" w:right="1134" w:hanging="1134"/>
        <w:jc w:val="both"/>
        <w:rPr>
          <w:strike/>
        </w:rPr>
      </w:pPr>
      <w:r>
        <w:rPr>
          <w:bCs/>
        </w:rPr>
        <w:tab/>
      </w:r>
      <w:r w:rsidR="00366C93" w:rsidRPr="00366C93">
        <w:rPr>
          <w:strike/>
        </w:rPr>
        <w:t xml:space="preserve">For vehicles tested under locked </w:t>
      </w:r>
      <w:r w:rsidRPr="00F51A65">
        <w:rPr>
          <w:strike/>
        </w:rPr>
        <w:t>condition,</w:t>
      </w:r>
      <w:r w:rsidR="00366C93" w:rsidRPr="00366C93">
        <w:rPr>
          <w:strike/>
        </w:rPr>
        <w:t xml:space="preserve"> the gear ratio for further calculation shall be determined from the acceleration test result in Annex 3</w:t>
      </w:r>
      <w:r w:rsidR="00A04030">
        <w:rPr>
          <w:strike/>
        </w:rPr>
        <w:t>.</w:t>
      </w:r>
      <w:r w:rsidR="00366C93" w:rsidRPr="00366C93">
        <w:rPr>
          <w:strike/>
        </w:rPr>
        <w:t xml:space="preserve"> </w:t>
      </w:r>
    </w:p>
    <w:p w14:paraId="075337A2" w14:textId="350B0297" w:rsidR="005B0AEF" w:rsidRPr="00366C93" w:rsidRDefault="00366C93" w:rsidP="00366C93">
      <w:pPr>
        <w:tabs>
          <w:tab w:val="left" w:pos="2268"/>
          <w:tab w:val="left" w:pos="8505"/>
        </w:tabs>
        <w:spacing w:after="120"/>
        <w:ind w:left="2268" w:right="1134" w:hanging="1134"/>
        <w:jc w:val="both"/>
      </w:pPr>
      <w:r>
        <w:tab/>
      </w:r>
      <w:r w:rsidRPr="00366C93">
        <w:t>For vehicles tested under non-locked condition, the gear ratio for further calculation shall be determined from the acceleration test result in Annex 3 using the reported engine speed and vehicle speed at line BB'.</w:t>
      </w:r>
      <w:r w:rsidR="005B0AEF" w:rsidRPr="005B0AEF">
        <w:t xml:space="preserve"> </w:t>
      </w:r>
      <w:r w:rsidR="005B0AEF" w:rsidRPr="00776DC3">
        <w:t>"</w:t>
      </w:r>
    </w:p>
    <w:p w14:paraId="633B63B4" w14:textId="204FB031" w:rsidR="0037301A" w:rsidRPr="006B60DF" w:rsidRDefault="00A85D98" w:rsidP="00A85D98">
      <w:pPr>
        <w:keepNext/>
        <w:keepLines/>
        <w:tabs>
          <w:tab w:val="right" w:pos="851"/>
        </w:tabs>
        <w:spacing w:before="360" w:after="240" w:line="300" w:lineRule="exact"/>
        <w:ind w:left="360" w:right="1134"/>
        <w:rPr>
          <w:b/>
          <w:bCs/>
          <w:sz w:val="28"/>
          <w:szCs w:val="28"/>
        </w:rPr>
      </w:pPr>
      <w:r w:rsidRPr="00366C93">
        <w:rPr>
          <w:b/>
          <w:bCs/>
          <w:sz w:val="28"/>
          <w:szCs w:val="28"/>
          <w:lang w:val="en-US"/>
        </w:rPr>
        <w:tab/>
      </w:r>
      <w:r w:rsidR="0037301A" w:rsidRPr="006B60DF">
        <w:rPr>
          <w:b/>
          <w:bCs/>
          <w:sz w:val="28"/>
          <w:szCs w:val="28"/>
        </w:rPr>
        <w:t xml:space="preserve">II. </w:t>
      </w:r>
      <w:r w:rsidR="00D17B35" w:rsidRPr="006B60DF">
        <w:rPr>
          <w:b/>
          <w:bCs/>
          <w:sz w:val="28"/>
          <w:szCs w:val="28"/>
        </w:rPr>
        <w:tab/>
      </w:r>
      <w:r w:rsidR="0037301A" w:rsidRPr="006B60DF">
        <w:rPr>
          <w:b/>
          <w:bCs/>
          <w:sz w:val="28"/>
          <w:szCs w:val="28"/>
        </w:rPr>
        <w:t>Justification</w:t>
      </w:r>
    </w:p>
    <w:p w14:paraId="745C9518" w14:textId="1837880B" w:rsidR="00985072" w:rsidRPr="00985072" w:rsidRDefault="00985072" w:rsidP="001A233D">
      <w:pPr>
        <w:pStyle w:val="SingleTxtG"/>
        <w:rPr>
          <w:rFonts w:asciiTheme="majorBidi" w:hAnsiTheme="majorBidi" w:cstheme="majorBidi"/>
          <w:i/>
          <w:iCs/>
        </w:rPr>
      </w:pPr>
      <w:r w:rsidRPr="00985072">
        <w:rPr>
          <w:rFonts w:asciiTheme="majorBidi" w:hAnsiTheme="majorBidi" w:cstheme="majorBidi"/>
          <w:i/>
          <w:iCs/>
        </w:rPr>
        <w:t xml:space="preserve">Paragraph 2.8., </w:t>
      </w:r>
      <w:r w:rsidR="00CE73A3">
        <w:rPr>
          <w:rFonts w:asciiTheme="majorBidi" w:hAnsiTheme="majorBidi" w:cstheme="majorBidi"/>
          <w:i/>
          <w:iCs/>
        </w:rPr>
        <w:t>d</w:t>
      </w:r>
      <w:r w:rsidRPr="00985072">
        <w:rPr>
          <w:rFonts w:asciiTheme="majorBidi" w:hAnsiTheme="majorBidi" w:cstheme="majorBidi"/>
          <w:i/>
          <w:iCs/>
        </w:rPr>
        <w:t>efinition of maximum net power</w:t>
      </w:r>
    </w:p>
    <w:p w14:paraId="3A23E9E2" w14:textId="2F2802D1" w:rsidR="00081396" w:rsidRDefault="001A233D" w:rsidP="001A233D">
      <w:pPr>
        <w:pStyle w:val="SingleTxtG"/>
        <w:rPr>
          <w:rFonts w:asciiTheme="majorBidi" w:hAnsiTheme="majorBidi" w:cstheme="majorBidi"/>
        </w:rPr>
      </w:pPr>
      <w:r>
        <w:rPr>
          <w:rFonts w:asciiTheme="majorBidi" w:hAnsiTheme="majorBidi" w:cstheme="majorBidi"/>
        </w:rPr>
        <w:t>1.</w:t>
      </w:r>
      <w:r>
        <w:rPr>
          <w:rFonts w:asciiTheme="majorBidi" w:hAnsiTheme="majorBidi" w:cstheme="majorBidi"/>
        </w:rPr>
        <w:tab/>
      </w:r>
      <w:r w:rsidR="001F6F21">
        <w:rPr>
          <w:rFonts w:asciiTheme="majorBidi" w:hAnsiTheme="majorBidi" w:cstheme="majorBidi"/>
        </w:rPr>
        <w:t xml:space="preserve">UN Regulation </w:t>
      </w:r>
      <w:r w:rsidR="005B0AEF">
        <w:rPr>
          <w:rFonts w:asciiTheme="majorBidi" w:hAnsiTheme="majorBidi" w:cstheme="majorBidi"/>
        </w:rPr>
        <w:t xml:space="preserve">No. </w:t>
      </w:r>
      <w:r w:rsidR="001F6F21">
        <w:rPr>
          <w:rFonts w:asciiTheme="majorBidi" w:hAnsiTheme="majorBidi" w:cstheme="majorBidi"/>
        </w:rPr>
        <w:t xml:space="preserve">177 </w:t>
      </w:r>
      <w:r w:rsidR="007475A0">
        <w:rPr>
          <w:rFonts w:asciiTheme="majorBidi" w:hAnsiTheme="majorBidi" w:cstheme="majorBidi"/>
        </w:rPr>
        <w:t xml:space="preserve">is based on </w:t>
      </w:r>
      <w:r w:rsidR="00E05D55">
        <w:rPr>
          <w:rFonts w:asciiTheme="majorBidi" w:hAnsiTheme="majorBidi" w:cstheme="majorBidi"/>
        </w:rPr>
        <w:t>UN GTR</w:t>
      </w:r>
      <w:r w:rsidR="005B0AEF">
        <w:rPr>
          <w:rFonts w:asciiTheme="majorBidi" w:hAnsiTheme="majorBidi" w:cstheme="majorBidi"/>
        </w:rPr>
        <w:t xml:space="preserve"> No. </w:t>
      </w:r>
      <w:r w:rsidR="00E05D55">
        <w:rPr>
          <w:rFonts w:asciiTheme="majorBidi" w:hAnsiTheme="majorBidi" w:cstheme="majorBidi"/>
        </w:rPr>
        <w:t xml:space="preserve">21 and </w:t>
      </w:r>
      <w:r w:rsidR="001F6F21">
        <w:rPr>
          <w:rFonts w:asciiTheme="majorBidi" w:hAnsiTheme="majorBidi" w:cstheme="majorBidi"/>
        </w:rPr>
        <w:t xml:space="preserve">was adopted </w:t>
      </w:r>
      <w:r w:rsidR="007475A0" w:rsidRPr="007475A0">
        <w:rPr>
          <w:rFonts w:asciiTheme="majorBidi" w:hAnsiTheme="majorBidi" w:cstheme="majorBidi"/>
        </w:rPr>
        <w:t>at the 195th session of the WP.29</w:t>
      </w:r>
      <w:r w:rsidR="00E05D55">
        <w:rPr>
          <w:rFonts w:asciiTheme="majorBidi" w:hAnsiTheme="majorBidi" w:cstheme="majorBidi"/>
        </w:rPr>
        <w:t xml:space="preserve">. It </w:t>
      </w:r>
      <w:r w:rsidR="001F6F21">
        <w:rPr>
          <w:rFonts w:asciiTheme="majorBidi" w:hAnsiTheme="majorBidi" w:cstheme="majorBidi"/>
        </w:rPr>
        <w:t xml:space="preserve">will </w:t>
      </w:r>
      <w:r w:rsidR="007475A0" w:rsidRPr="007475A0">
        <w:rPr>
          <w:rFonts w:asciiTheme="majorBidi" w:hAnsiTheme="majorBidi" w:cstheme="majorBidi"/>
        </w:rPr>
        <w:t xml:space="preserve">be available for the determination of system power. </w:t>
      </w:r>
      <w:r w:rsidR="002D351A">
        <w:rPr>
          <w:rFonts w:asciiTheme="majorBidi" w:hAnsiTheme="majorBidi" w:cstheme="majorBidi"/>
        </w:rPr>
        <w:t>It is proposed to replace the</w:t>
      </w:r>
      <w:r w:rsidR="00B10DA2">
        <w:rPr>
          <w:rFonts w:asciiTheme="majorBidi" w:hAnsiTheme="majorBidi" w:cstheme="majorBidi"/>
        </w:rPr>
        <w:t xml:space="preserve"> reference to </w:t>
      </w:r>
      <w:r w:rsidR="005B0AEF">
        <w:rPr>
          <w:rFonts w:asciiTheme="majorBidi" w:hAnsiTheme="majorBidi" w:cstheme="majorBidi"/>
        </w:rPr>
        <w:t xml:space="preserve">UN </w:t>
      </w:r>
      <w:r w:rsidR="00B10DA2">
        <w:rPr>
          <w:rFonts w:asciiTheme="majorBidi" w:hAnsiTheme="majorBidi" w:cstheme="majorBidi"/>
        </w:rPr>
        <w:t>GTR</w:t>
      </w:r>
      <w:r w:rsidR="005B0AEF">
        <w:rPr>
          <w:rFonts w:asciiTheme="majorBidi" w:hAnsiTheme="majorBidi" w:cstheme="majorBidi"/>
        </w:rPr>
        <w:t xml:space="preserve"> No. </w:t>
      </w:r>
      <w:r w:rsidR="00B10DA2">
        <w:rPr>
          <w:rFonts w:asciiTheme="majorBidi" w:hAnsiTheme="majorBidi" w:cstheme="majorBidi"/>
        </w:rPr>
        <w:t>21 by the reference to</w:t>
      </w:r>
      <w:r w:rsidR="003F4D9A">
        <w:rPr>
          <w:rFonts w:asciiTheme="majorBidi" w:hAnsiTheme="majorBidi" w:cstheme="majorBidi"/>
        </w:rPr>
        <w:t xml:space="preserve"> the same paragraph in</w:t>
      </w:r>
      <w:r w:rsidR="00B10DA2">
        <w:rPr>
          <w:rFonts w:asciiTheme="majorBidi" w:hAnsiTheme="majorBidi" w:cstheme="majorBidi"/>
        </w:rPr>
        <w:t xml:space="preserve"> UN</w:t>
      </w:r>
      <w:r w:rsidR="005B0AEF">
        <w:rPr>
          <w:rFonts w:asciiTheme="majorBidi" w:hAnsiTheme="majorBidi" w:cstheme="majorBidi"/>
        </w:rPr>
        <w:t xml:space="preserve"> Regulation No. </w:t>
      </w:r>
      <w:r w:rsidR="00B10DA2">
        <w:rPr>
          <w:rFonts w:asciiTheme="majorBidi" w:hAnsiTheme="majorBidi" w:cstheme="majorBidi"/>
        </w:rPr>
        <w:t>177 to avoid future possible divergence between those two texts.</w:t>
      </w:r>
    </w:p>
    <w:p w14:paraId="0472724F" w14:textId="1595FD51" w:rsidR="00466CF0" w:rsidRPr="00351DDA" w:rsidRDefault="00466CF0" w:rsidP="001A233D">
      <w:pPr>
        <w:pStyle w:val="SingleTxtG"/>
        <w:rPr>
          <w:rFonts w:asciiTheme="majorBidi" w:hAnsiTheme="majorBidi" w:cstheme="majorBidi"/>
          <w:i/>
          <w:iCs/>
        </w:rPr>
      </w:pPr>
      <w:r w:rsidRPr="00351DDA">
        <w:rPr>
          <w:rFonts w:asciiTheme="majorBidi" w:hAnsiTheme="majorBidi" w:cstheme="majorBidi"/>
          <w:i/>
          <w:iCs/>
        </w:rPr>
        <w:t>Paragraph 11.17.</w:t>
      </w:r>
      <w:r w:rsidR="00743584" w:rsidRPr="00351DDA">
        <w:rPr>
          <w:rFonts w:asciiTheme="majorBidi" w:hAnsiTheme="majorBidi" w:cstheme="majorBidi"/>
          <w:i/>
          <w:iCs/>
        </w:rPr>
        <w:t xml:space="preserve"> and 11.18</w:t>
      </w:r>
      <w:r w:rsidR="00E43DB0">
        <w:rPr>
          <w:rFonts w:asciiTheme="majorBidi" w:hAnsiTheme="majorBidi" w:cstheme="majorBidi"/>
          <w:i/>
          <w:iCs/>
        </w:rPr>
        <w:t>.</w:t>
      </w:r>
      <w:r w:rsidRPr="00351DDA">
        <w:rPr>
          <w:rFonts w:asciiTheme="majorBidi" w:hAnsiTheme="majorBidi" w:cstheme="majorBidi"/>
          <w:i/>
          <w:iCs/>
        </w:rPr>
        <w:t>,</w:t>
      </w:r>
      <w:r w:rsidR="00CE73A3">
        <w:rPr>
          <w:rFonts w:asciiTheme="majorBidi" w:hAnsiTheme="majorBidi" w:cstheme="majorBidi"/>
          <w:i/>
          <w:iCs/>
        </w:rPr>
        <w:t xml:space="preserve"> t</w:t>
      </w:r>
      <w:r w:rsidRPr="00351DDA">
        <w:rPr>
          <w:rFonts w:asciiTheme="majorBidi" w:hAnsiTheme="majorBidi" w:cstheme="majorBidi"/>
          <w:i/>
          <w:iCs/>
        </w:rPr>
        <w:t xml:space="preserve">ransitional provisions for </w:t>
      </w:r>
      <w:r w:rsidR="00F37B3A" w:rsidRPr="00351DDA">
        <w:rPr>
          <w:rFonts w:asciiTheme="majorBidi" w:hAnsiTheme="majorBidi" w:cstheme="majorBidi"/>
          <w:i/>
          <w:iCs/>
        </w:rPr>
        <w:t>Supplement</w:t>
      </w:r>
      <w:r w:rsidR="00CE73A3">
        <w:rPr>
          <w:rFonts w:asciiTheme="majorBidi" w:hAnsiTheme="majorBidi" w:cstheme="majorBidi"/>
          <w:i/>
          <w:iCs/>
        </w:rPr>
        <w:t>s</w:t>
      </w:r>
      <w:r w:rsidR="00F37B3A" w:rsidRPr="00351DDA">
        <w:rPr>
          <w:rFonts w:asciiTheme="majorBidi" w:hAnsiTheme="majorBidi" w:cstheme="majorBidi"/>
          <w:i/>
          <w:iCs/>
        </w:rPr>
        <w:t xml:space="preserve"> 10</w:t>
      </w:r>
      <w:r w:rsidR="00131A0C" w:rsidRPr="00351DDA">
        <w:rPr>
          <w:rFonts w:asciiTheme="majorBidi" w:hAnsiTheme="majorBidi" w:cstheme="majorBidi"/>
          <w:i/>
          <w:iCs/>
        </w:rPr>
        <w:t xml:space="preserve"> and </w:t>
      </w:r>
      <w:r w:rsidR="00131668" w:rsidRPr="00351DDA">
        <w:rPr>
          <w:rFonts w:asciiTheme="majorBidi" w:hAnsiTheme="majorBidi" w:cstheme="majorBidi"/>
          <w:i/>
          <w:iCs/>
        </w:rPr>
        <w:t>[</w:t>
      </w:r>
      <w:r w:rsidR="00131A0C" w:rsidRPr="00351DDA">
        <w:rPr>
          <w:rFonts w:asciiTheme="majorBidi" w:hAnsiTheme="majorBidi" w:cstheme="majorBidi"/>
          <w:i/>
          <w:iCs/>
        </w:rPr>
        <w:t>11</w:t>
      </w:r>
      <w:r w:rsidR="00131668" w:rsidRPr="00351DDA">
        <w:rPr>
          <w:rFonts w:asciiTheme="majorBidi" w:hAnsiTheme="majorBidi" w:cstheme="majorBidi"/>
          <w:i/>
          <w:iCs/>
        </w:rPr>
        <w:t>]</w:t>
      </w:r>
    </w:p>
    <w:p w14:paraId="0BD25C1A" w14:textId="7494B3C4" w:rsidR="00603FC7" w:rsidRPr="00603FC7" w:rsidRDefault="001A233D" w:rsidP="001A233D">
      <w:pPr>
        <w:pStyle w:val="SingleTxtG"/>
        <w:rPr>
          <w:rFonts w:asciiTheme="majorBidi" w:hAnsiTheme="majorBidi" w:cstheme="majorBidi"/>
        </w:rPr>
      </w:pPr>
      <w:r>
        <w:rPr>
          <w:rFonts w:asciiTheme="majorBidi" w:hAnsiTheme="majorBidi" w:cstheme="majorBidi"/>
        </w:rPr>
        <w:t>2.</w:t>
      </w:r>
      <w:r w:rsidR="00CE73A3">
        <w:rPr>
          <w:rFonts w:asciiTheme="majorBidi" w:hAnsiTheme="majorBidi" w:cstheme="majorBidi"/>
        </w:rPr>
        <w:tab/>
      </w:r>
      <w:r w:rsidR="00603FC7" w:rsidRPr="00603FC7">
        <w:rPr>
          <w:rFonts w:asciiTheme="majorBidi" w:hAnsiTheme="majorBidi" w:cstheme="majorBidi"/>
        </w:rPr>
        <w:t>Supplement 10 introduced changes in the calculation of temperature and track corrections introduced in Supplement 7. Therefore, transitional provisions are needed, to avoid unnecessary measurements for type approval extensions.</w:t>
      </w:r>
    </w:p>
    <w:p w14:paraId="2C093EBB" w14:textId="40F97294" w:rsidR="00190AFA" w:rsidRPr="005D79B0" w:rsidRDefault="00CE73A3" w:rsidP="001A233D">
      <w:pPr>
        <w:pStyle w:val="SingleTxtG"/>
        <w:rPr>
          <w:rFonts w:asciiTheme="majorBidi" w:hAnsiTheme="majorBidi" w:cstheme="majorBidi"/>
        </w:rPr>
      </w:pPr>
      <w:r>
        <w:rPr>
          <w:rFonts w:asciiTheme="majorBidi" w:hAnsiTheme="majorBidi" w:cstheme="majorBidi"/>
        </w:rPr>
        <w:t>3.</w:t>
      </w:r>
      <w:r>
        <w:rPr>
          <w:rFonts w:asciiTheme="majorBidi" w:hAnsiTheme="majorBidi" w:cstheme="majorBidi"/>
        </w:rPr>
        <w:tab/>
      </w:r>
      <w:r w:rsidR="00603FC7" w:rsidRPr="00603FC7">
        <w:rPr>
          <w:rFonts w:asciiTheme="majorBidi" w:hAnsiTheme="majorBidi" w:cstheme="majorBidi"/>
        </w:rPr>
        <w:t xml:space="preserve">Supplement [11] itself mainly adds the editorial amendments, however, because it is considered to include the content </w:t>
      </w:r>
      <w:r w:rsidR="00536B77">
        <w:rPr>
          <w:rFonts w:asciiTheme="majorBidi" w:hAnsiTheme="majorBidi" w:cstheme="majorBidi"/>
        </w:rPr>
        <w:t xml:space="preserve">of previous </w:t>
      </w:r>
      <w:r w:rsidR="005B0AEF">
        <w:rPr>
          <w:rFonts w:asciiTheme="majorBidi" w:hAnsiTheme="majorBidi" w:cstheme="majorBidi"/>
        </w:rPr>
        <w:t>S</w:t>
      </w:r>
      <w:r w:rsidR="00536B77">
        <w:rPr>
          <w:rFonts w:asciiTheme="majorBidi" w:hAnsiTheme="majorBidi" w:cstheme="majorBidi"/>
        </w:rPr>
        <w:t xml:space="preserve">upplements </w:t>
      </w:r>
      <w:r w:rsidR="00603FC7" w:rsidRPr="00603FC7">
        <w:rPr>
          <w:rFonts w:asciiTheme="majorBidi" w:hAnsiTheme="majorBidi" w:cstheme="majorBidi"/>
        </w:rPr>
        <w:t>up to Suppl</w:t>
      </w:r>
      <w:r w:rsidR="005B0AEF">
        <w:rPr>
          <w:rFonts w:asciiTheme="majorBidi" w:hAnsiTheme="majorBidi" w:cstheme="majorBidi"/>
        </w:rPr>
        <w:t xml:space="preserve">ement </w:t>
      </w:r>
      <w:r w:rsidR="00603FC7" w:rsidRPr="00603FC7">
        <w:rPr>
          <w:rFonts w:asciiTheme="majorBidi" w:hAnsiTheme="majorBidi" w:cstheme="majorBidi"/>
        </w:rPr>
        <w:t>10 as well, transitional provisions are needed.</w:t>
      </w:r>
    </w:p>
    <w:p w14:paraId="5F370156" w14:textId="61E1127E" w:rsidR="00596835" w:rsidRDefault="00DB6E31" w:rsidP="001A233D">
      <w:pPr>
        <w:pStyle w:val="SingleTxtG"/>
        <w:rPr>
          <w:rFonts w:asciiTheme="majorBidi" w:hAnsiTheme="majorBidi" w:cstheme="majorBidi"/>
          <w:i/>
          <w:iCs/>
        </w:rPr>
      </w:pPr>
      <w:r>
        <w:rPr>
          <w:rFonts w:asciiTheme="majorBidi" w:hAnsiTheme="majorBidi" w:cstheme="majorBidi"/>
          <w:i/>
          <w:iCs/>
        </w:rPr>
        <w:t xml:space="preserve">Annex 3, </w:t>
      </w:r>
      <w:r w:rsidR="00E43DB0">
        <w:rPr>
          <w:rFonts w:asciiTheme="majorBidi" w:hAnsiTheme="majorBidi" w:cstheme="majorBidi"/>
          <w:i/>
          <w:iCs/>
        </w:rPr>
        <w:t>p</w:t>
      </w:r>
      <w:r>
        <w:rPr>
          <w:rFonts w:asciiTheme="majorBidi" w:hAnsiTheme="majorBidi" w:cstheme="majorBidi"/>
          <w:i/>
          <w:iCs/>
        </w:rPr>
        <w:t>aragraph 1.2.</w:t>
      </w:r>
      <w:r w:rsidR="00CE73A3">
        <w:rPr>
          <w:rFonts w:asciiTheme="majorBidi" w:hAnsiTheme="majorBidi" w:cstheme="majorBidi"/>
          <w:i/>
          <w:iCs/>
        </w:rPr>
        <w:t>, c</w:t>
      </w:r>
      <w:r>
        <w:rPr>
          <w:rFonts w:asciiTheme="majorBidi" w:hAnsiTheme="majorBidi" w:cstheme="majorBidi"/>
          <w:i/>
          <w:iCs/>
        </w:rPr>
        <w:t>alibration</w:t>
      </w:r>
    </w:p>
    <w:p w14:paraId="7DD9180E" w14:textId="3F305BC3" w:rsidR="00C348D1" w:rsidRPr="00C348D1" w:rsidRDefault="00CE73A3" w:rsidP="001A233D">
      <w:pPr>
        <w:pStyle w:val="SingleTxtG"/>
        <w:rPr>
          <w:rFonts w:asciiTheme="majorBidi" w:hAnsiTheme="majorBidi" w:cstheme="majorBidi"/>
        </w:rPr>
      </w:pPr>
      <w:r>
        <w:rPr>
          <w:rFonts w:asciiTheme="majorBidi" w:hAnsiTheme="majorBidi" w:cstheme="majorBidi"/>
        </w:rPr>
        <w:t>4.</w:t>
      </w:r>
      <w:r>
        <w:rPr>
          <w:rFonts w:asciiTheme="majorBidi" w:hAnsiTheme="majorBidi" w:cstheme="majorBidi"/>
        </w:rPr>
        <w:tab/>
      </w:r>
      <w:r w:rsidR="005374AD">
        <w:rPr>
          <w:rFonts w:asciiTheme="majorBidi" w:hAnsiTheme="majorBidi" w:cstheme="majorBidi"/>
        </w:rPr>
        <w:t>A</w:t>
      </w:r>
      <w:r w:rsidR="00C348D1" w:rsidRPr="00C348D1">
        <w:rPr>
          <w:rFonts w:asciiTheme="majorBidi" w:hAnsiTheme="majorBidi" w:cstheme="majorBidi"/>
        </w:rPr>
        <w:t xml:space="preserve">mbiguity did raise on the way of calibration, as the calibration is specified as a check of the system. </w:t>
      </w:r>
      <w:r w:rsidR="00CB2661">
        <w:rPr>
          <w:rFonts w:asciiTheme="majorBidi" w:hAnsiTheme="majorBidi" w:cstheme="majorBidi"/>
        </w:rPr>
        <w:t>It is proposed to describe the check procedure the way it is written in ISO</w:t>
      </w:r>
      <w:r w:rsidR="005B0AEF">
        <w:rPr>
          <w:rFonts w:asciiTheme="majorBidi" w:hAnsiTheme="majorBidi" w:cstheme="majorBidi"/>
        </w:rPr>
        <w:t xml:space="preserve"> </w:t>
      </w:r>
      <w:r w:rsidR="00CB2661">
        <w:rPr>
          <w:rFonts w:asciiTheme="majorBidi" w:hAnsiTheme="majorBidi" w:cstheme="majorBidi"/>
        </w:rPr>
        <w:t>362-1.</w:t>
      </w:r>
    </w:p>
    <w:p w14:paraId="0C7CBEDC" w14:textId="01E8FB7E" w:rsidR="00C348D1" w:rsidRPr="00C348D1" w:rsidRDefault="00CE73A3" w:rsidP="001A233D">
      <w:pPr>
        <w:pStyle w:val="SingleTxtG"/>
        <w:rPr>
          <w:rFonts w:asciiTheme="majorBidi" w:hAnsiTheme="majorBidi" w:cstheme="majorBidi"/>
        </w:rPr>
      </w:pPr>
      <w:r>
        <w:rPr>
          <w:rFonts w:asciiTheme="majorBidi" w:hAnsiTheme="majorBidi" w:cstheme="majorBidi"/>
        </w:rPr>
        <w:lastRenderedPageBreak/>
        <w:t>5.</w:t>
      </w:r>
      <w:r>
        <w:rPr>
          <w:rFonts w:asciiTheme="majorBidi" w:hAnsiTheme="majorBidi" w:cstheme="majorBidi"/>
        </w:rPr>
        <w:tab/>
      </w:r>
      <w:r w:rsidR="00C348D1" w:rsidRPr="00C348D1">
        <w:rPr>
          <w:rFonts w:asciiTheme="majorBidi" w:hAnsiTheme="majorBidi" w:cstheme="majorBidi"/>
        </w:rPr>
        <w:t>Before a measurement session, a validation of the measuring system is always necessary</w:t>
      </w:r>
      <w:r w:rsidR="00580765">
        <w:rPr>
          <w:rFonts w:asciiTheme="majorBidi" w:hAnsiTheme="majorBidi" w:cstheme="majorBidi"/>
        </w:rPr>
        <w:t>,</w:t>
      </w:r>
      <w:r w:rsidR="00C348D1" w:rsidRPr="00C348D1">
        <w:rPr>
          <w:rFonts w:asciiTheme="majorBidi" w:hAnsiTheme="majorBidi" w:cstheme="majorBidi"/>
        </w:rPr>
        <w:t xml:space="preserve"> including an eventual adjustment to the reference values given by the calibrator. After a measurement session, a potential drift of the microphone calibration is re-checked. Here, without any further adjustment the system shall be within the 0,5 dB range, to validate the measurements which have been performed.</w:t>
      </w:r>
    </w:p>
    <w:p w14:paraId="1C7055FE" w14:textId="5AA9B1F9" w:rsidR="00DB6E31" w:rsidRDefault="00CE73A3" w:rsidP="001A233D">
      <w:pPr>
        <w:pStyle w:val="SingleTxtG"/>
        <w:rPr>
          <w:rFonts w:asciiTheme="majorBidi" w:hAnsiTheme="majorBidi" w:cstheme="majorBidi"/>
        </w:rPr>
      </w:pPr>
      <w:r>
        <w:rPr>
          <w:rFonts w:asciiTheme="majorBidi" w:hAnsiTheme="majorBidi" w:cstheme="majorBidi"/>
        </w:rPr>
        <w:t>6.</w:t>
      </w:r>
      <w:r>
        <w:rPr>
          <w:rFonts w:asciiTheme="majorBidi" w:hAnsiTheme="majorBidi" w:cstheme="majorBidi"/>
        </w:rPr>
        <w:tab/>
      </w:r>
      <w:r w:rsidR="00C348D1" w:rsidRPr="00C348D1">
        <w:rPr>
          <w:rFonts w:asciiTheme="majorBidi" w:hAnsiTheme="majorBidi" w:cstheme="majorBidi"/>
        </w:rPr>
        <w:t>The procedure can be compared to the necessary tare function for scales, e.g. in supermarkets. Before the weight of goods is determined, customers expect that the scale is balanced to zero.</w:t>
      </w:r>
    </w:p>
    <w:p w14:paraId="14103FCE" w14:textId="7007634F" w:rsidR="00DB270F" w:rsidRPr="003A0100" w:rsidRDefault="00F13D19" w:rsidP="001A233D">
      <w:pPr>
        <w:pStyle w:val="SingleTxtG"/>
        <w:rPr>
          <w:rFonts w:asciiTheme="majorBidi" w:hAnsiTheme="majorBidi" w:cstheme="majorBidi"/>
          <w:i/>
          <w:iCs/>
        </w:rPr>
      </w:pPr>
      <w:r w:rsidRPr="003A0100">
        <w:rPr>
          <w:rFonts w:asciiTheme="majorBidi" w:hAnsiTheme="majorBidi" w:cstheme="majorBidi"/>
          <w:i/>
          <w:iCs/>
        </w:rPr>
        <w:t xml:space="preserve">Annex 3, </w:t>
      </w:r>
      <w:r w:rsidR="00E43DB0">
        <w:rPr>
          <w:rFonts w:asciiTheme="majorBidi" w:hAnsiTheme="majorBidi" w:cstheme="majorBidi"/>
          <w:i/>
          <w:iCs/>
        </w:rPr>
        <w:t>p</w:t>
      </w:r>
      <w:r w:rsidRPr="003A0100">
        <w:rPr>
          <w:rFonts w:asciiTheme="majorBidi" w:hAnsiTheme="majorBidi" w:cstheme="majorBidi"/>
          <w:i/>
          <w:iCs/>
        </w:rPr>
        <w:t>aragraph 2.2.2.3.4</w:t>
      </w:r>
      <w:r w:rsidR="00CE75F8" w:rsidRPr="003A0100">
        <w:rPr>
          <w:rFonts w:asciiTheme="majorBidi" w:hAnsiTheme="majorBidi" w:cstheme="majorBidi"/>
          <w:i/>
          <w:iCs/>
        </w:rPr>
        <w:t>.</w:t>
      </w:r>
      <w:r w:rsidR="00CE73A3">
        <w:rPr>
          <w:rFonts w:asciiTheme="majorBidi" w:hAnsiTheme="majorBidi" w:cstheme="majorBidi"/>
          <w:i/>
          <w:iCs/>
        </w:rPr>
        <w:t>, e</w:t>
      </w:r>
      <w:r w:rsidR="00CE75F8" w:rsidRPr="003A0100">
        <w:rPr>
          <w:rFonts w:asciiTheme="majorBidi" w:hAnsiTheme="majorBidi" w:cstheme="majorBidi"/>
          <w:i/>
          <w:iCs/>
        </w:rPr>
        <w:t>ditorial correction</w:t>
      </w:r>
    </w:p>
    <w:p w14:paraId="33ED950D" w14:textId="0A925039" w:rsidR="00C33613" w:rsidRPr="005D79B0" w:rsidRDefault="00CE73A3" w:rsidP="00CE73A3">
      <w:pPr>
        <w:pStyle w:val="SingleTxtG"/>
        <w:rPr>
          <w:rFonts w:asciiTheme="majorBidi" w:hAnsiTheme="majorBidi" w:cstheme="majorBidi"/>
          <w:i/>
          <w:iCs/>
          <w:lang w:val="en-US"/>
        </w:rPr>
      </w:pPr>
      <w:r>
        <w:rPr>
          <w:rFonts w:asciiTheme="majorBidi" w:hAnsiTheme="majorBidi" w:cstheme="majorBidi"/>
        </w:rPr>
        <w:t>7.</w:t>
      </w:r>
      <w:r>
        <w:rPr>
          <w:rFonts w:asciiTheme="majorBidi" w:hAnsiTheme="majorBidi" w:cstheme="majorBidi"/>
        </w:rPr>
        <w:tab/>
      </w:r>
      <w:r w:rsidR="00CE75F8" w:rsidRPr="00633046">
        <w:rPr>
          <w:rFonts w:asciiTheme="majorBidi" w:hAnsiTheme="majorBidi" w:cstheme="majorBidi"/>
        </w:rPr>
        <w:t>It is proposed to remove the arrows “</w:t>
      </w:r>
      <w:r w:rsidR="00804DB3" w:rsidRPr="00633046">
        <w:rPr>
          <w:rFonts w:asciiTheme="majorBidi" w:hAnsiTheme="majorBidi" w:cstheme="majorBidi"/>
        </w:rPr>
        <w:sym w:font="Wingdings" w:char="F0E8"/>
      </w:r>
      <w:r w:rsidR="00804DB3" w:rsidRPr="00633046">
        <w:rPr>
          <w:rFonts w:asciiTheme="majorBidi" w:hAnsiTheme="majorBidi" w:cstheme="majorBidi"/>
        </w:rPr>
        <w:t xml:space="preserve">” and replace them by </w:t>
      </w:r>
      <w:r w:rsidR="006554FF" w:rsidRPr="00633046">
        <w:rPr>
          <w:rFonts w:asciiTheme="majorBidi" w:hAnsiTheme="majorBidi" w:cstheme="majorBidi"/>
        </w:rPr>
        <w:t>a</w:t>
      </w:r>
      <w:r w:rsidR="00776900" w:rsidRPr="00633046">
        <w:rPr>
          <w:rFonts w:asciiTheme="majorBidi" w:hAnsiTheme="majorBidi" w:cstheme="majorBidi"/>
        </w:rPr>
        <w:t xml:space="preserve">n </w:t>
      </w:r>
      <w:r w:rsidR="0089318C" w:rsidRPr="00633046">
        <w:rPr>
          <w:rFonts w:asciiTheme="majorBidi" w:hAnsiTheme="majorBidi" w:cstheme="majorBidi"/>
        </w:rPr>
        <w:t>indent</w:t>
      </w:r>
      <w:r w:rsidR="00776900" w:rsidRPr="00633046">
        <w:rPr>
          <w:rFonts w:asciiTheme="majorBidi" w:hAnsiTheme="majorBidi" w:cstheme="majorBidi"/>
        </w:rPr>
        <w:t>. There is no change in the formulas.</w:t>
      </w:r>
    </w:p>
    <w:p w14:paraId="053ECE85" w14:textId="071B8BBC" w:rsidR="00C33613" w:rsidRPr="007D446D" w:rsidRDefault="00C33613" w:rsidP="001A233D">
      <w:pPr>
        <w:tabs>
          <w:tab w:val="left" w:pos="2268"/>
          <w:tab w:val="left" w:pos="8505"/>
        </w:tabs>
        <w:spacing w:after="120"/>
        <w:ind w:left="1134" w:right="1134"/>
        <w:jc w:val="both"/>
        <w:rPr>
          <w:rFonts w:asciiTheme="majorBidi" w:hAnsiTheme="majorBidi" w:cstheme="majorBidi"/>
          <w:i/>
          <w:iCs/>
          <w:lang w:val="en-US"/>
        </w:rPr>
      </w:pPr>
      <w:r w:rsidRPr="007D446D">
        <w:rPr>
          <w:i/>
        </w:rPr>
        <w:t xml:space="preserve">Annex 3, Appendix 2, </w:t>
      </w:r>
      <w:r w:rsidR="00E43DB0" w:rsidRPr="007D446D">
        <w:rPr>
          <w:i/>
        </w:rPr>
        <w:t>p</w:t>
      </w:r>
      <w:r w:rsidRPr="007D446D">
        <w:rPr>
          <w:i/>
        </w:rPr>
        <w:t>aragraph 3.3.4.</w:t>
      </w:r>
      <w:r w:rsidR="00C03870">
        <w:rPr>
          <w:i/>
        </w:rPr>
        <w:t>, e</w:t>
      </w:r>
      <w:r w:rsidR="00333213" w:rsidRPr="00CE73A3">
        <w:rPr>
          <w:rFonts w:asciiTheme="majorBidi" w:hAnsiTheme="majorBidi" w:cstheme="majorBidi"/>
          <w:i/>
          <w:iCs/>
        </w:rPr>
        <w:t>ditorial correction</w:t>
      </w:r>
      <w:r w:rsidR="00333213" w:rsidRPr="007D446D">
        <w:rPr>
          <w:rFonts w:asciiTheme="majorBidi" w:hAnsiTheme="majorBidi" w:cstheme="majorBidi"/>
          <w:i/>
          <w:iCs/>
          <w:lang w:val="en-US"/>
        </w:rPr>
        <w:t xml:space="preserve"> </w:t>
      </w:r>
    </w:p>
    <w:p w14:paraId="496DA01A" w14:textId="790F42A6" w:rsidR="00C33613" w:rsidRPr="005D79B0" w:rsidRDefault="00C03870" w:rsidP="001A233D">
      <w:pPr>
        <w:pStyle w:val="SingleTxtG"/>
        <w:rPr>
          <w:rFonts w:asciiTheme="majorBidi" w:hAnsiTheme="majorBidi" w:cstheme="majorBidi"/>
        </w:rPr>
      </w:pPr>
      <w:r>
        <w:rPr>
          <w:rFonts w:asciiTheme="majorBidi" w:hAnsiTheme="majorBidi" w:cstheme="majorBidi"/>
        </w:rPr>
        <w:t>8.</w:t>
      </w:r>
      <w:r>
        <w:rPr>
          <w:rFonts w:asciiTheme="majorBidi" w:hAnsiTheme="majorBidi" w:cstheme="majorBidi"/>
        </w:rPr>
        <w:tab/>
      </w:r>
      <w:r w:rsidR="0017461F" w:rsidRPr="00231669">
        <w:rPr>
          <w:rFonts w:asciiTheme="majorBidi" w:hAnsiTheme="majorBidi" w:cstheme="majorBidi"/>
        </w:rPr>
        <w:t xml:space="preserve">The referenced paragraph </w:t>
      </w:r>
      <w:r w:rsidR="008353A7" w:rsidRPr="00231669">
        <w:rPr>
          <w:rFonts w:asciiTheme="majorBidi" w:hAnsiTheme="majorBidi" w:cstheme="majorBidi"/>
        </w:rPr>
        <w:t>is</w:t>
      </w:r>
      <w:r w:rsidR="00776B8A" w:rsidRPr="00231669">
        <w:rPr>
          <w:rFonts w:asciiTheme="majorBidi" w:hAnsiTheme="majorBidi" w:cstheme="majorBidi"/>
        </w:rPr>
        <w:t xml:space="preserve"> wrongly </w:t>
      </w:r>
      <w:r w:rsidR="008353A7" w:rsidRPr="00231669">
        <w:rPr>
          <w:rFonts w:asciiTheme="majorBidi" w:hAnsiTheme="majorBidi" w:cstheme="majorBidi"/>
        </w:rPr>
        <w:t xml:space="preserve">referring to </w:t>
      </w:r>
      <w:r w:rsidR="00776B8A" w:rsidRPr="00231669">
        <w:rPr>
          <w:rFonts w:asciiTheme="majorBidi" w:hAnsiTheme="majorBidi" w:cstheme="majorBidi"/>
        </w:rPr>
        <w:t xml:space="preserve">formulas regarding </w:t>
      </w:r>
      <w:r w:rsidR="00526D10" w:rsidRPr="00231669">
        <w:rPr>
          <w:rFonts w:asciiTheme="majorBidi" w:hAnsiTheme="majorBidi" w:cstheme="majorBidi"/>
        </w:rPr>
        <w:t>constant speed tests (</w:t>
      </w:r>
      <w:proofErr w:type="spellStart"/>
      <w:r w:rsidR="00776B8A" w:rsidRPr="00231669">
        <w:rPr>
          <w:rFonts w:asciiTheme="majorBidi" w:hAnsiTheme="majorBidi" w:cstheme="majorBidi"/>
        </w:rPr>
        <w:t>cr</w:t>
      </w:r>
      <w:r w:rsidR="0023736D" w:rsidRPr="00231669">
        <w:rPr>
          <w:rFonts w:asciiTheme="majorBidi" w:hAnsiTheme="majorBidi" w:cstheme="majorBidi"/>
        </w:rPr>
        <w:t>s</w:t>
      </w:r>
      <w:proofErr w:type="spellEnd"/>
      <w:r w:rsidR="0023736D" w:rsidRPr="00231669">
        <w:rPr>
          <w:rFonts w:asciiTheme="majorBidi" w:hAnsiTheme="majorBidi" w:cstheme="majorBidi"/>
        </w:rPr>
        <w:t>)</w:t>
      </w:r>
      <w:r w:rsidR="00776B8A" w:rsidRPr="00231669">
        <w:rPr>
          <w:rFonts w:asciiTheme="majorBidi" w:hAnsiTheme="majorBidi" w:cstheme="majorBidi"/>
        </w:rPr>
        <w:t>. The corr</w:t>
      </w:r>
      <w:r w:rsidR="002E6C1E" w:rsidRPr="00231669">
        <w:rPr>
          <w:rFonts w:asciiTheme="majorBidi" w:hAnsiTheme="majorBidi" w:cstheme="majorBidi"/>
        </w:rPr>
        <w:t xml:space="preserve">ect number is </w:t>
      </w:r>
      <w:r w:rsidR="00333213" w:rsidRPr="00231669">
        <w:rPr>
          <w:rFonts w:asciiTheme="majorBidi" w:hAnsiTheme="majorBidi" w:cstheme="majorBidi"/>
        </w:rPr>
        <w:t>referring</w:t>
      </w:r>
      <w:r w:rsidR="002E6C1E" w:rsidRPr="00231669">
        <w:rPr>
          <w:rFonts w:asciiTheme="majorBidi" w:hAnsiTheme="majorBidi" w:cstheme="majorBidi"/>
        </w:rPr>
        <w:t xml:space="preserve"> to the </w:t>
      </w:r>
      <w:r w:rsidR="009C2DCF" w:rsidRPr="00231669">
        <w:rPr>
          <w:rFonts w:asciiTheme="majorBidi" w:hAnsiTheme="majorBidi" w:cstheme="majorBidi"/>
        </w:rPr>
        <w:t>formulas reg</w:t>
      </w:r>
      <w:r w:rsidR="0023736D" w:rsidRPr="00231669">
        <w:rPr>
          <w:rFonts w:asciiTheme="majorBidi" w:hAnsiTheme="majorBidi" w:cstheme="majorBidi"/>
        </w:rPr>
        <w:t>ar</w:t>
      </w:r>
      <w:r w:rsidR="009C2DCF" w:rsidRPr="00231669">
        <w:rPr>
          <w:rFonts w:asciiTheme="majorBidi" w:hAnsiTheme="majorBidi" w:cstheme="majorBidi"/>
        </w:rPr>
        <w:t xml:space="preserve">ding accelerated </w:t>
      </w:r>
      <w:r w:rsidR="00511A05" w:rsidRPr="00231669">
        <w:rPr>
          <w:rFonts w:asciiTheme="majorBidi" w:hAnsiTheme="majorBidi" w:cstheme="majorBidi"/>
        </w:rPr>
        <w:t>tests</w:t>
      </w:r>
      <w:r w:rsidR="0023736D" w:rsidRPr="00231669">
        <w:rPr>
          <w:rFonts w:asciiTheme="majorBidi" w:hAnsiTheme="majorBidi" w:cstheme="majorBidi"/>
        </w:rPr>
        <w:t xml:space="preserve"> (WOT)</w:t>
      </w:r>
      <w:r w:rsidR="009C2DCF" w:rsidRPr="00231669">
        <w:rPr>
          <w:rFonts w:asciiTheme="majorBidi" w:hAnsiTheme="majorBidi" w:cstheme="majorBidi"/>
        </w:rPr>
        <w:t xml:space="preserve">. </w:t>
      </w:r>
      <w:r w:rsidR="008F7063" w:rsidRPr="00626D31">
        <w:rPr>
          <w:rFonts w:asciiTheme="majorBidi" w:hAnsiTheme="majorBidi" w:cstheme="majorBidi"/>
        </w:rPr>
        <w:t>It is obviously an editorial error,</w:t>
      </w:r>
      <w:r w:rsidR="00626D31" w:rsidRPr="00626D31">
        <w:rPr>
          <w:rFonts w:asciiTheme="majorBidi" w:hAnsiTheme="majorBidi" w:cstheme="majorBidi"/>
        </w:rPr>
        <w:t xml:space="preserve"> since section 3.3. is </w:t>
      </w:r>
      <w:r w:rsidR="004D05B9">
        <w:rPr>
          <w:rFonts w:asciiTheme="majorBidi" w:hAnsiTheme="majorBidi" w:cstheme="majorBidi"/>
        </w:rPr>
        <w:t xml:space="preserve">only </w:t>
      </w:r>
      <w:r w:rsidR="00626D31" w:rsidRPr="00626D31">
        <w:rPr>
          <w:rFonts w:asciiTheme="majorBidi" w:hAnsiTheme="majorBidi" w:cstheme="majorBidi"/>
        </w:rPr>
        <w:t>dealing with accelerated tests.</w:t>
      </w:r>
    </w:p>
    <w:p w14:paraId="41DFC52D" w14:textId="16057779" w:rsidR="005C38BD" w:rsidRPr="006B60DF" w:rsidRDefault="00E81D1B" w:rsidP="001A233D">
      <w:pPr>
        <w:pStyle w:val="SingleTxtG"/>
        <w:rPr>
          <w:rFonts w:asciiTheme="majorBidi" w:hAnsiTheme="majorBidi" w:cstheme="majorBidi"/>
          <w:i/>
          <w:iCs/>
        </w:rPr>
      </w:pPr>
      <w:r>
        <w:rPr>
          <w:rFonts w:asciiTheme="majorBidi" w:hAnsiTheme="majorBidi" w:cstheme="majorBidi"/>
          <w:i/>
          <w:iCs/>
        </w:rPr>
        <w:t>Annex 7,</w:t>
      </w:r>
      <w:r w:rsidR="005C38BD">
        <w:rPr>
          <w:rFonts w:asciiTheme="majorBidi" w:hAnsiTheme="majorBidi" w:cstheme="majorBidi"/>
          <w:i/>
          <w:iCs/>
        </w:rPr>
        <w:t xml:space="preserve"> </w:t>
      </w:r>
      <w:r w:rsidR="00E43DB0">
        <w:rPr>
          <w:rFonts w:asciiTheme="majorBidi" w:hAnsiTheme="majorBidi" w:cstheme="majorBidi"/>
          <w:i/>
          <w:iCs/>
        </w:rPr>
        <w:t>p</w:t>
      </w:r>
      <w:r w:rsidR="005C38BD" w:rsidRPr="006B60DF">
        <w:rPr>
          <w:rFonts w:asciiTheme="majorBidi" w:hAnsiTheme="majorBidi" w:cstheme="majorBidi"/>
          <w:i/>
          <w:iCs/>
        </w:rPr>
        <w:t xml:space="preserve">aragraph </w:t>
      </w:r>
      <w:r w:rsidR="005C38BD">
        <w:rPr>
          <w:rFonts w:asciiTheme="majorBidi" w:hAnsiTheme="majorBidi" w:cstheme="majorBidi"/>
          <w:i/>
          <w:iCs/>
        </w:rPr>
        <w:t xml:space="preserve">5.2., </w:t>
      </w:r>
      <w:r w:rsidR="00C03870">
        <w:rPr>
          <w:rFonts w:asciiTheme="majorBidi" w:hAnsiTheme="majorBidi" w:cstheme="majorBidi"/>
          <w:i/>
          <w:iCs/>
        </w:rPr>
        <w:t>g</w:t>
      </w:r>
      <w:r w:rsidR="00094958">
        <w:rPr>
          <w:rFonts w:asciiTheme="majorBidi" w:hAnsiTheme="majorBidi" w:cstheme="majorBidi"/>
          <w:i/>
          <w:iCs/>
        </w:rPr>
        <w:t xml:space="preserve">ear </w:t>
      </w:r>
      <w:r w:rsidR="005C38BD">
        <w:rPr>
          <w:rFonts w:asciiTheme="majorBidi" w:hAnsiTheme="majorBidi" w:cstheme="majorBidi"/>
          <w:i/>
          <w:iCs/>
        </w:rPr>
        <w:t>ratios for</w:t>
      </w:r>
      <w:r>
        <w:rPr>
          <w:rFonts w:asciiTheme="majorBidi" w:hAnsiTheme="majorBidi" w:cstheme="majorBidi"/>
          <w:i/>
          <w:iCs/>
        </w:rPr>
        <w:t xml:space="preserve"> </w:t>
      </w:r>
      <w:proofErr w:type="spellStart"/>
      <w:r>
        <w:rPr>
          <w:rFonts w:asciiTheme="majorBidi" w:hAnsiTheme="majorBidi" w:cstheme="majorBidi"/>
          <w:i/>
          <w:iCs/>
        </w:rPr>
        <w:t>ASEP</w:t>
      </w:r>
      <w:r w:rsidRPr="00C03870">
        <w:rPr>
          <w:rFonts w:asciiTheme="majorBidi" w:hAnsiTheme="majorBidi" w:cstheme="majorBidi"/>
          <w:i/>
          <w:iCs/>
          <w:vertAlign w:val="subscript"/>
        </w:rPr>
        <w:t>Lref</w:t>
      </w:r>
      <w:proofErr w:type="spellEnd"/>
    </w:p>
    <w:p w14:paraId="423DA4BA" w14:textId="17D2F510" w:rsidR="001D3C17" w:rsidRDefault="00C03870" w:rsidP="001A233D">
      <w:pPr>
        <w:pStyle w:val="SingleTxtG"/>
        <w:rPr>
          <w:rFonts w:asciiTheme="majorBidi" w:hAnsiTheme="majorBidi" w:cstheme="majorBidi"/>
        </w:rPr>
      </w:pPr>
      <w:r>
        <w:rPr>
          <w:rFonts w:asciiTheme="majorBidi" w:hAnsiTheme="majorBidi" w:cstheme="majorBidi"/>
        </w:rPr>
        <w:t>9.</w:t>
      </w:r>
      <w:r>
        <w:rPr>
          <w:rFonts w:asciiTheme="majorBidi" w:hAnsiTheme="majorBidi" w:cstheme="majorBidi"/>
        </w:rPr>
        <w:tab/>
      </w:r>
      <w:r w:rsidR="005C7CB5">
        <w:rPr>
          <w:rFonts w:asciiTheme="majorBidi" w:hAnsiTheme="majorBidi" w:cstheme="majorBidi"/>
        </w:rPr>
        <w:t>This sentence has been wrongly introduced in the text of Supplement 10</w:t>
      </w:r>
      <w:r w:rsidR="00972296">
        <w:rPr>
          <w:rFonts w:asciiTheme="majorBidi" w:hAnsiTheme="majorBidi" w:cstheme="majorBidi"/>
        </w:rPr>
        <w:t xml:space="preserve"> (</w:t>
      </w:r>
      <w:r w:rsidR="007D1017" w:rsidRPr="00424DE3">
        <w:rPr>
          <w:rFonts w:asciiTheme="majorBidi" w:hAnsiTheme="majorBidi" w:cstheme="majorBidi"/>
        </w:rPr>
        <w:t>GRBP-79-33</w:t>
      </w:r>
      <w:r w:rsidR="00C768FD" w:rsidRPr="00424DE3">
        <w:rPr>
          <w:rFonts w:asciiTheme="majorBidi" w:hAnsiTheme="majorBidi" w:cstheme="majorBidi"/>
        </w:rPr>
        <w:t>-Rev.1</w:t>
      </w:r>
      <w:r w:rsidR="00972296">
        <w:rPr>
          <w:rFonts w:asciiTheme="majorBidi" w:hAnsiTheme="majorBidi" w:cstheme="majorBidi"/>
        </w:rPr>
        <w:t xml:space="preserve">). </w:t>
      </w:r>
      <w:r w:rsidR="007E54E2">
        <w:rPr>
          <w:rFonts w:asciiTheme="majorBidi" w:hAnsiTheme="majorBidi" w:cstheme="majorBidi"/>
        </w:rPr>
        <w:t xml:space="preserve">It was not the object of the amendment </w:t>
      </w:r>
      <w:r w:rsidR="002F1C61">
        <w:rPr>
          <w:rFonts w:asciiTheme="majorBidi" w:hAnsiTheme="majorBidi" w:cstheme="majorBidi"/>
        </w:rPr>
        <w:t>to this</w:t>
      </w:r>
      <w:r w:rsidR="00B658E1">
        <w:rPr>
          <w:rFonts w:asciiTheme="majorBidi" w:hAnsiTheme="majorBidi" w:cstheme="majorBidi"/>
        </w:rPr>
        <w:t xml:space="preserve"> paragraph</w:t>
      </w:r>
      <w:r w:rsidR="00425775">
        <w:rPr>
          <w:rFonts w:asciiTheme="majorBidi" w:hAnsiTheme="majorBidi" w:cstheme="majorBidi"/>
        </w:rPr>
        <w:t xml:space="preserve">. </w:t>
      </w:r>
      <w:r w:rsidR="001D3C17">
        <w:rPr>
          <w:rFonts w:asciiTheme="majorBidi" w:hAnsiTheme="majorBidi" w:cstheme="majorBidi"/>
        </w:rPr>
        <w:t xml:space="preserve">The previous amendment </w:t>
      </w:r>
      <w:r w:rsidR="00C551F0">
        <w:rPr>
          <w:rFonts w:asciiTheme="majorBidi" w:hAnsiTheme="majorBidi" w:cstheme="majorBidi"/>
        </w:rPr>
        <w:t>to</w:t>
      </w:r>
      <w:r w:rsidR="001D3C17">
        <w:rPr>
          <w:rFonts w:asciiTheme="majorBidi" w:hAnsiTheme="majorBidi" w:cstheme="majorBidi"/>
        </w:rPr>
        <w:t xml:space="preserve"> this paragraph was in Supplement </w:t>
      </w:r>
      <w:r w:rsidR="00F558A9">
        <w:rPr>
          <w:rFonts w:asciiTheme="majorBidi" w:hAnsiTheme="majorBidi" w:cstheme="majorBidi"/>
        </w:rPr>
        <w:t>5 (</w:t>
      </w:r>
      <w:r w:rsidR="00F558A9" w:rsidRPr="00424DE3">
        <w:rPr>
          <w:rFonts w:asciiTheme="majorBidi" w:hAnsiTheme="majorBidi" w:cstheme="majorBidi"/>
        </w:rPr>
        <w:t>E/ECE/324/Rev.1/Add.50/Rev.3/Amend.5</w:t>
      </w:r>
      <w:r w:rsidR="00F558A9">
        <w:rPr>
          <w:rFonts w:asciiTheme="majorBidi" w:hAnsiTheme="majorBidi" w:cstheme="majorBidi"/>
        </w:rPr>
        <w:t>)</w:t>
      </w:r>
      <w:r w:rsidR="00893B4F">
        <w:rPr>
          <w:rFonts w:asciiTheme="majorBidi" w:hAnsiTheme="majorBidi" w:cstheme="majorBidi"/>
        </w:rPr>
        <w:t>, where this sentence was not present.</w:t>
      </w:r>
    </w:p>
    <w:p w14:paraId="093799BE" w14:textId="3A7725E0" w:rsidR="00F51A65" w:rsidRPr="006B60DF" w:rsidRDefault="00424DE3" w:rsidP="001A233D">
      <w:pPr>
        <w:pStyle w:val="SingleTxtG"/>
        <w:rPr>
          <w:rFonts w:asciiTheme="majorBidi" w:hAnsiTheme="majorBidi" w:cstheme="majorBidi"/>
        </w:rPr>
      </w:pPr>
      <w:r>
        <w:rPr>
          <w:rFonts w:asciiTheme="majorBidi" w:hAnsiTheme="majorBidi" w:cstheme="majorBidi"/>
        </w:rPr>
        <w:t>10.</w:t>
      </w:r>
      <w:r>
        <w:rPr>
          <w:rFonts w:asciiTheme="majorBidi" w:hAnsiTheme="majorBidi" w:cstheme="majorBidi"/>
        </w:rPr>
        <w:tab/>
      </w:r>
      <w:r w:rsidR="00097C80">
        <w:rPr>
          <w:rFonts w:asciiTheme="majorBidi" w:hAnsiTheme="majorBidi" w:cstheme="majorBidi"/>
        </w:rPr>
        <w:t>It is obviously an editorial error</w:t>
      </w:r>
      <w:r w:rsidR="00BC17A2">
        <w:rPr>
          <w:rFonts w:asciiTheme="majorBidi" w:hAnsiTheme="majorBidi" w:cstheme="majorBidi"/>
        </w:rPr>
        <w:t xml:space="preserve">, as this sentence does not make sense, </w:t>
      </w:r>
      <w:r w:rsidR="00CD4901">
        <w:rPr>
          <w:rFonts w:asciiTheme="majorBidi" w:hAnsiTheme="majorBidi" w:cstheme="majorBidi"/>
        </w:rPr>
        <w:t>since the</w:t>
      </w:r>
      <w:r w:rsidR="002F1C61">
        <w:rPr>
          <w:rFonts w:asciiTheme="majorBidi" w:hAnsiTheme="majorBidi" w:cstheme="majorBidi"/>
        </w:rPr>
        <w:t xml:space="preserve"> choice of gear ratio for the measurement or calculation of </w:t>
      </w:r>
      <w:proofErr w:type="spellStart"/>
      <w:r w:rsidR="002F1C61">
        <w:rPr>
          <w:rFonts w:asciiTheme="majorBidi" w:hAnsiTheme="majorBidi" w:cstheme="majorBidi"/>
        </w:rPr>
        <w:t>L</w:t>
      </w:r>
      <w:r w:rsidR="002F1C61" w:rsidRPr="00B658E1">
        <w:rPr>
          <w:rFonts w:asciiTheme="majorBidi" w:hAnsiTheme="majorBidi" w:cstheme="majorBidi"/>
          <w:vertAlign w:val="subscript"/>
        </w:rPr>
        <w:t>ref</w:t>
      </w:r>
      <w:proofErr w:type="spellEnd"/>
      <w:r w:rsidR="002F1C61">
        <w:rPr>
          <w:rFonts w:asciiTheme="majorBidi" w:hAnsiTheme="majorBidi" w:cstheme="majorBidi"/>
        </w:rPr>
        <w:t xml:space="preserve"> </w:t>
      </w:r>
      <w:r w:rsidR="00425775">
        <w:rPr>
          <w:rFonts w:asciiTheme="majorBidi" w:hAnsiTheme="majorBidi" w:cstheme="majorBidi"/>
        </w:rPr>
        <w:t xml:space="preserve">in the case of locked gear ratios is already clearly addressed in </w:t>
      </w:r>
      <w:r w:rsidR="00ED1BC5">
        <w:rPr>
          <w:rFonts w:asciiTheme="majorBidi" w:hAnsiTheme="majorBidi" w:cstheme="majorBidi"/>
        </w:rPr>
        <w:t>the same</w:t>
      </w:r>
      <w:r w:rsidR="00425775">
        <w:rPr>
          <w:rFonts w:asciiTheme="majorBidi" w:hAnsiTheme="majorBidi" w:cstheme="majorBidi"/>
        </w:rPr>
        <w:t xml:space="preserve"> paragraph</w:t>
      </w:r>
      <w:r w:rsidR="002F1C61">
        <w:rPr>
          <w:rFonts w:asciiTheme="majorBidi" w:hAnsiTheme="majorBidi" w:cstheme="majorBidi"/>
        </w:rPr>
        <w:t>.</w:t>
      </w:r>
      <w:r w:rsidR="00CA34D5">
        <w:rPr>
          <w:rFonts w:asciiTheme="majorBidi" w:hAnsiTheme="majorBidi" w:cstheme="majorBidi"/>
        </w:rPr>
        <w:t xml:space="preserve"> It is </w:t>
      </w:r>
      <w:r w:rsidR="00ED1BC5">
        <w:rPr>
          <w:rFonts w:asciiTheme="majorBidi" w:hAnsiTheme="majorBidi" w:cstheme="majorBidi"/>
        </w:rPr>
        <w:t xml:space="preserve">then </w:t>
      </w:r>
      <w:r w:rsidR="00CA34D5">
        <w:rPr>
          <w:rFonts w:asciiTheme="majorBidi" w:hAnsiTheme="majorBidi" w:cstheme="majorBidi"/>
        </w:rPr>
        <w:t>proposed to remove this sentence.</w:t>
      </w:r>
    </w:p>
    <w:p w14:paraId="69AA71AD" w14:textId="12B5F084" w:rsidR="0029198F" w:rsidRPr="006B60DF" w:rsidRDefault="0029198F" w:rsidP="00EC05B3">
      <w:pPr>
        <w:spacing w:before="240"/>
        <w:ind w:right="1134"/>
        <w:jc w:val="center"/>
        <w:rPr>
          <w:u w:val="single"/>
        </w:rPr>
      </w:pPr>
      <w:r w:rsidRPr="006B60DF">
        <w:rPr>
          <w:u w:val="single"/>
        </w:rPr>
        <w:tab/>
      </w:r>
      <w:r w:rsidRPr="006B60DF">
        <w:rPr>
          <w:u w:val="single"/>
        </w:rPr>
        <w:tab/>
      </w:r>
      <w:r w:rsidRPr="006B60DF">
        <w:rPr>
          <w:u w:val="single"/>
        </w:rPr>
        <w:tab/>
      </w:r>
    </w:p>
    <w:p w14:paraId="6C9C82CB" w14:textId="67DF2316" w:rsidR="00BE34CB" w:rsidRPr="00380570" w:rsidRDefault="00BE34CB" w:rsidP="00EC05B3">
      <w:pPr>
        <w:suppressAutoHyphens w:val="0"/>
        <w:spacing w:line="240" w:lineRule="auto"/>
        <w:ind w:right="1134"/>
        <w:rPr>
          <w:lang w:val="en-US"/>
        </w:rPr>
      </w:pPr>
    </w:p>
    <w:sectPr w:rsidR="00BE34CB" w:rsidRPr="00380570" w:rsidSect="006709C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B330" w14:textId="77777777" w:rsidR="004065E8" w:rsidRPr="006B60DF" w:rsidRDefault="004065E8"/>
  </w:endnote>
  <w:endnote w:type="continuationSeparator" w:id="0">
    <w:p w14:paraId="6A17343A" w14:textId="77777777" w:rsidR="004065E8" w:rsidRPr="006B60DF" w:rsidRDefault="004065E8"/>
  </w:endnote>
  <w:endnote w:type="continuationNotice" w:id="1">
    <w:p w14:paraId="62CC5342" w14:textId="77777777" w:rsidR="004065E8" w:rsidRPr="006B60DF" w:rsidRDefault="0040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3846" w14:textId="05B287C2" w:rsidR="00220153" w:rsidRPr="006B60DF" w:rsidRDefault="007C0F6A" w:rsidP="00220153">
    <w:pPr>
      <w:pStyle w:val="Footer"/>
      <w:rPr>
        <w:sz w:val="20"/>
      </w:rPr>
    </w:pPr>
    <w:r w:rsidRPr="007C0F6A">
      <w:rPr>
        <w:noProof/>
        <w:sz w:val="20"/>
        <w:lang w:val="en-US"/>
      </w:rPr>
      <w:drawing>
        <wp:anchor distT="0" distB="0" distL="114300" distR="114300" simplePos="0" relativeHeight="251659264" behindDoc="0" locked="1" layoutInCell="1" allowOverlap="1" wp14:anchorId="2D0ED5D3" wp14:editId="2D2DC9E8">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1054FEF" w14:textId="181C6D2E" w:rsidR="00220153" w:rsidRDefault="00220153" w:rsidP="007C0F6A"/>
  <w:p w14:paraId="4A324D8C" w14:textId="04911E35" w:rsidR="007C0F6A" w:rsidRPr="007C0F6A" w:rsidRDefault="007C0F6A" w:rsidP="007C0F6A">
    <w:pPr>
      <w:spacing w:line="240" w:lineRule="auto"/>
      <w:ind w:right="1134"/>
    </w:pPr>
    <w:r>
      <w:t>GE.25-</w:t>
    </w:r>
    <w:proofErr w:type="gramStart"/>
    <w:r>
      <w:t>09849  (</w:t>
    </w:r>
    <w:proofErr w:type="gramEnd"/>
    <w:r>
      <w:t>E)</w:t>
    </w:r>
    <w:r>
      <w:rPr>
        <w:noProof/>
      </w:rPr>
      <w:drawing>
        <wp:anchor distT="0" distB="0" distL="114300" distR="114300" simplePos="0" relativeHeight="251660288" behindDoc="0" locked="0" layoutInCell="1" allowOverlap="1" wp14:anchorId="1AB626B9" wp14:editId="5B42A812">
          <wp:simplePos x="0" y="0"/>
          <wp:positionH relativeFrom="margin">
            <wp:posOffset>5583555</wp:posOffset>
          </wp:positionH>
          <wp:positionV relativeFrom="margin">
            <wp:posOffset>8981440</wp:posOffset>
          </wp:positionV>
          <wp:extent cx="571500" cy="571500"/>
          <wp:effectExtent l="0" t="0" r="0" b="0"/>
          <wp:wrapNone/>
          <wp:docPr id="435606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F8D" w14:textId="21092D09" w:rsidR="009F38CA" w:rsidRPr="006B60DF" w:rsidRDefault="00220153" w:rsidP="000E6888">
    <w:pPr>
      <w:pStyle w:val="Footer"/>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3C3F" w14:textId="41883294" w:rsidR="009F38CA" w:rsidRPr="006B60DF" w:rsidRDefault="00220153" w:rsidP="000E6888">
    <w:pPr>
      <w:pStyle w:val="Footer"/>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FACC" w14:textId="318FA71B" w:rsidR="009F38CA" w:rsidRPr="006B60DF" w:rsidRDefault="009F38CA" w:rsidP="00CD0D57">
    <w:pPr>
      <w:pStyle w:val="Footer"/>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F0E2" w14:textId="77777777" w:rsidR="004065E8" w:rsidRPr="006B60DF" w:rsidRDefault="004065E8" w:rsidP="00D27D5E">
      <w:pPr>
        <w:tabs>
          <w:tab w:val="right" w:pos="2155"/>
        </w:tabs>
        <w:spacing w:after="80"/>
        <w:ind w:left="680"/>
        <w:rPr>
          <w:u w:val="single"/>
        </w:rPr>
      </w:pPr>
      <w:r w:rsidRPr="006B60DF">
        <w:rPr>
          <w:u w:val="single"/>
        </w:rPr>
        <w:tab/>
      </w:r>
    </w:p>
  </w:footnote>
  <w:footnote w:type="continuationSeparator" w:id="0">
    <w:p w14:paraId="56DFD710" w14:textId="77777777" w:rsidR="004065E8" w:rsidRPr="006B60DF" w:rsidRDefault="004065E8">
      <w:r w:rsidRPr="006B60DF">
        <w:rPr>
          <w:u w:val="single"/>
        </w:rPr>
        <w:tab/>
      </w:r>
      <w:r w:rsidRPr="006B60DF">
        <w:rPr>
          <w:u w:val="single"/>
        </w:rPr>
        <w:tab/>
      </w:r>
      <w:r w:rsidRPr="006B60DF">
        <w:rPr>
          <w:u w:val="single"/>
        </w:rPr>
        <w:tab/>
      </w:r>
      <w:r w:rsidRPr="006B60DF">
        <w:rPr>
          <w:u w:val="single"/>
        </w:rPr>
        <w:tab/>
      </w:r>
    </w:p>
  </w:footnote>
  <w:footnote w:type="continuationNotice" w:id="1">
    <w:p w14:paraId="13340DF7" w14:textId="77777777" w:rsidR="004065E8" w:rsidRPr="006B60DF" w:rsidRDefault="004065E8"/>
  </w:footnote>
  <w:footnote w:id="2">
    <w:p w14:paraId="6EE3B97B" w14:textId="1D2BA1A7" w:rsidR="001D4B3B" w:rsidRDefault="001D4B3B" w:rsidP="00EE38F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70C" w14:textId="77777777" w:rsidR="00AF627E" w:rsidRPr="006B60DF" w:rsidRDefault="00AF627E" w:rsidP="008A1FD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02E8" w14:textId="6775F37A" w:rsidR="009F38CA" w:rsidRPr="006B60DF" w:rsidRDefault="009F38CA">
    <w:pPr>
      <w:pStyle w:val="Header"/>
    </w:pPr>
    <w:r w:rsidRPr="006B60DF">
      <w:t>ECE/TRANS/WP.29/</w:t>
    </w:r>
    <w:r w:rsidR="00887252" w:rsidRPr="006B60DF">
      <w:t>GRBP/</w:t>
    </w:r>
    <w:r w:rsidRPr="006B60DF">
      <w:t>202</w:t>
    </w:r>
    <w:r w:rsidR="008161E6">
      <w:t>5/</w:t>
    </w:r>
    <w:r w:rsidR="00691B29">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AFC5" w14:textId="6FE34BBD" w:rsidR="009F38CA" w:rsidRPr="006B60DF" w:rsidRDefault="009F38CA" w:rsidP="00E0019A">
    <w:pPr>
      <w:pStyle w:val="Header"/>
      <w:jc w:val="right"/>
    </w:pPr>
    <w:r w:rsidRPr="006B60DF">
      <w:t>ECE/TRANS/WP.29/</w:t>
    </w:r>
    <w:r w:rsidR="000A6A6F" w:rsidRPr="006B60DF">
      <w:t>GRBP/</w:t>
    </w:r>
    <w:r w:rsidR="006022F5">
      <w:t>2025</w:t>
    </w:r>
    <w:r w:rsidRPr="006B60DF">
      <w:t>/</w:t>
    </w:r>
    <w:r w:rsidR="00691B29">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5FFE53AC" w:rsidR="009F38CA" w:rsidRDefault="009F38CA" w:rsidP="00CD0D57">
    <w:pPr>
      <w:pStyle w:val="Header"/>
    </w:pPr>
    <w:r w:rsidRPr="006B60DF">
      <w:t>ECE/TRANS/WP.29/</w:t>
    </w:r>
    <w:r w:rsidR="00B32A86" w:rsidRPr="006B60DF">
      <w:t>GRBP/</w:t>
    </w:r>
    <w:r w:rsidRPr="006B60DF">
      <w:t>202</w:t>
    </w:r>
    <w:r w:rsidR="006022F5">
      <w:t>5</w:t>
    </w:r>
    <w:r w:rsidRPr="006B60DF">
      <w:t>/</w:t>
    </w:r>
    <w:r w:rsidR="00691B29">
      <w:t>20</w:t>
    </w:r>
  </w:p>
  <w:p w14:paraId="56DD25DC" w14:textId="77777777" w:rsidR="006022F5" w:rsidRPr="006022F5" w:rsidRDefault="006022F5" w:rsidP="00602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0522F2"/>
    <w:multiLevelType w:val="hybridMultilevel"/>
    <w:tmpl w:val="B4DA9084"/>
    <w:lvl w:ilvl="0" w:tplc="CF06CCBC">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8F63716"/>
    <w:multiLevelType w:val="hybridMultilevel"/>
    <w:tmpl w:val="50C04448"/>
    <w:lvl w:ilvl="0" w:tplc="EAD44B72">
      <w:start w:val="1"/>
      <w:numFmt w:val="decimal"/>
      <w:lvlText w:val="%1."/>
      <w:lvlJc w:val="left"/>
      <w:pPr>
        <w:ind w:left="1689" w:hanging="555"/>
      </w:pPr>
      <w:rPr>
        <w:rFonts w:hint="default"/>
        <w:i w:val="0"/>
        <w:iCs w:val="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6174695">
    <w:abstractNumId w:val="6"/>
  </w:num>
  <w:num w:numId="2" w16cid:durableId="1604141579">
    <w:abstractNumId w:val="3"/>
  </w:num>
  <w:num w:numId="3" w16cid:durableId="165022651">
    <w:abstractNumId w:val="5"/>
  </w:num>
  <w:num w:numId="4" w16cid:durableId="1982223266">
    <w:abstractNumId w:val="1"/>
  </w:num>
  <w:num w:numId="5" w16cid:durableId="1901473955">
    <w:abstractNumId w:val="0"/>
  </w:num>
  <w:num w:numId="6" w16cid:durableId="109789767">
    <w:abstractNumId w:val="4"/>
  </w:num>
  <w:num w:numId="7" w16cid:durableId="1719470732">
    <w:abstractNumId w:val="2"/>
  </w:num>
  <w:num w:numId="8" w16cid:durableId="636959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24E"/>
    <w:rsid w:val="0000154B"/>
    <w:rsid w:val="00001B74"/>
    <w:rsid w:val="00001E10"/>
    <w:rsid w:val="0000255E"/>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325A"/>
    <w:rsid w:val="00033442"/>
    <w:rsid w:val="00033E81"/>
    <w:rsid w:val="0003582A"/>
    <w:rsid w:val="000358BF"/>
    <w:rsid w:val="00035F50"/>
    <w:rsid w:val="000370EE"/>
    <w:rsid w:val="00037CCD"/>
    <w:rsid w:val="000403DA"/>
    <w:rsid w:val="00040A28"/>
    <w:rsid w:val="000417DD"/>
    <w:rsid w:val="00042A72"/>
    <w:rsid w:val="000434E1"/>
    <w:rsid w:val="00044EC5"/>
    <w:rsid w:val="00045343"/>
    <w:rsid w:val="0004573F"/>
    <w:rsid w:val="00046050"/>
    <w:rsid w:val="00047F1C"/>
    <w:rsid w:val="000513C7"/>
    <w:rsid w:val="00051ABE"/>
    <w:rsid w:val="0005278B"/>
    <w:rsid w:val="00053AD5"/>
    <w:rsid w:val="0005402D"/>
    <w:rsid w:val="00054CEC"/>
    <w:rsid w:val="00055CBB"/>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B8E"/>
    <w:rsid w:val="000716B7"/>
    <w:rsid w:val="00072564"/>
    <w:rsid w:val="00072A60"/>
    <w:rsid w:val="000730D3"/>
    <w:rsid w:val="0007399A"/>
    <w:rsid w:val="0007452F"/>
    <w:rsid w:val="000759C4"/>
    <w:rsid w:val="00081037"/>
    <w:rsid w:val="00081396"/>
    <w:rsid w:val="000834EE"/>
    <w:rsid w:val="0008393C"/>
    <w:rsid w:val="00083D24"/>
    <w:rsid w:val="00083F5E"/>
    <w:rsid w:val="00083FCB"/>
    <w:rsid w:val="00084173"/>
    <w:rsid w:val="00084A2F"/>
    <w:rsid w:val="00085C11"/>
    <w:rsid w:val="00086860"/>
    <w:rsid w:val="00090920"/>
    <w:rsid w:val="00090B9F"/>
    <w:rsid w:val="00091EA3"/>
    <w:rsid w:val="00092407"/>
    <w:rsid w:val="00092479"/>
    <w:rsid w:val="00092CF8"/>
    <w:rsid w:val="00093ECB"/>
    <w:rsid w:val="0009437C"/>
    <w:rsid w:val="00094958"/>
    <w:rsid w:val="0009686D"/>
    <w:rsid w:val="000977B0"/>
    <w:rsid w:val="00097C80"/>
    <w:rsid w:val="000A06AE"/>
    <w:rsid w:val="000A1461"/>
    <w:rsid w:val="000A1A4A"/>
    <w:rsid w:val="000A1E3C"/>
    <w:rsid w:val="000A2D72"/>
    <w:rsid w:val="000A3E1C"/>
    <w:rsid w:val="000A4656"/>
    <w:rsid w:val="000A4B06"/>
    <w:rsid w:val="000A4D84"/>
    <w:rsid w:val="000A500E"/>
    <w:rsid w:val="000A520E"/>
    <w:rsid w:val="000A57D0"/>
    <w:rsid w:val="000A59AC"/>
    <w:rsid w:val="000A5CFE"/>
    <w:rsid w:val="000A61B9"/>
    <w:rsid w:val="000A6A6F"/>
    <w:rsid w:val="000A73BB"/>
    <w:rsid w:val="000B0833"/>
    <w:rsid w:val="000B422A"/>
    <w:rsid w:val="000B551E"/>
    <w:rsid w:val="000B5943"/>
    <w:rsid w:val="000B6AF9"/>
    <w:rsid w:val="000B6EE3"/>
    <w:rsid w:val="000C0C89"/>
    <w:rsid w:val="000C445F"/>
    <w:rsid w:val="000C5252"/>
    <w:rsid w:val="000C59F1"/>
    <w:rsid w:val="000C66DF"/>
    <w:rsid w:val="000C6ABB"/>
    <w:rsid w:val="000C7E66"/>
    <w:rsid w:val="000C7F1B"/>
    <w:rsid w:val="000D09B2"/>
    <w:rsid w:val="000D1951"/>
    <w:rsid w:val="000D2B09"/>
    <w:rsid w:val="000D2BAB"/>
    <w:rsid w:val="000D3280"/>
    <w:rsid w:val="000D61DF"/>
    <w:rsid w:val="000D64C9"/>
    <w:rsid w:val="000D6583"/>
    <w:rsid w:val="000D7B7F"/>
    <w:rsid w:val="000D7F6D"/>
    <w:rsid w:val="000E143A"/>
    <w:rsid w:val="000E162E"/>
    <w:rsid w:val="000E24BB"/>
    <w:rsid w:val="000E40FD"/>
    <w:rsid w:val="000E4287"/>
    <w:rsid w:val="000E459E"/>
    <w:rsid w:val="000E4F8B"/>
    <w:rsid w:val="000E5D7D"/>
    <w:rsid w:val="000E65B4"/>
    <w:rsid w:val="000E677E"/>
    <w:rsid w:val="000E6888"/>
    <w:rsid w:val="000E6DDB"/>
    <w:rsid w:val="000E7793"/>
    <w:rsid w:val="000F2702"/>
    <w:rsid w:val="000F2827"/>
    <w:rsid w:val="000F2A46"/>
    <w:rsid w:val="000F361C"/>
    <w:rsid w:val="000F3C75"/>
    <w:rsid w:val="000F41F2"/>
    <w:rsid w:val="000F459F"/>
    <w:rsid w:val="000F4A77"/>
    <w:rsid w:val="000F4E8E"/>
    <w:rsid w:val="000F5D27"/>
    <w:rsid w:val="000F6264"/>
    <w:rsid w:val="000F7F74"/>
    <w:rsid w:val="00100065"/>
    <w:rsid w:val="0010036C"/>
    <w:rsid w:val="001036F2"/>
    <w:rsid w:val="00103BD0"/>
    <w:rsid w:val="0010544E"/>
    <w:rsid w:val="00105E1B"/>
    <w:rsid w:val="0010601F"/>
    <w:rsid w:val="001069EF"/>
    <w:rsid w:val="001104BB"/>
    <w:rsid w:val="001104F6"/>
    <w:rsid w:val="0011062F"/>
    <w:rsid w:val="001106DD"/>
    <w:rsid w:val="00110FE7"/>
    <w:rsid w:val="00111F1E"/>
    <w:rsid w:val="00112EC0"/>
    <w:rsid w:val="0011308F"/>
    <w:rsid w:val="001138F1"/>
    <w:rsid w:val="0011447A"/>
    <w:rsid w:val="00114B66"/>
    <w:rsid w:val="00115FBF"/>
    <w:rsid w:val="00121759"/>
    <w:rsid w:val="0012204A"/>
    <w:rsid w:val="0012225D"/>
    <w:rsid w:val="00122D61"/>
    <w:rsid w:val="00123B2A"/>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194E"/>
    <w:rsid w:val="00142565"/>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7B74"/>
    <w:rsid w:val="00160540"/>
    <w:rsid w:val="001608DB"/>
    <w:rsid w:val="00161795"/>
    <w:rsid w:val="00161A5C"/>
    <w:rsid w:val="00161B31"/>
    <w:rsid w:val="00162760"/>
    <w:rsid w:val="0016280F"/>
    <w:rsid w:val="00163263"/>
    <w:rsid w:val="001639D2"/>
    <w:rsid w:val="00163C8E"/>
    <w:rsid w:val="00164B1E"/>
    <w:rsid w:val="001656DE"/>
    <w:rsid w:val="0016687E"/>
    <w:rsid w:val="0016749C"/>
    <w:rsid w:val="00170C2B"/>
    <w:rsid w:val="001715AC"/>
    <w:rsid w:val="00171607"/>
    <w:rsid w:val="0017182C"/>
    <w:rsid w:val="0017461F"/>
    <w:rsid w:val="001748AF"/>
    <w:rsid w:val="001767B5"/>
    <w:rsid w:val="00177007"/>
    <w:rsid w:val="0018080A"/>
    <w:rsid w:val="00181186"/>
    <w:rsid w:val="00181D8E"/>
    <w:rsid w:val="00181FD1"/>
    <w:rsid w:val="00184334"/>
    <w:rsid w:val="001846B8"/>
    <w:rsid w:val="0018512F"/>
    <w:rsid w:val="001859D2"/>
    <w:rsid w:val="00186748"/>
    <w:rsid w:val="00186C01"/>
    <w:rsid w:val="00186EE9"/>
    <w:rsid w:val="00187C41"/>
    <w:rsid w:val="001901A6"/>
    <w:rsid w:val="00190A2E"/>
    <w:rsid w:val="00190AFA"/>
    <w:rsid w:val="001921A7"/>
    <w:rsid w:val="00192EEB"/>
    <w:rsid w:val="0019306A"/>
    <w:rsid w:val="00193A48"/>
    <w:rsid w:val="00195B84"/>
    <w:rsid w:val="001A06A6"/>
    <w:rsid w:val="001A073C"/>
    <w:rsid w:val="001A1371"/>
    <w:rsid w:val="001A1A90"/>
    <w:rsid w:val="001A1F58"/>
    <w:rsid w:val="001A20FB"/>
    <w:rsid w:val="001A233D"/>
    <w:rsid w:val="001A293E"/>
    <w:rsid w:val="001A2FFC"/>
    <w:rsid w:val="001A622F"/>
    <w:rsid w:val="001A63A8"/>
    <w:rsid w:val="001A78AB"/>
    <w:rsid w:val="001B05AE"/>
    <w:rsid w:val="001B1261"/>
    <w:rsid w:val="001B47A9"/>
    <w:rsid w:val="001B5ABB"/>
    <w:rsid w:val="001B5FB6"/>
    <w:rsid w:val="001B69FB"/>
    <w:rsid w:val="001B6F40"/>
    <w:rsid w:val="001B701A"/>
    <w:rsid w:val="001B7051"/>
    <w:rsid w:val="001B70C6"/>
    <w:rsid w:val="001C2E31"/>
    <w:rsid w:val="001C519D"/>
    <w:rsid w:val="001C580E"/>
    <w:rsid w:val="001C5E6F"/>
    <w:rsid w:val="001C60AE"/>
    <w:rsid w:val="001D0A66"/>
    <w:rsid w:val="001D0B92"/>
    <w:rsid w:val="001D2936"/>
    <w:rsid w:val="001D3C17"/>
    <w:rsid w:val="001D4B3B"/>
    <w:rsid w:val="001D54AC"/>
    <w:rsid w:val="001D54F5"/>
    <w:rsid w:val="001D55E8"/>
    <w:rsid w:val="001D5DD0"/>
    <w:rsid w:val="001D6D7D"/>
    <w:rsid w:val="001D7B06"/>
    <w:rsid w:val="001D7F8A"/>
    <w:rsid w:val="001E0175"/>
    <w:rsid w:val="001E0358"/>
    <w:rsid w:val="001E03D6"/>
    <w:rsid w:val="001E1770"/>
    <w:rsid w:val="001E361F"/>
    <w:rsid w:val="001E3FEB"/>
    <w:rsid w:val="001E4096"/>
    <w:rsid w:val="001E4737"/>
    <w:rsid w:val="001E4A02"/>
    <w:rsid w:val="001E6C77"/>
    <w:rsid w:val="001F1B5A"/>
    <w:rsid w:val="001F2230"/>
    <w:rsid w:val="001F3443"/>
    <w:rsid w:val="001F419A"/>
    <w:rsid w:val="001F6F21"/>
    <w:rsid w:val="002013C5"/>
    <w:rsid w:val="00201CFA"/>
    <w:rsid w:val="00201D06"/>
    <w:rsid w:val="00202178"/>
    <w:rsid w:val="00203C21"/>
    <w:rsid w:val="00204590"/>
    <w:rsid w:val="00205EDD"/>
    <w:rsid w:val="00205F80"/>
    <w:rsid w:val="00206999"/>
    <w:rsid w:val="00206A1F"/>
    <w:rsid w:val="00207580"/>
    <w:rsid w:val="00207A50"/>
    <w:rsid w:val="002109B4"/>
    <w:rsid w:val="002109BE"/>
    <w:rsid w:val="00211132"/>
    <w:rsid w:val="00211778"/>
    <w:rsid w:val="0021194C"/>
    <w:rsid w:val="00211D20"/>
    <w:rsid w:val="002131E6"/>
    <w:rsid w:val="002148C4"/>
    <w:rsid w:val="00215437"/>
    <w:rsid w:val="00215639"/>
    <w:rsid w:val="00216978"/>
    <w:rsid w:val="00217A86"/>
    <w:rsid w:val="00220153"/>
    <w:rsid w:val="00220B7D"/>
    <w:rsid w:val="0022128A"/>
    <w:rsid w:val="00221873"/>
    <w:rsid w:val="002232AF"/>
    <w:rsid w:val="00223B89"/>
    <w:rsid w:val="0022420E"/>
    <w:rsid w:val="00224317"/>
    <w:rsid w:val="00225A8C"/>
    <w:rsid w:val="002269A3"/>
    <w:rsid w:val="00227ADD"/>
    <w:rsid w:val="00231669"/>
    <w:rsid w:val="0023204A"/>
    <w:rsid w:val="00232359"/>
    <w:rsid w:val="00232EE1"/>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505"/>
    <w:rsid w:val="002467DC"/>
    <w:rsid w:val="00247143"/>
    <w:rsid w:val="00247ADB"/>
    <w:rsid w:val="00250B6F"/>
    <w:rsid w:val="00251038"/>
    <w:rsid w:val="00254382"/>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7050A"/>
    <w:rsid w:val="00270B86"/>
    <w:rsid w:val="00271742"/>
    <w:rsid w:val="00271C7C"/>
    <w:rsid w:val="00272478"/>
    <w:rsid w:val="0027263C"/>
    <w:rsid w:val="00272F60"/>
    <w:rsid w:val="00273E19"/>
    <w:rsid w:val="00274749"/>
    <w:rsid w:val="0027494A"/>
    <w:rsid w:val="0027574B"/>
    <w:rsid w:val="0027578A"/>
    <w:rsid w:val="00281C1F"/>
    <w:rsid w:val="0028278C"/>
    <w:rsid w:val="00282974"/>
    <w:rsid w:val="002842BB"/>
    <w:rsid w:val="0028516F"/>
    <w:rsid w:val="00285232"/>
    <w:rsid w:val="00285DD2"/>
    <w:rsid w:val="00286793"/>
    <w:rsid w:val="002873BA"/>
    <w:rsid w:val="00287B39"/>
    <w:rsid w:val="00287E7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3003"/>
    <w:rsid w:val="002A3B85"/>
    <w:rsid w:val="002A5293"/>
    <w:rsid w:val="002A5D07"/>
    <w:rsid w:val="002B08DB"/>
    <w:rsid w:val="002B0C48"/>
    <w:rsid w:val="002B193A"/>
    <w:rsid w:val="002B3858"/>
    <w:rsid w:val="002C0CBE"/>
    <w:rsid w:val="002C1500"/>
    <w:rsid w:val="002C16C3"/>
    <w:rsid w:val="002C1C0F"/>
    <w:rsid w:val="002C29E3"/>
    <w:rsid w:val="002C2BCA"/>
    <w:rsid w:val="002C325F"/>
    <w:rsid w:val="002C44A5"/>
    <w:rsid w:val="002C6BAE"/>
    <w:rsid w:val="002C78D9"/>
    <w:rsid w:val="002D03DA"/>
    <w:rsid w:val="002D046C"/>
    <w:rsid w:val="002D0C17"/>
    <w:rsid w:val="002D0C5B"/>
    <w:rsid w:val="002D2488"/>
    <w:rsid w:val="002D351A"/>
    <w:rsid w:val="002D386F"/>
    <w:rsid w:val="002D4DF9"/>
    <w:rsid w:val="002D5A61"/>
    <w:rsid w:val="002D5B4B"/>
    <w:rsid w:val="002D5F21"/>
    <w:rsid w:val="002D68BE"/>
    <w:rsid w:val="002D773B"/>
    <w:rsid w:val="002E09D2"/>
    <w:rsid w:val="002E3016"/>
    <w:rsid w:val="002E42EE"/>
    <w:rsid w:val="002E5294"/>
    <w:rsid w:val="002E6A24"/>
    <w:rsid w:val="002E6C1E"/>
    <w:rsid w:val="002E6ED7"/>
    <w:rsid w:val="002E7E3F"/>
    <w:rsid w:val="002F0070"/>
    <w:rsid w:val="002F1C61"/>
    <w:rsid w:val="002F32A9"/>
    <w:rsid w:val="002F3E3B"/>
    <w:rsid w:val="002F421A"/>
    <w:rsid w:val="002F4CBE"/>
    <w:rsid w:val="002F6FFC"/>
    <w:rsid w:val="002F7163"/>
    <w:rsid w:val="003010F6"/>
    <w:rsid w:val="003016B7"/>
    <w:rsid w:val="00301C73"/>
    <w:rsid w:val="00303234"/>
    <w:rsid w:val="003037B1"/>
    <w:rsid w:val="00306AD8"/>
    <w:rsid w:val="00310241"/>
    <w:rsid w:val="0031503A"/>
    <w:rsid w:val="00315988"/>
    <w:rsid w:val="003162F7"/>
    <w:rsid w:val="00316610"/>
    <w:rsid w:val="00317CE1"/>
    <w:rsid w:val="003204E7"/>
    <w:rsid w:val="003212D7"/>
    <w:rsid w:val="00321E15"/>
    <w:rsid w:val="00322FDA"/>
    <w:rsid w:val="0032688E"/>
    <w:rsid w:val="00327367"/>
    <w:rsid w:val="003278BE"/>
    <w:rsid w:val="0033060C"/>
    <w:rsid w:val="00330F9C"/>
    <w:rsid w:val="00331F28"/>
    <w:rsid w:val="00333213"/>
    <w:rsid w:val="00333370"/>
    <w:rsid w:val="00333742"/>
    <w:rsid w:val="0033572B"/>
    <w:rsid w:val="003360FB"/>
    <w:rsid w:val="00336E96"/>
    <w:rsid w:val="00340771"/>
    <w:rsid w:val="00340C35"/>
    <w:rsid w:val="003411AE"/>
    <w:rsid w:val="003422B6"/>
    <w:rsid w:val="003427E7"/>
    <w:rsid w:val="00342FE6"/>
    <w:rsid w:val="00343016"/>
    <w:rsid w:val="003431DE"/>
    <w:rsid w:val="00343B8A"/>
    <w:rsid w:val="0034416C"/>
    <w:rsid w:val="003444EE"/>
    <w:rsid w:val="00344C79"/>
    <w:rsid w:val="00344FD9"/>
    <w:rsid w:val="00345131"/>
    <w:rsid w:val="00347AF0"/>
    <w:rsid w:val="0035149C"/>
    <w:rsid w:val="00351519"/>
    <w:rsid w:val="003515AA"/>
    <w:rsid w:val="00351DDA"/>
    <w:rsid w:val="00352282"/>
    <w:rsid w:val="00352FDB"/>
    <w:rsid w:val="00353EC6"/>
    <w:rsid w:val="00354EDB"/>
    <w:rsid w:val="00355D15"/>
    <w:rsid w:val="00360921"/>
    <w:rsid w:val="00360C43"/>
    <w:rsid w:val="003616B4"/>
    <w:rsid w:val="00362E95"/>
    <w:rsid w:val="003647DF"/>
    <w:rsid w:val="00364EAF"/>
    <w:rsid w:val="003657B2"/>
    <w:rsid w:val="00365F33"/>
    <w:rsid w:val="003666F6"/>
    <w:rsid w:val="00366C93"/>
    <w:rsid w:val="00370E0F"/>
    <w:rsid w:val="00371BBB"/>
    <w:rsid w:val="0037247C"/>
    <w:rsid w:val="0037301A"/>
    <w:rsid w:val="0037322D"/>
    <w:rsid w:val="003736D9"/>
    <w:rsid w:val="00374106"/>
    <w:rsid w:val="00375773"/>
    <w:rsid w:val="0037690D"/>
    <w:rsid w:val="003770B0"/>
    <w:rsid w:val="00380570"/>
    <w:rsid w:val="0038159E"/>
    <w:rsid w:val="00381863"/>
    <w:rsid w:val="003822EB"/>
    <w:rsid w:val="00382A22"/>
    <w:rsid w:val="00383013"/>
    <w:rsid w:val="0038381F"/>
    <w:rsid w:val="00384063"/>
    <w:rsid w:val="00384D67"/>
    <w:rsid w:val="00384E68"/>
    <w:rsid w:val="00386EEA"/>
    <w:rsid w:val="00387337"/>
    <w:rsid w:val="003876AF"/>
    <w:rsid w:val="00390BC8"/>
    <w:rsid w:val="00390D79"/>
    <w:rsid w:val="00391621"/>
    <w:rsid w:val="003933A8"/>
    <w:rsid w:val="00393EDD"/>
    <w:rsid w:val="00395C24"/>
    <w:rsid w:val="00395C81"/>
    <w:rsid w:val="00395DFE"/>
    <w:rsid w:val="00396559"/>
    <w:rsid w:val="0039665D"/>
    <w:rsid w:val="003976D5"/>
    <w:rsid w:val="003A0100"/>
    <w:rsid w:val="003A0A44"/>
    <w:rsid w:val="003A0FE8"/>
    <w:rsid w:val="003A113E"/>
    <w:rsid w:val="003A1DED"/>
    <w:rsid w:val="003A3D80"/>
    <w:rsid w:val="003A510E"/>
    <w:rsid w:val="003A669F"/>
    <w:rsid w:val="003A6AB3"/>
    <w:rsid w:val="003A7991"/>
    <w:rsid w:val="003B0457"/>
    <w:rsid w:val="003B1255"/>
    <w:rsid w:val="003B1553"/>
    <w:rsid w:val="003B1596"/>
    <w:rsid w:val="003B1850"/>
    <w:rsid w:val="003B1E13"/>
    <w:rsid w:val="003B1F83"/>
    <w:rsid w:val="003B2F2B"/>
    <w:rsid w:val="003B304B"/>
    <w:rsid w:val="003B3944"/>
    <w:rsid w:val="003B3D77"/>
    <w:rsid w:val="003B498D"/>
    <w:rsid w:val="003B4E7F"/>
    <w:rsid w:val="003B55ED"/>
    <w:rsid w:val="003B561C"/>
    <w:rsid w:val="003B610B"/>
    <w:rsid w:val="003B6D87"/>
    <w:rsid w:val="003B71BA"/>
    <w:rsid w:val="003C02C4"/>
    <w:rsid w:val="003C2401"/>
    <w:rsid w:val="003C28CC"/>
    <w:rsid w:val="003C3453"/>
    <w:rsid w:val="003C5B3B"/>
    <w:rsid w:val="003C5BB2"/>
    <w:rsid w:val="003C5C42"/>
    <w:rsid w:val="003C7CB9"/>
    <w:rsid w:val="003D0EBA"/>
    <w:rsid w:val="003D108F"/>
    <w:rsid w:val="003D1DF3"/>
    <w:rsid w:val="003D2AE2"/>
    <w:rsid w:val="003D2C78"/>
    <w:rsid w:val="003D3EBB"/>
    <w:rsid w:val="003D4183"/>
    <w:rsid w:val="003D46A7"/>
    <w:rsid w:val="003D4E1E"/>
    <w:rsid w:val="003D6C68"/>
    <w:rsid w:val="003D77CD"/>
    <w:rsid w:val="003E0000"/>
    <w:rsid w:val="003E037D"/>
    <w:rsid w:val="003E0C86"/>
    <w:rsid w:val="003E12BF"/>
    <w:rsid w:val="003E2AC4"/>
    <w:rsid w:val="003E2B6D"/>
    <w:rsid w:val="003E3FC2"/>
    <w:rsid w:val="003E40B4"/>
    <w:rsid w:val="003E4A29"/>
    <w:rsid w:val="003E522A"/>
    <w:rsid w:val="003E7A5E"/>
    <w:rsid w:val="003E7ED2"/>
    <w:rsid w:val="003F0826"/>
    <w:rsid w:val="003F143E"/>
    <w:rsid w:val="003F1B67"/>
    <w:rsid w:val="003F208A"/>
    <w:rsid w:val="003F2AD8"/>
    <w:rsid w:val="003F4D9A"/>
    <w:rsid w:val="003F6314"/>
    <w:rsid w:val="003F6778"/>
    <w:rsid w:val="003F69F6"/>
    <w:rsid w:val="003F6F97"/>
    <w:rsid w:val="003F730A"/>
    <w:rsid w:val="003F7B88"/>
    <w:rsid w:val="004007F5"/>
    <w:rsid w:val="00401D53"/>
    <w:rsid w:val="00401DB8"/>
    <w:rsid w:val="004023BB"/>
    <w:rsid w:val="00402E34"/>
    <w:rsid w:val="00403794"/>
    <w:rsid w:val="00404305"/>
    <w:rsid w:val="0040477F"/>
    <w:rsid w:val="004065E8"/>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AE9"/>
    <w:rsid w:val="00416F05"/>
    <w:rsid w:val="00417547"/>
    <w:rsid w:val="0041757B"/>
    <w:rsid w:val="0041774A"/>
    <w:rsid w:val="00420CAE"/>
    <w:rsid w:val="00420E04"/>
    <w:rsid w:val="004214D2"/>
    <w:rsid w:val="00422E32"/>
    <w:rsid w:val="004238F1"/>
    <w:rsid w:val="004249E7"/>
    <w:rsid w:val="00424C34"/>
    <w:rsid w:val="00424DE3"/>
    <w:rsid w:val="00425775"/>
    <w:rsid w:val="00426C6C"/>
    <w:rsid w:val="004270BD"/>
    <w:rsid w:val="00427BFA"/>
    <w:rsid w:val="00427CBC"/>
    <w:rsid w:val="004302BF"/>
    <w:rsid w:val="0043072D"/>
    <w:rsid w:val="00430E44"/>
    <w:rsid w:val="0043295C"/>
    <w:rsid w:val="00432CFC"/>
    <w:rsid w:val="00433F33"/>
    <w:rsid w:val="00434F04"/>
    <w:rsid w:val="004356C4"/>
    <w:rsid w:val="00435F19"/>
    <w:rsid w:val="004364A7"/>
    <w:rsid w:val="0043670A"/>
    <w:rsid w:val="00437967"/>
    <w:rsid w:val="00437C28"/>
    <w:rsid w:val="00437C63"/>
    <w:rsid w:val="00440512"/>
    <w:rsid w:val="00440D4C"/>
    <w:rsid w:val="00441F72"/>
    <w:rsid w:val="00442F86"/>
    <w:rsid w:val="004443E8"/>
    <w:rsid w:val="00444898"/>
    <w:rsid w:val="00444ACD"/>
    <w:rsid w:val="0044560D"/>
    <w:rsid w:val="004456D6"/>
    <w:rsid w:val="004458F6"/>
    <w:rsid w:val="00445B33"/>
    <w:rsid w:val="0044679F"/>
    <w:rsid w:val="004468FA"/>
    <w:rsid w:val="00447B01"/>
    <w:rsid w:val="00450E48"/>
    <w:rsid w:val="004510FB"/>
    <w:rsid w:val="004527CA"/>
    <w:rsid w:val="00452EAF"/>
    <w:rsid w:val="004538FB"/>
    <w:rsid w:val="00454927"/>
    <w:rsid w:val="0045498E"/>
    <w:rsid w:val="00455173"/>
    <w:rsid w:val="00461BE3"/>
    <w:rsid w:val="00464079"/>
    <w:rsid w:val="004644DB"/>
    <w:rsid w:val="00465AFF"/>
    <w:rsid w:val="00466CF0"/>
    <w:rsid w:val="00466E2F"/>
    <w:rsid w:val="0047112E"/>
    <w:rsid w:val="00471CDB"/>
    <w:rsid w:val="004720B1"/>
    <w:rsid w:val="00472A65"/>
    <w:rsid w:val="0047357B"/>
    <w:rsid w:val="004738B2"/>
    <w:rsid w:val="00473A8F"/>
    <w:rsid w:val="00473BFD"/>
    <w:rsid w:val="00473D03"/>
    <w:rsid w:val="0047453A"/>
    <w:rsid w:val="00474F7B"/>
    <w:rsid w:val="00474FBF"/>
    <w:rsid w:val="00475950"/>
    <w:rsid w:val="004763ED"/>
    <w:rsid w:val="00476B3D"/>
    <w:rsid w:val="00477D31"/>
    <w:rsid w:val="004804E8"/>
    <w:rsid w:val="00480918"/>
    <w:rsid w:val="00480C4C"/>
    <w:rsid w:val="0048239C"/>
    <w:rsid w:val="00482EBE"/>
    <w:rsid w:val="00483D56"/>
    <w:rsid w:val="00483E73"/>
    <w:rsid w:val="004846C7"/>
    <w:rsid w:val="00485624"/>
    <w:rsid w:val="004857A6"/>
    <w:rsid w:val="0048638A"/>
    <w:rsid w:val="0048739A"/>
    <w:rsid w:val="00490450"/>
    <w:rsid w:val="00490B0A"/>
    <w:rsid w:val="00491B3A"/>
    <w:rsid w:val="00492DFE"/>
    <w:rsid w:val="00494B06"/>
    <w:rsid w:val="0049570B"/>
    <w:rsid w:val="004960BA"/>
    <w:rsid w:val="00496C6D"/>
    <w:rsid w:val="00497862"/>
    <w:rsid w:val="00497E93"/>
    <w:rsid w:val="004A0282"/>
    <w:rsid w:val="004A26B7"/>
    <w:rsid w:val="004A2C1E"/>
    <w:rsid w:val="004A3BBB"/>
    <w:rsid w:val="004A605D"/>
    <w:rsid w:val="004A6068"/>
    <w:rsid w:val="004A6661"/>
    <w:rsid w:val="004A73F2"/>
    <w:rsid w:val="004A7442"/>
    <w:rsid w:val="004B0850"/>
    <w:rsid w:val="004B0868"/>
    <w:rsid w:val="004B16D1"/>
    <w:rsid w:val="004B24D9"/>
    <w:rsid w:val="004B3B97"/>
    <w:rsid w:val="004B4C82"/>
    <w:rsid w:val="004B572B"/>
    <w:rsid w:val="004B6484"/>
    <w:rsid w:val="004C0D3F"/>
    <w:rsid w:val="004C14C5"/>
    <w:rsid w:val="004C19F4"/>
    <w:rsid w:val="004C273A"/>
    <w:rsid w:val="004C3970"/>
    <w:rsid w:val="004C3972"/>
    <w:rsid w:val="004C4334"/>
    <w:rsid w:val="004C4846"/>
    <w:rsid w:val="004C5C2B"/>
    <w:rsid w:val="004C65E9"/>
    <w:rsid w:val="004C705D"/>
    <w:rsid w:val="004C746B"/>
    <w:rsid w:val="004D05B9"/>
    <w:rsid w:val="004D1B8E"/>
    <w:rsid w:val="004D2005"/>
    <w:rsid w:val="004D2A4A"/>
    <w:rsid w:val="004D3124"/>
    <w:rsid w:val="004D3F12"/>
    <w:rsid w:val="004D529D"/>
    <w:rsid w:val="004D553D"/>
    <w:rsid w:val="004D6F75"/>
    <w:rsid w:val="004D74CF"/>
    <w:rsid w:val="004D787D"/>
    <w:rsid w:val="004E0404"/>
    <w:rsid w:val="004E0987"/>
    <w:rsid w:val="004E1D1F"/>
    <w:rsid w:val="004E3AAA"/>
    <w:rsid w:val="004E4002"/>
    <w:rsid w:val="004E422C"/>
    <w:rsid w:val="004E47E2"/>
    <w:rsid w:val="004E58F9"/>
    <w:rsid w:val="004E5BF0"/>
    <w:rsid w:val="004E64A9"/>
    <w:rsid w:val="004F077A"/>
    <w:rsid w:val="004F12D3"/>
    <w:rsid w:val="004F147A"/>
    <w:rsid w:val="004F2843"/>
    <w:rsid w:val="004F2B87"/>
    <w:rsid w:val="004F2F85"/>
    <w:rsid w:val="004F358D"/>
    <w:rsid w:val="004F4A3C"/>
    <w:rsid w:val="004F5728"/>
    <w:rsid w:val="004F5B7C"/>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1017C"/>
    <w:rsid w:val="0051033D"/>
    <w:rsid w:val="0051034D"/>
    <w:rsid w:val="0051045D"/>
    <w:rsid w:val="00510FAC"/>
    <w:rsid w:val="00511A05"/>
    <w:rsid w:val="00511B19"/>
    <w:rsid w:val="00511CB7"/>
    <w:rsid w:val="005128C5"/>
    <w:rsid w:val="005136F2"/>
    <w:rsid w:val="00514047"/>
    <w:rsid w:val="00514DBB"/>
    <w:rsid w:val="005162D4"/>
    <w:rsid w:val="005168B7"/>
    <w:rsid w:val="00517EC7"/>
    <w:rsid w:val="00517F21"/>
    <w:rsid w:val="005209F5"/>
    <w:rsid w:val="00520E4D"/>
    <w:rsid w:val="00521520"/>
    <w:rsid w:val="0052189F"/>
    <w:rsid w:val="00521B60"/>
    <w:rsid w:val="00521C43"/>
    <w:rsid w:val="0052306D"/>
    <w:rsid w:val="0052352B"/>
    <w:rsid w:val="00523DCD"/>
    <w:rsid w:val="00523E28"/>
    <w:rsid w:val="0052484D"/>
    <w:rsid w:val="005255F5"/>
    <w:rsid w:val="00526751"/>
    <w:rsid w:val="00526D10"/>
    <w:rsid w:val="00530FCE"/>
    <w:rsid w:val="00531318"/>
    <w:rsid w:val="00531F9C"/>
    <w:rsid w:val="005324B6"/>
    <w:rsid w:val="00534188"/>
    <w:rsid w:val="005344F8"/>
    <w:rsid w:val="00534AB9"/>
    <w:rsid w:val="00536B77"/>
    <w:rsid w:val="00536F23"/>
    <w:rsid w:val="005374AD"/>
    <w:rsid w:val="00540951"/>
    <w:rsid w:val="00542549"/>
    <w:rsid w:val="005425F1"/>
    <w:rsid w:val="00542959"/>
    <w:rsid w:val="00542995"/>
    <w:rsid w:val="00542C0A"/>
    <w:rsid w:val="0054385B"/>
    <w:rsid w:val="00543D5E"/>
    <w:rsid w:val="00545E01"/>
    <w:rsid w:val="00545F8E"/>
    <w:rsid w:val="0054632C"/>
    <w:rsid w:val="00550885"/>
    <w:rsid w:val="0055159E"/>
    <w:rsid w:val="00552DF8"/>
    <w:rsid w:val="00555262"/>
    <w:rsid w:val="005552D8"/>
    <w:rsid w:val="005561F0"/>
    <w:rsid w:val="00556A0F"/>
    <w:rsid w:val="005616DD"/>
    <w:rsid w:val="005622BF"/>
    <w:rsid w:val="00563DD3"/>
    <w:rsid w:val="00563EA7"/>
    <w:rsid w:val="00564812"/>
    <w:rsid w:val="005648B5"/>
    <w:rsid w:val="0056495C"/>
    <w:rsid w:val="0057153B"/>
    <w:rsid w:val="00571F41"/>
    <w:rsid w:val="00571FCA"/>
    <w:rsid w:val="005740D6"/>
    <w:rsid w:val="00574157"/>
    <w:rsid w:val="00575BDF"/>
    <w:rsid w:val="00576CC2"/>
    <w:rsid w:val="00576D7C"/>
    <w:rsid w:val="00580765"/>
    <w:rsid w:val="00580AB0"/>
    <w:rsid w:val="00580B0D"/>
    <w:rsid w:val="00580E13"/>
    <w:rsid w:val="00581FA7"/>
    <w:rsid w:val="005834DB"/>
    <w:rsid w:val="005837D4"/>
    <w:rsid w:val="00584332"/>
    <w:rsid w:val="00586113"/>
    <w:rsid w:val="0058650C"/>
    <w:rsid w:val="005872B7"/>
    <w:rsid w:val="005900E6"/>
    <w:rsid w:val="00590E59"/>
    <w:rsid w:val="00592DCC"/>
    <w:rsid w:val="00594E2A"/>
    <w:rsid w:val="00595576"/>
    <w:rsid w:val="00595BE4"/>
    <w:rsid w:val="00596835"/>
    <w:rsid w:val="00596AA2"/>
    <w:rsid w:val="005A04C1"/>
    <w:rsid w:val="005A15B1"/>
    <w:rsid w:val="005A197B"/>
    <w:rsid w:val="005A347E"/>
    <w:rsid w:val="005A3CDD"/>
    <w:rsid w:val="005A636F"/>
    <w:rsid w:val="005A7D62"/>
    <w:rsid w:val="005B0AEF"/>
    <w:rsid w:val="005B181C"/>
    <w:rsid w:val="005B23F1"/>
    <w:rsid w:val="005B27C4"/>
    <w:rsid w:val="005B40C8"/>
    <w:rsid w:val="005B4D9B"/>
    <w:rsid w:val="005B5842"/>
    <w:rsid w:val="005B5E00"/>
    <w:rsid w:val="005B72B8"/>
    <w:rsid w:val="005B76A3"/>
    <w:rsid w:val="005C0270"/>
    <w:rsid w:val="005C1454"/>
    <w:rsid w:val="005C204D"/>
    <w:rsid w:val="005C23CC"/>
    <w:rsid w:val="005C2905"/>
    <w:rsid w:val="005C3181"/>
    <w:rsid w:val="005C38BD"/>
    <w:rsid w:val="005C43B4"/>
    <w:rsid w:val="005C577C"/>
    <w:rsid w:val="005C64DE"/>
    <w:rsid w:val="005C682B"/>
    <w:rsid w:val="005C7B1F"/>
    <w:rsid w:val="005C7CB5"/>
    <w:rsid w:val="005C7D63"/>
    <w:rsid w:val="005D03CC"/>
    <w:rsid w:val="005D09CF"/>
    <w:rsid w:val="005D2624"/>
    <w:rsid w:val="005D274E"/>
    <w:rsid w:val="005D35AF"/>
    <w:rsid w:val="005D5C2D"/>
    <w:rsid w:val="005D6E69"/>
    <w:rsid w:val="005D7787"/>
    <w:rsid w:val="005D79B0"/>
    <w:rsid w:val="005E03AD"/>
    <w:rsid w:val="005E264D"/>
    <w:rsid w:val="005E2FF0"/>
    <w:rsid w:val="005E3127"/>
    <w:rsid w:val="005E3F03"/>
    <w:rsid w:val="005E4E34"/>
    <w:rsid w:val="005E5034"/>
    <w:rsid w:val="005E5D1F"/>
    <w:rsid w:val="005E6778"/>
    <w:rsid w:val="005E67D6"/>
    <w:rsid w:val="005E7B4B"/>
    <w:rsid w:val="005F06A9"/>
    <w:rsid w:val="005F0D33"/>
    <w:rsid w:val="005F2523"/>
    <w:rsid w:val="005F4321"/>
    <w:rsid w:val="005F5902"/>
    <w:rsid w:val="005F5C4D"/>
    <w:rsid w:val="005F68C9"/>
    <w:rsid w:val="005F69A2"/>
    <w:rsid w:val="005F7C99"/>
    <w:rsid w:val="00600A84"/>
    <w:rsid w:val="0060212C"/>
    <w:rsid w:val="006022F5"/>
    <w:rsid w:val="006024D3"/>
    <w:rsid w:val="00603391"/>
    <w:rsid w:val="00603FC7"/>
    <w:rsid w:val="006046B4"/>
    <w:rsid w:val="0060517B"/>
    <w:rsid w:val="006057E4"/>
    <w:rsid w:val="00606827"/>
    <w:rsid w:val="00611D43"/>
    <w:rsid w:val="00612D48"/>
    <w:rsid w:val="00614877"/>
    <w:rsid w:val="006150A3"/>
    <w:rsid w:val="006151E2"/>
    <w:rsid w:val="00615307"/>
    <w:rsid w:val="00616B45"/>
    <w:rsid w:val="00617052"/>
    <w:rsid w:val="006177A7"/>
    <w:rsid w:val="00621B4C"/>
    <w:rsid w:val="00622A60"/>
    <w:rsid w:val="00623520"/>
    <w:rsid w:val="00623BC4"/>
    <w:rsid w:val="00624003"/>
    <w:rsid w:val="006244B9"/>
    <w:rsid w:val="00624B5A"/>
    <w:rsid w:val="00625242"/>
    <w:rsid w:val="00626492"/>
    <w:rsid w:val="00626D31"/>
    <w:rsid w:val="00630076"/>
    <w:rsid w:val="006300AF"/>
    <w:rsid w:val="00630D91"/>
    <w:rsid w:val="00630D9B"/>
    <w:rsid w:val="006310BE"/>
    <w:rsid w:val="0063137F"/>
    <w:rsid w:val="00631953"/>
    <w:rsid w:val="00632319"/>
    <w:rsid w:val="00633046"/>
    <w:rsid w:val="00634E1A"/>
    <w:rsid w:val="0063629E"/>
    <w:rsid w:val="0063630E"/>
    <w:rsid w:val="00636847"/>
    <w:rsid w:val="00636DD2"/>
    <w:rsid w:val="00636EC9"/>
    <w:rsid w:val="00641F53"/>
    <w:rsid w:val="0064220F"/>
    <w:rsid w:val="006427E2"/>
    <w:rsid w:val="0064286B"/>
    <w:rsid w:val="006439EC"/>
    <w:rsid w:val="006441CF"/>
    <w:rsid w:val="00644577"/>
    <w:rsid w:val="0064683B"/>
    <w:rsid w:val="00646B87"/>
    <w:rsid w:val="0064776E"/>
    <w:rsid w:val="00650560"/>
    <w:rsid w:val="00650ACD"/>
    <w:rsid w:val="00650D96"/>
    <w:rsid w:val="00653693"/>
    <w:rsid w:val="006554FF"/>
    <w:rsid w:val="0065598E"/>
    <w:rsid w:val="0065599F"/>
    <w:rsid w:val="00655C02"/>
    <w:rsid w:val="00655F07"/>
    <w:rsid w:val="00655F5E"/>
    <w:rsid w:val="00656146"/>
    <w:rsid w:val="00657121"/>
    <w:rsid w:val="006571C2"/>
    <w:rsid w:val="006608B3"/>
    <w:rsid w:val="00661205"/>
    <w:rsid w:val="00661275"/>
    <w:rsid w:val="00662912"/>
    <w:rsid w:val="00662A4A"/>
    <w:rsid w:val="00663CF1"/>
    <w:rsid w:val="00665A24"/>
    <w:rsid w:val="00667F88"/>
    <w:rsid w:val="006709C3"/>
    <w:rsid w:val="00672705"/>
    <w:rsid w:val="0067325D"/>
    <w:rsid w:val="00673EB6"/>
    <w:rsid w:val="00674C7E"/>
    <w:rsid w:val="00674D5B"/>
    <w:rsid w:val="0067764C"/>
    <w:rsid w:val="0068252A"/>
    <w:rsid w:val="006829AD"/>
    <w:rsid w:val="006834EA"/>
    <w:rsid w:val="00683877"/>
    <w:rsid w:val="00685240"/>
    <w:rsid w:val="00685843"/>
    <w:rsid w:val="006862E4"/>
    <w:rsid w:val="006863E9"/>
    <w:rsid w:val="00686520"/>
    <w:rsid w:val="00690C64"/>
    <w:rsid w:val="00691B29"/>
    <w:rsid w:val="00691EC0"/>
    <w:rsid w:val="00694EAF"/>
    <w:rsid w:val="00696827"/>
    <w:rsid w:val="00696BE9"/>
    <w:rsid w:val="00696CF9"/>
    <w:rsid w:val="00697755"/>
    <w:rsid w:val="006A0F59"/>
    <w:rsid w:val="006A12E1"/>
    <w:rsid w:val="006A187B"/>
    <w:rsid w:val="006A3902"/>
    <w:rsid w:val="006A3D9B"/>
    <w:rsid w:val="006A3DDE"/>
    <w:rsid w:val="006A5D28"/>
    <w:rsid w:val="006A7147"/>
    <w:rsid w:val="006A717B"/>
    <w:rsid w:val="006A71B0"/>
    <w:rsid w:val="006A7452"/>
    <w:rsid w:val="006A766E"/>
    <w:rsid w:val="006B0D40"/>
    <w:rsid w:val="006B1399"/>
    <w:rsid w:val="006B41E9"/>
    <w:rsid w:val="006B4590"/>
    <w:rsid w:val="006B4DB6"/>
    <w:rsid w:val="006B59C7"/>
    <w:rsid w:val="006B60DF"/>
    <w:rsid w:val="006C0179"/>
    <w:rsid w:val="006C16F7"/>
    <w:rsid w:val="006C30CF"/>
    <w:rsid w:val="006C340C"/>
    <w:rsid w:val="006C5D1D"/>
    <w:rsid w:val="006C74AE"/>
    <w:rsid w:val="006D070F"/>
    <w:rsid w:val="006D1D1C"/>
    <w:rsid w:val="006D238C"/>
    <w:rsid w:val="006D2F52"/>
    <w:rsid w:val="006D3CAA"/>
    <w:rsid w:val="006D3FE1"/>
    <w:rsid w:val="006D411D"/>
    <w:rsid w:val="006D4B22"/>
    <w:rsid w:val="006D510F"/>
    <w:rsid w:val="006D5170"/>
    <w:rsid w:val="006D666F"/>
    <w:rsid w:val="006D66C5"/>
    <w:rsid w:val="006D6C76"/>
    <w:rsid w:val="006D7F78"/>
    <w:rsid w:val="006E08AE"/>
    <w:rsid w:val="006E0E4C"/>
    <w:rsid w:val="006E1570"/>
    <w:rsid w:val="006E2176"/>
    <w:rsid w:val="006E2765"/>
    <w:rsid w:val="006E36AE"/>
    <w:rsid w:val="006E3A41"/>
    <w:rsid w:val="006E3EFC"/>
    <w:rsid w:val="006E422E"/>
    <w:rsid w:val="006E599A"/>
    <w:rsid w:val="006E5FC7"/>
    <w:rsid w:val="006E7FBE"/>
    <w:rsid w:val="006F01D3"/>
    <w:rsid w:val="006F1669"/>
    <w:rsid w:val="006F1C06"/>
    <w:rsid w:val="006F2648"/>
    <w:rsid w:val="006F2792"/>
    <w:rsid w:val="006F3FA6"/>
    <w:rsid w:val="006F47E9"/>
    <w:rsid w:val="006F4BA1"/>
    <w:rsid w:val="006F4F56"/>
    <w:rsid w:val="006F50D4"/>
    <w:rsid w:val="006F53D7"/>
    <w:rsid w:val="006F6616"/>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A68"/>
    <w:rsid w:val="00706DE0"/>
    <w:rsid w:val="00706F6F"/>
    <w:rsid w:val="0070790C"/>
    <w:rsid w:val="00707EE6"/>
    <w:rsid w:val="00710302"/>
    <w:rsid w:val="00710B94"/>
    <w:rsid w:val="00710E58"/>
    <w:rsid w:val="00711A16"/>
    <w:rsid w:val="00711C7B"/>
    <w:rsid w:val="0071255E"/>
    <w:rsid w:val="00712DCF"/>
    <w:rsid w:val="007133B7"/>
    <w:rsid w:val="00714847"/>
    <w:rsid w:val="007176C1"/>
    <w:rsid w:val="007179E8"/>
    <w:rsid w:val="00720FE3"/>
    <w:rsid w:val="00721914"/>
    <w:rsid w:val="0072240D"/>
    <w:rsid w:val="00723F8C"/>
    <w:rsid w:val="00724973"/>
    <w:rsid w:val="00724B0E"/>
    <w:rsid w:val="00724DA7"/>
    <w:rsid w:val="007251C6"/>
    <w:rsid w:val="00730966"/>
    <w:rsid w:val="00731976"/>
    <w:rsid w:val="00731DED"/>
    <w:rsid w:val="00732B3C"/>
    <w:rsid w:val="007338CE"/>
    <w:rsid w:val="007350B0"/>
    <w:rsid w:val="0073551E"/>
    <w:rsid w:val="00735658"/>
    <w:rsid w:val="00741530"/>
    <w:rsid w:val="00743584"/>
    <w:rsid w:val="0074373B"/>
    <w:rsid w:val="0074451E"/>
    <w:rsid w:val="007452D8"/>
    <w:rsid w:val="00745B80"/>
    <w:rsid w:val="00746F5E"/>
    <w:rsid w:val="00747101"/>
    <w:rsid w:val="0074741C"/>
    <w:rsid w:val="007475A0"/>
    <w:rsid w:val="0075071B"/>
    <w:rsid w:val="007515D1"/>
    <w:rsid w:val="00751DF1"/>
    <w:rsid w:val="00752E98"/>
    <w:rsid w:val="00754406"/>
    <w:rsid w:val="007550B7"/>
    <w:rsid w:val="007551DB"/>
    <w:rsid w:val="00755445"/>
    <w:rsid w:val="00755AD4"/>
    <w:rsid w:val="007560C5"/>
    <w:rsid w:val="00756AB2"/>
    <w:rsid w:val="00756BB3"/>
    <w:rsid w:val="00756FE9"/>
    <w:rsid w:val="0075782C"/>
    <w:rsid w:val="00760135"/>
    <w:rsid w:val="0076065E"/>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AAF"/>
    <w:rsid w:val="007761EA"/>
    <w:rsid w:val="00776900"/>
    <w:rsid w:val="00776B8A"/>
    <w:rsid w:val="00776DC3"/>
    <w:rsid w:val="00776E3F"/>
    <w:rsid w:val="007774AE"/>
    <w:rsid w:val="0077765F"/>
    <w:rsid w:val="00780473"/>
    <w:rsid w:val="00781558"/>
    <w:rsid w:val="00781A42"/>
    <w:rsid w:val="00781B1B"/>
    <w:rsid w:val="007833BE"/>
    <w:rsid w:val="007853CF"/>
    <w:rsid w:val="00786387"/>
    <w:rsid w:val="00787D26"/>
    <w:rsid w:val="00790F2F"/>
    <w:rsid w:val="007933FA"/>
    <w:rsid w:val="00793E29"/>
    <w:rsid w:val="00795192"/>
    <w:rsid w:val="007965E0"/>
    <w:rsid w:val="007A011B"/>
    <w:rsid w:val="007A0440"/>
    <w:rsid w:val="007A0899"/>
    <w:rsid w:val="007A0CD4"/>
    <w:rsid w:val="007A126E"/>
    <w:rsid w:val="007A1DC4"/>
    <w:rsid w:val="007A2219"/>
    <w:rsid w:val="007A2FAC"/>
    <w:rsid w:val="007A3225"/>
    <w:rsid w:val="007A4735"/>
    <w:rsid w:val="007A74E8"/>
    <w:rsid w:val="007A75DC"/>
    <w:rsid w:val="007A7915"/>
    <w:rsid w:val="007A7975"/>
    <w:rsid w:val="007A7AF4"/>
    <w:rsid w:val="007A7E94"/>
    <w:rsid w:val="007B0170"/>
    <w:rsid w:val="007B0934"/>
    <w:rsid w:val="007B0E3D"/>
    <w:rsid w:val="007B25DD"/>
    <w:rsid w:val="007B40AE"/>
    <w:rsid w:val="007B46AA"/>
    <w:rsid w:val="007B4739"/>
    <w:rsid w:val="007B666D"/>
    <w:rsid w:val="007B67A1"/>
    <w:rsid w:val="007B6868"/>
    <w:rsid w:val="007C09AB"/>
    <w:rsid w:val="007C0F6A"/>
    <w:rsid w:val="007C1623"/>
    <w:rsid w:val="007C1706"/>
    <w:rsid w:val="007C3210"/>
    <w:rsid w:val="007C34FA"/>
    <w:rsid w:val="007C43A7"/>
    <w:rsid w:val="007C4D37"/>
    <w:rsid w:val="007C559C"/>
    <w:rsid w:val="007C6E89"/>
    <w:rsid w:val="007C7C22"/>
    <w:rsid w:val="007D1017"/>
    <w:rsid w:val="007D1161"/>
    <w:rsid w:val="007D1A04"/>
    <w:rsid w:val="007D2CCC"/>
    <w:rsid w:val="007D446D"/>
    <w:rsid w:val="007D4E20"/>
    <w:rsid w:val="007D56D0"/>
    <w:rsid w:val="007D62D7"/>
    <w:rsid w:val="007D6D51"/>
    <w:rsid w:val="007D7882"/>
    <w:rsid w:val="007E040A"/>
    <w:rsid w:val="007E09A5"/>
    <w:rsid w:val="007E15B2"/>
    <w:rsid w:val="007E1B56"/>
    <w:rsid w:val="007E2C1D"/>
    <w:rsid w:val="007E35E7"/>
    <w:rsid w:val="007E4E4F"/>
    <w:rsid w:val="007E54E2"/>
    <w:rsid w:val="007E5665"/>
    <w:rsid w:val="007E5C47"/>
    <w:rsid w:val="007E6185"/>
    <w:rsid w:val="007F0AB4"/>
    <w:rsid w:val="007F13BF"/>
    <w:rsid w:val="007F1B67"/>
    <w:rsid w:val="007F2D64"/>
    <w:rsid w:val="007F3451"/>
    <w:rsid w:val="007F4174"/>
    <w:rsid w:val="007F4FEF"/>
    <w:rsid w:val="007F5198"/>
    <w:rsid w:val="007F55CB"/>
    <w:rsid w:val="007F5EED"/>
    <w:rsid w:val="007F65BF"/>
    <w:rsid w:val="007F6972"/>
    <w:rsid w:val="007F799E"/>
    <w:rsid w:val="007F7C67"/>
    <w:rsid w:val="007F7F7F"/>
    <w:rsid w:val="007F7FE2"/>
    <w:rsid w:val="008016EE"/>
    <w:rsid w:val="00801C7A"/>
    <w:rsid w:val="00801F74"/>
    <w:rsid w:val="00802B6F"/>
    <w:rsid w:val="008043B5"/>
    <w:rsid w:val="008046E4"/>
    <w:rsid w:val="0080481B"/>
    <w:rsid w:val="00804DB3"/>
    <w:rsid w:val="00805445"/>
    <w:rsid w:val="00806F08"/>
    <w:rsid w:val="0081188F"/>
    <w:rsid w:val="00811E1D"/>
    <w:rsid w:val="00812C1A"/>
    <w:rsid w:val="008132E9"/>
    <w:rsid w:val="00814511"/>
    <w:rsid w:val="00814573"/>
    <w:rsid w:val="00815095"/>
    <w:rsid w:val="008161E6"/>
    <w:rsid w:val="00816860"/>
    <w:rsid w:val="00820BC8"/>
    <w:rsid w:val="00820DD5"/>
    <w:rsid w:val="00821AE9"/>
    <w:rsid w:val="00823366"/>
    <w:rsid w:val="008233B2"/>
    <w:rsid w:val="00823A30"/>
    <w:rsid w:val="00824026"/>
    <w:rsid w:val="00824B30"/>
    <w:rsid w:val="00826602"/>
    <w:rsid w:val="0082784E"/>
    <w:rsid w:val="00831506"/>
    <w:rsid w:val="008317F6"/>
    <w:rsid w:val="00831A40"/>
    <w:rsid w:val="00832878"/>
    <w:rsid w:val="008353A7"/>
    <w:rsid w:val="00835A39"/>
    <w:rsid w:val="008361AC"/>
    <w:rsid w:val="0083626B"/>
    <w:rsid w:val="00837584"/>
    <w:rsid w:val="00841FF1"/>
    <w:rsid w:val="00843B00"/>
    <w:rsid w:val="00844750"/>
    <w:rsid w:val="0084488A"/>
    <w:rsid w:val="00847240"/>
    <w:rsid w:val="00847902"/>
    <w:rsid w:val="0085253F"/>
    <w:rsid w:val="00852A9E"/>
    <w:rsid w:val="00855577"/>
    <w:rsid w:val="008561FC"/>
    <w:rsid w:val="00856B6B"/>
    <w:rsid w:val="00856D39"/>
    <w:rsid w:val="0085701B"/>
    <w:rsid w:val="00860332"/>
    <w:rsid w:val="00861706"/>
    <w:rsid w:val="008624CF"/>
    <w:rsid w:val="00862738"/>
    <w:rsid w:val="008627DA"/>
    <w:rsid w:val="00863C41"/>
    <w:rsid w:val="00863DE5"/>
    <w:rsid w:val="00865A2D"/>
    <w:rsid w:val="008661CE"/>
    <w:rsid w:val="008667BF"/>
    <w:rsid w:val="00866A05"/>
    <w:rsid w:val="00866DC7"/>
    <w:rsid w:val="00867D05"/>
    <w:rsid w:val="00871976"/>
    <w:rsid w:val="00871EF4"/>
    <w:rsid w:val="00871FA8"/>
    <w:rsid w:val="00873C60"/>
    <w:rsid w:val="0087460B"/>
    <w:rsid w:val="00874681"/>
    <w:rsid w:val="008754D4"/>
    <w:rsid w:val="00875D22"/>
    <w:rsid w:val="008766DC"/>
    <w:rsid w:val="00880328"/>
    <w:rsid w:val="00881626"/>
    <w:rsid w:val="00881A7B"/>
    <w:rsid w:val="00882A2E"/>
    <w:rsid w:val="00883AC8"/>
    <w:rsid w:val="00883DF9"/>
    <w:rsid w:val="00887252"/>
    <w:rsid w:val="00887382"/>
    <w:rsid w:val="00891616"/>
    <w:rsid w:val="00891F11"/>
    <w:rsid w:val="008920AE"/>
    <w:rsid w:val="00892C84"/>
    <w:rsid w:val="00893025"/>
    <w:rsid w:val="0089318C"/>
    <w:rsid w:val="008939F4"/>
    <w:rsid w:val="00893B4F"/>
    <w:rsid w:val="00894548"/>
    <w:rsid w:val="00894A46"/>
    <w:rsid w:val="008962BF"/>
    <w:rsid w:val="0089693F"/>
    <w:rsid w:val="00897A35"/>
    <w:rsid w:val="008A0D26"/>
    <w:rsid w:val="008A1754"/>
    <w:rsid w:val="008A1FD4"/>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7879"/>
    <w:rsid w:val="008C05B9"/>
    <w:rsid w:val="008C090B"/>
    <w:rsid w:val="008C0C2F"/>
    <w:rsid w:val="008C1C93"/>
    <w:rsid w:val="008C2D2F"/>
    <w:rsid w:val="008C3758"/>
    <w:rsid w:val="008C39AC"/>
    <w:rsid w:val="008C4556"/>
    <w:rsid w:val="008C4D1C"/>
    <w:rsid w:val="008C508C"/>
    <w:rsid w:val="008C52FB"/>
    <w:rsid w:val="008C5876"/>
    <w:rsid w:val="008D2420"/>
    <w:rsid w:val="008D2F28"/>
    <w:rsid w:val="008D3473"/>
    <w:rsid w:val="008D36DD"/>
    <w:rsid w:val="008D3919"/>
    <w:rsid w:val="008D3D6F"/>
    <w:rsid w:val="008D3E62"/>
    <w:rsid w:val="008D510E"/>
    <w:rsid w:val="008D570B"/>
    <w:rsid w:val="008D5DD2"/>
    <w:rsid w:val="008D68EF"/>
    <w:rsid w:val="008D6AB6"/>
    <w:rsid w:val="008D7AD5"/>
    <w:rsid w:val="008D7B7E"/>
    <w:rsid w:val="008E0BAE"/>
    <w:rsid w:val="008E1353"/>
    <w:rsid w:val="008E4410"/>
    <w:rsid w:val="008E500B"/>
    <w:rsid w:val="008E7E52"/>
    <w:rsid w:val="008E7FAE"/>
    <w:rsid w:val="008F05EA"/>
    <w:rsid w:val="008F0F36"/>
    <w:rsid w:val="008F1416"/>
    <w:rsid w:val="008F3100"/>
    <w:rsid w:val="008F3533"/>
    <w:rsid w:val="008F4DCB"/>
    <w:rsid w:val="008F7063"/>
    <w:rsid w:val="008F7807"/>
    <w:rsid w:val="00901556"/>
    <w:rsid w:val="00901E59"/>
    <w:rsid w:val="009028F3"/>
    <w:rsid w:val="00903542"/>
    <w:rsid w:val="0090498A"/>
    <w:rsid w:val="00904E96"/>
    <w:rsid w:val="00904EC4"/>
    <w:rsid w:val="00905005"/>
    <w:rsid w:val="0090527D"/>
    <w:rsid w:val="00905FBF"/>
    <w:rsid w:val="009070FC"/>
    <w:rsid w:val="00907FF7"/>
    <w:rsid w:val="009111BB"/>
    <w:rsid w:val="009117E5"/>
    <w:rsid w:val="00911A33"/>
    <w:rsid w:val="00911BF7"/>
    <w:rsid w:val="00912093"/>
    <w:rsid w:val="009128BC"/>
    <w:rsid w:val="00913725"/>
    <w:rsid w:val="0091398E"/>
    <w:rsid w:val="00913CA2"/>
    <w:rsid w:val="00914EC7"/>
    <w:rsid w:val="00917113"/>
    <w:rsid w:val="009204D2"/>
    <w:rsid w:val="00920659"/>
    <w:rsid w:val="009211D4"/>
    <w:rsid w:val="00921E98"/>
    <w:rsid w:val="009227B6"/>
    <w:rsid w:val="009228E6"/>
    <w:rsid w:val="00922B7C"/>
    <w:rsid w:val="00923E18"/>
    <w:rsid w:val="00925040"/>
    <w:rsid w:val="00926506"/>
    <w:rsid w:val="009267F1"/>
    <w:rsid w:val="009279E7"/>
    <w:rsid w:val="00930892"/>
    <w:rsid w:val="0093159D"/>
    <w:rsid w:val="009320E0"/>
    <w:rsid w:val="00933490"/>
    <w:rsid w:val="00934799"/>
    <w:rsid w:val="00934D4C"/>
    <w:rsid w:val="009361EA"/>
    <w:rsid w:val="00936F5A"/>
    <w:rsid w:val="00937128"/>
    <w:rsid w:val="00940967"/>
    <w:rsid w:val="00941BAD"/>
    <w:rsid w:val="0094230E"/>
    <w:rsid w:val="00943723"/>
    <w:rsid w:val="0094394B"/>
    <w:rsid w:val="00944AE1"/>
    <w:rsid w:val="00944BFA"/>
    <w:rsid w:val="00944CD9"/>
    <w:rsid w:val="009465DD"/>
    <w:rsid w:val="00946DB7"/>
    <w:rsid w:val="009470BD"/>
    <w:rsid w:val="00950FD3"/>
    <w:rsid w:val="00951D74"/>
    <w:rsid w:val="00952A26"/>
    <w:rsid w:val="00952A6D"/>
    <w:rsid w:val="00952FDB"/>
    <w:rsid w:val="00954692"/>
    <w:rsid w:val="00955275"/>
    <w:rsid w:val="009556DB"/>
    <w:rsid w:val="009560B5"/>
    <w:rsid w:val="0095667F"/>
    <w:rsid w:val="009575D0"/>
    <w:rsid w:val="009604E1"/>
    <w:rsid w:val="009618D5"/>
    <w:rsid w:val="009629C2"/>
    <w:rsid w:val="00962B61"/>
    <w:rsid w:val="00962C19"/>
    <w:rsid w:val="00963E6C"/>
    <w:rsid w:val="0096487B"/>
    <w:rsid w:val="00965256"/>
    <w:rsid w:val="00965CB2"/>
    <w:rsid w:val="00966354"/>
    <w:rsid w:val="00966431"/>
    <w:rsid w:val="00970F6B"/>
    <w:rsid w:val="00971562"/>
    <w:rsid w:val="009720E7"/>
    <w:rsid w:val="00972296"/>
    <w:rsid w:val="00973425"/>
    <w:rsid w:val="0097355E"/>
    <w:rsid w:val="00973A51"/>
    <w:rsid w:val="00975003"/>
    <w:rsid w:val="00975F2A"/>
    <w:rsid w:val="00975FF3"/>
    <w:rsid w:val="00977903"/>
    <w:rsid w:val="00977EC8"/>
    <w:rsid w:val="009800D6"/>
    <w:rsid w:val="0098046E"/>
    <w:rsid w:val="00980780"/>
    <w:rsid w:val="00981B47"/>
    <w:rsid w:val="00981ED3"/>
    <w:rsid w:val="00982921"/>
    <w:rsid w:val="00983DA0"/>
    <w:rsid w:val="00985072"/>
    <w:rsid w:val="00986BB9"/>
    <w:rsid w:val="00990DB4"/>
    <w:rsid w:val="00991130"/>
    <w:rsid w:val="00992D1E"/>
    <w:rsid w:val="00992E91"/>
    <w:rsid w:val="00992F89"/>
    <w:rsid w:val="009936D7"/>
    <w:rsid w:val="009948E3"/>
    <w:rsid w:val="00995D02"/>
    <w:rsid w:val="00995ED1"/>
    <w:rsid w:val="00996049"/>
    <w:rsid w:val="00996777"/>
    <w:rsid w:val="00997058"/>
    <w:rsid w:val="009A09FE"/>
    <w:rsid w:val="009A1141"/>
    <w:rsid w:val="009A1600"/>
    <w:rsid w:val="009A1D9B"/>
    <w:rsid w:val="009A2224"/>
    <w:rsid w:val="009A2360"/>
    <w:rsid w:val="009A2C4E"/>
    <w:rsid w:val="009A3138"/>
    <w:rsid w:val="009A321F"/>
    <w:rsid w:val="009A3A97"/>
    <w:rsid w:val="009A3D55"/>
    <w:rsid w:val="009A472F"/>
    <w:rsid w:val="009A4ECA"/>
    <w:rsid w:val="009A5398"/>
    <w:rsid w:val="009A5C75"/>
    <w:rsid w:val="009A68C1"/>
    <w:rsid w:val="009A6A9E"/>
    <w:rsid w:val="009A766A"/>
    <w:rsid w:val="009A7A3E"/>
    <w:rsid w:val="009B0680"/>
    <w:rsid w:val="009B1AB6"/>
    <w:rsid w:val="009B319B"/>
    <w:rsid w:val="009B3665"/>
    <w:rsid w:val="009B3972"/>
    <w:rsid w:val="009B4452"/>
    <w:rsid w:val="009B48A4"/>
    <w:rsid w:val="009B65D6"/>
    <w:rsid w:val="009B7AE1"/>
    <w:rsid w:val="009C00A3"/>
    <w:rsid w:val="009C057A"/>
    <w:rsid w:val="009C22A1"/>
    <w:rsid w:val="009C2DCF"/>
    <w:rsid w:val="009C4606"/>
    <w:rsid w:val="009C4CFF"/>
    <w:rsid w:val="009C7F2C"/>
    <w:rsid w:val="009D074F"/>
    <w:rsid w:val="009D1E5B"/>
    <w:rsid w:val="009D22A9"/>
    <w:rsid w:val="009D3A8C"/>
    <w:rsid w:val="009D481F"/>
    <w:rsid w:val="009D4F1D"/>
    <w:rsid w:val="009D60B4"/>
    <w:rsid w:val="009D64C4"/>
    <w:rsid w:val="009D73D3"/>
    <w:rsid w:val="009E0540"/>
    <w:rsid w:val="009E0D45"/>
    <w:rsid w:val="009E352A"/>
    <w:rsid w:val="009E4012"/>
    <w:rsid w:val="009E40CB"/>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AB"/>
    <w:rsid w:val="00A002E8"/>
    <w:rsid w:val="00A00BB7"/>
    <w:rsid w:val="00A01DE0"/>
    <w:rsid w:val="00A02CCF"/>
    <w:rsid w:val="00A02DEC"/>
    <w:rsid w:val="00A0313F"/>
    <w:rsid w:val="00A03BC2"/>
    <w:rsid w:val="00A04030"/>
    <w:rsid w:val="00A041C9"/>
    <w:rsid w:val="00A050FA"/>
    <w:rsid w:val="00A056EB"/>
    <w:rsid w:val="00A05976"/>
    <w:rsid w:val="00A05C8A"/>
    <w:rsid w:val="00A06EC3"/>
    <w:rsid w:val="00A103AF"/>
    <w:rsid w:val="00A10D3F"/>
    <w:rsid w:val="00A11B25"/>
    <w:rsid w:val="00A11EB4"/>
    <w:rsid w:val="00A1239B"/>
    <w:rsid w:val="00A1345E"/>
    <w:rsid w:val="00A13EF9"/>
    <w:rsid w:val="00A14E46"/>
    <w:rsid w:val="00A157F1"/>
    <w:rsid w:val="00A21731"/>
    <w:rsid w:val="00A219B9"/>
    <w:rsid w:val="00A21A8C"/>
    <w:rsid w:val="00A22F84"/>
    <w:rsid w:val="00A231AA"/>
    <w:rsid w:val="00A2492E"/>
    <w:rsid w:val="00A24FEE"/>
    <w:rsid w:val="00A25758"/>
    <w:rsid w:val="00A26E25"/>
    <w:rsid w:val="00A26FAB"/>
    <w:rsid w:val="00A31335"/>
    <w:rsid w:val="00A319C7"/>
    <w:rsid w:val="00A326FA"/>
    <w:rsid w:val="00A33846"/>
    <w:rsid w:val="00A34055"/>
    <w:rsid w:val="00A34891"/>
    <w:rsid w:val="00A349B9"/>
    <w:rsid w:val="00A356BB"/>
    <w:rsid w:val="00A35A2C"/>
    <w:rsid w:val="00A35E18"/>
    <w:rsid w:val="00A3614A"/>
    <w:rsid w:val="00A363C2"/>
    <w:rsid w:val="00A37569"/>
    <w:rsid w:val="00A375F4"/>
    <w:rsid w:val="00A3791E"/>
    <w:rsid w:val="00A40C86"/>
    <w:rsid w:val="00A40CB4"/>
    <w:rsid w:val="00A4117C"/>
    <w:rsid w:val="00A42102"/>
    <w:rsid w:val="00A426F9"/>
    <w:rsid w:val="00A435BA"/>
    <w:rsid w:val="00A439FC"/>
    <w:rsid w:val="00A447F2"/>
    <w:rsid w:val="00A455E2"/>
    <w:rsid w:val="00A472EE"/>
    <w:rsid w:val="00A47D22"/>
    <w:rsid w:val="00A47DFC"/>
    <w:rsid w:val="00A47F5B"/>
    <w:rsid w:val="00A50BA1"/>
    <w:rsid w:val="00A51240"/>
    <w:rsid w:val="00A51823"/>
    <w:rsid w:val="00A51F76"/>
    <w:rsid w:val="00A5229A"/>
    <w:rsid w:val="00A524CA"/>
    <w:rsid w:val="00A52538"/>
    <w:rsid w:val="00A52EDA"/>
    <w:rsid w:val="00A53C17"/>
    <w:rsid w:val="00A54246"/>
    <w:rsid w:val="00A545C7"/>
    <w:rsid w:val="00A5497B"/>
    <w:rsid w:val="00A5529C"/>
    <w:rsid w:val="00A55C74"/>
    <w:rsid w:val="00A55D63"/>
    <w:rsid w:val="00A566C8"/>
    <w:rsid w:val="00A56AC7"/>
    <w:rsid w:val="00A56C2E"/>
    <w:rsid w:val="00A57313"/>
    <w:rsid w:val="00A6018E"/>
    <w:rsid w:val="00A60A24"/>
    <w:rsid w:val="00A60BBD"/>
    <w:rsid w:val="00A61319"/>
    <w:rsid w:val="00A61A1B"/>
    <w:rsid w:val="00A61F33"/>
    <w:rsid w:val="00A62182"/>
    <w:rsid w:val="00A6282D"/>
    <w:rsid w:val="00A62D08"/>
    <w:rsid w:val="00A62FF4"/>
    <w:rsid w:val="00A64329"/>
    <w:rsid w:val="00A6467E"/>
    <w:rsid w:val="00A66768"/>
    <w:rsid w:val="00A67496"/>
    <w:rsid w:val="00A70163"/>
    <w:rsid w:val="00A70B96"/>
    <w:rsid w:val="00A70EF3"/>
    <w:rsid w:val="00A70F3A"/>
    <w:rsid w:val="00A71547"/>
    <w:rsid w:val="00A727D0"/>
    <w:rsid w:val="00A751B4"/>
    <w:rsid w:val="00A75276"/>
    <w:rsid w:val="00A76012"/>
    <w:rsid w:val="00A76772"/>
    <w:rsid w:val="00A76F9F"/>
    <w:rsid w:val="00A77C7C"/>
    <w:rsid w:val="00A84783"/>
    <w:rsid w:val="00A847B0"/>
    <w:rsid w:val="00A85D98"/>
    <w:rsid w:val="00A86407"/>
    <w:rsid w:val="00A86BF2"/>
    <w:rsid w:val="00A90131"/>
    <w:rsid w:val="00A9015F"/>
    <w:rsid w:val="00A907BC"/>
    <w:rsid w:val="00A90CDF"/>
    <w:rsid w:val="00A90D2B"/>
    <w:rsid w:val="00A9169C"/>
    <w:rsid w:val="00A926CB"/>
    <w:rsid w:val="00A963FB"/>
    <w:rsid w:val="00A9646C"/>
    <w:rsid w:val="00A96E50"/>
    <w:rsid w:val="00A971A9"/>
    <w:rsid w:val="00A97264"/>
    <w:rsid w:val="00A97414"/>
    <w:rsid w:val="00A974C3"/>
    <w:rsid w:val="00A979D4"/>
    <w:rsid w:val="00A97DE0"/>
    <w:rsid w:val="00AA169F"/>
    <w:rsid w:val="00AA1932"/>
    <w:rsid w:val="00AA253F"/>
    <w:rsid w:val="00AA3C33"/>
    <w:rsid w:val="00AA477F"/>
    <w:rsid w:val="00AA4811"/>
    <w:rsid w:val="00AA5A19"/>
    <w:rsid w:val="00AA61D8"/>
    <w:rsid w:val="00AA7902"/>
    <w:rsid w:val="00AA79EB"/>
    <w:rsid w:val="00AB0493"/>
    <w:rsid w:val="00AB080B"/>
    <w:rsid w:val="00AB0BCE"/>
    <w:rsid w:val="00AB21D5"/>
    <w:rsid w:val="00AB37DA"/>
    <w:rsid w:val="00AB42A6"/>
    <w:rsid w:val="00AB452E"/>
    <w:rsid w:val="00AB53B6"/>
    <w:rsid w:val="00AB6520"/>
    <w:rsid w:val="00AB6D3F"/>
    <w:rsid w:val="00AC1605"/>
    <w:rsid w:val="00AC163E"/>
    <w:rsid w:val="00AC17D7"/>
    <w:rsid w:val="00AC1980"/>
    <w:rsid w:val="00AC1CD6"/>
    <w:rsid w:val="00AC1FE4"/>
    <w:rsid w:val="00AC22AC"/>
    <w:rsid w:val="00AC3105"/>
    <w:rsid w:val="00AC39A0"/>
    <w:rsid w:val="00AC48E7"/>
    <w:rsid w:val="00AC4A31"/>
    <w:rsid w:val="00AC67A1"/>
    <w:rsid w:val="00AC67C0"/>
    <w:rsid w:val="00AC74C0"/>
    <w:rsid w:val="00AC7977"/>
    <w:rsid w:val="00AD01FF"/>
    <w:rsid w:val="00AD0CC5"/>
    <w:rsid w:val="00AD1F04"/>
    <w:rsid w:val="00AD1F8A"/>
    <w:rsid w:val="00AD2405"/>
    <w:rsid w:val="00AD2FB6"/>
    <w:rsid w:val="00AD3C99"/>
    <w:rsid w:val="00AD4644"/>
    <w:rsid w:val="00AD4AE1"/>
    <w:rsid w:val="00AD4CB4"/>
    <w:rsid w:val="00AD506E"/>
    <w:rsid w:val="00AD56A1"/>
    <w:rsid w:val="00AD5DC5"/>
    <w:rsid w:val="00AD6ACC"/>
    <w:rsid w:val="00AD79AF"/>
    <w:rsid w:val="00AE0D21"/>
    <w:rsid w:val="00AE1636"/>
    <w:rsid w:val="00AE16CE"/>
    <w:rsid w:val="00AE17BE"/>
    <w:rsid w:val="00AE1A84"/>
    <w:rsid w:val="00AE2C45"/>
    <w:rsid w:val="00AE352C"/>
    <w:rsid w:val="00AE3E65"/>
    <w:rsid w:val="00AE4350"/>
    <w:rsid w:val="00AE656F"/>
    <w:rsid w:val="00AE794F"/>
    <w:rsid w:val="00AE7F35"/>
    <w:rsid w:val="00AF3819"/>
    <w:rsid w:val="00AF3842"/>
    <w:rsid w:val="00AF3F1F"/>
    <w:rsid w:val="00AF4667"/>
    <w:rsid w:val="00AF490F"/>
    <w:rsid w:val="00AF4BDD"/>
    <w:rsid w:val="00AF5C5D"/>
    <w:rsid w:val="00AF627E"/>
    <w:rsid w:val="00AF7B3E"/>
    <w:rsid w:val="00B000BA"/>
    <w:rsid w:val="00B00816"/>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5BC3"/>
    <w:rsid w:val="00B17E70"/>
    <w:rsid w:val="00B20204"/>
    <w:rsid w:val="00B20C7B"/>
    <w:rsid w:val="00B20D63"/>
    <w:rsid w:val="00B20E76"/>
    <w:rsid w:val="00B21B20"/>
    <w:rsid w:val="00B21FBD"/>
    <w:rsid w:val="00B22DC5"/>
    <w:rsid w:val="00B23053"/>
    <w:rsid w:val="00B23432"/>
    <w:rsid w:val="00B2541E"/>
    <w:rsid w:val="00B2651B"/>
    <w:rsid w:val="00B2689E"/>
    <w:rsid w:val="00B27D3A"/>
    <w:rsid w:val="00B300A4"/>
    <w:rsid w:val="00B302C9"/>
    <w:rsid w:val="00B30B02"/>
    <w:rsid w:val="00B30C65"/>
    <w:rsid w:val="00B30CE3"/>
    <w:rsid w:val="00B3162B"/>
    <w:rsid w:val="00B3277F"/>
    <w:rsid w:val="00B32A86"/>
    <w:rsid w:val="00B32E2D"/>
    <w:rsid w:val="00B33B6E"/>
    <w:rsid w:val="00B34FF7"/>
    <w:rsid w:val="00B367AE"/>
    <w:rsid w:val="00B3721A"/>
    <w:rsid w:val="00B40613"/>
    <w:rsid w:val="00B412F8"/>
    <w:rsid w:val="00B4144F"/>
    <w:rsid w:val="00B42B6C"/>
    <w:rsid w:val="00B4466B"/>
    <w:rsid w:val="00B44A77"/>
    <w:rsid w:val="00B44C4A"/>
    <w:rsid w:val="00B45275"/>
    <w:rsid w:val="00B50CCF"/>
    <w:rsid w:val="00B52EC9"/>
    <w:rsid w:val="00B53D3E"/>
    <w:rsid w:val="00B5494D"/>
    <w:rsid w:val="00B55129"/>
    <w:rsid w:val="00B56B07"/>
    <w:rsid w:val="00B5725E"/>
    <w:rsid w:val="00B61990"/>
    <w:rsid w:val="00B61D66"/>
    <w:rsid w:val="00B63178"/>
    <w:rsid w:val="00B638AD"/>
    <w:rsid w:val="00B639FA"/>
    <w:rsid w:val="00B658E1"/>
    <w:rsid w:val="00B65D67"/>
    <w:rsid w:val="00B67609"/>
    <w:rsid w:val="00B703B9"/>
    <w:rsid w:val="00B706B3"/>
    <w:rsid w:val="00B72DDF"/>
    <w:rsid w:val="00B73F31"/>
    <w:rsid w:val="00B74D68"/>
    <w:rsid w:val="00B74EF6"/>
    <w:rsid w:val="00B7570F"/>
    <w:rsid w:val="00B77796"/>
    <w:rsid w:val="00B778BF"/>
    <w:rsid w:val="00B8051E"/>
    <w:rsid w:val="00B80E07"/>
    <w:rsid w:val="00B8112D"/>
    <w:rsid w:val="00B82108"/>
    <w:rsid w:val="00B83AD7"/>
    <w:rsid w:val="00B83BE4"/>
    <w:rsid w:val="00B84070"/>
    <w:rsid w:val="00B84400"/>
    <w:rsid w:val="00B850AC"/>
    <w:rsid w:val="00B852A7"/>
    <w:rsid w:val="00B85D99"/>
    <w:rsid w:val="00B86109"/>
    <w:rsid w:val="00B867C5"/>
    <w:rsid w:val="00B87B97"/>
    <w:rsid w:val="00B90442"/>
    <w:rsid w:val="00B927C7"/>
    <w:rsid w:val="00B93033"/>
    <w:rsid w:val="00B9319D"/>
    <w:rsid w:val="00B93E72"/>
    <w:rsid w:val="00B93F12"/>
    <w:rsid w:val="00B94C78"/>
    <w:rsid w:val="00B9695F"/>
    <w:rsid w:val="00B96C98"/>
    <w:rsid w:val="00B971A9"/>
    <w:rsid w:val="00B9764D"/>
    <w:rsid w:val="00B97A4D"/>
    <w:rsid w:val="00BA13E0"/>
    <w:rsid w:val="00BA1417"/>
    <w:rsid w:val="00BA20F0"/>
    <w:rsid w:val="00BA2AFD"/>
    <w:rsid w:val="00BA3A7E"/>
    <w:rsid w:val="00BA5166"/>
    <w:rsid w:val="00BA56FB"/>
    <w:rsid w:val="00BA5C78"/>
    <w:rsid w:val="00BA7473"/>
    <w:rsid w:val="00BB171D"/>
    <w:rsid w:val="00BB1AFA"/>
    <w:rsid w:val="00BB1F36"/>
    <w:rsid w:val="00BB1F39"/>
    <w:rsid w:val="00BB2721"/>
    <w:rsid w:val="00BB41A8"/>
    <w:rsid w:val="00BB43AB"/>
    <w:rsid w:val="00BB5994"/>
    <w:rsid w:val="00BB6893"/>
    <w:rsid w:val="00BB6B8F"/>
    <w:rsid w:val="00BC12A3"/>
    <w:rsid w:val="00BC150F"/>
    <w:rsid w:val="00BC17A2"/>
    <w:rsid w:val="00BC205E"/>
    <w:rsid w:val="00BC4943"/>
    <w:rsid w:val="00BC585E"/>
    <w:rsid w:val="00BC6713"/>
    <w:rsid w:val="00BC6718"/>
    <w:rsid w:val="00BC7CB8"/>
    <w:rsid w:val="00BD0D34"/>
    <w:rsid w:val="00BD1D5E"/>
    <w:rsid w:val="00BD2769"/>
    <w:rsid w:val="00BD39F1"/>
    <w:rsid w:val="00BD3AEE"/>
    <w:rsid w:val="00BD426D"/>
    <w:rsid w:val="00BD46E0"/>
    <w:rsid w:val="00BD4707"/>
    <w:rsid w:val="00BD4C3C"/>
    <w:rsid w:val="00BD4F5D"/>
    <w:rsid w:val="00BD71C8"/>
    <w:rsid w:val="00BD771C"/>
    <w:rsid w:val="00BD791E"/>
    <w:rsid w:val="00BD7A93"/>
    <w:rsid w:val="00BD7E1A"/>
    <w:rsid w:val="00BE07FD"/>
    <w:rsid w:val="00BE0841"/>
    <w:rsid w:val="00BE09AC"/>
    <w:rsid w:val="00BE15E7"/>
    <w:rsid w:val="00BE180A"/>
    <w:rsid w:val="00BE19B4"/>
    <w:rsid w:val="00BE19B8"/>
    <w:rsid w:val="00BE2ABF"/>
    <w:rsid w:val="00BE2C65"/>
    <w:rsid w:val="00BE34CB"/>
    <w:rsid w:val="00BE3A25"/>
    <w:rsid w:val="00BE45C8"/>
    <w:rsid w:val="00BE4BCF"/>
    <w:rsid w:val="00BE54FB"/>
    <w:rsid w:val="00BE788A"/>
    <w:rsid w:val="00BE78EB"/>
    <w:rsid w:val="00BE7B88"/>
    <w:rsid w:val="00BF0556"/>
    <w:rsid w:val="00BF121A"/>
    <w:rsid w:val="00BF14D2"/>
    <w:rsid w:val="00BF254D"/>
    <w:rsid w:val="00BF2655"/>
    <w:rsid w:val="00BF267B"/>
    <w:rsid w:val="00BF2E1A"/>
    <w:rsid w:val="00BF32AC"/>
    <w:rsid w:val="00BF4C3A"/>
    <w:rsid w:val="00BF619C"/>
    <w:rsid w:val="00BF62D7"/>
    <w:rsid w:val="00BF679C"/>
    <w:rsid w:val="00BF6A48"/>
    <w:rsid w:val="00C00EAC"/>
    <w:rsid w:val="00C01583"/>
    <w:rsid w:val="00C021FE"/>
    <w:rsid w:val="00C02B32"/>
    <w:rsid w:val="00C03870"/>
    <w:rsid w:val="00C03F4A"/>
    <w:rsid w:val="00C04A87"/>
    <w:rsid w:val="00C077B2"/>
    <w:rsid w:val="00C11802"/>
    <w:rsid w:val="00C13EF8"/>
    <w:rsid w:val="00C14C9C"/>
    <w:rsid w:val="00C1586A"/>
    <w:rsid w:val="00C15B47"/>
    <w:rsid w:val="00C16BB7"/>
    <w:rsid w:val="00C17138"/>
    <w:rsid w:val="00C178E8"/>
    <w:rsid w:val="00C17A7D"/>
    <w:rsid w:val="00C21B82"/>
    <w:rsid w:val="00C23ECC"/>
    <w:rsid w:val="00C24639"/>
    <w:rsid w:val="00C24B53"/>
    <w:rsid w:val="00C24E22"/>
    <w:rsid w:val="00C25547"/>
    <w:rsid w:val="00C261F8"/>
    <w:rsid w:val="00C2665A"/>
    <w:rsid w:val="00C30566"/>
    <w:rsid w:val="00C30775"/>
    <w:rsid w:val="00C30DA6"/>
    <w:rsid w:val="00C30EAF"/>
    <w:rsid w:val="00C328A3"/>
    <w:rsid w:val="00C33100"/>
    <w:rsid w:val="00C33613"/>
    <w:rsid w:val="00C348D1"/>
    <w:rsid w:val="00C3499D"/>
    <w:rsid w:val="00C37521"/>
    <w:rsid w:val="00C414C5"/>
    <w:rsid w:val="00C43E17"/>
    <w:rsid w:val="00C450C2"/>
    <w:rsid w:val="00C454B7"/>
    <w:rsid w:val="00C46C5E"/>
    <w:rsid w:val="00C47D16"/>
    <w:rsid w:val="00C47D5C"/>
    <w:rsid w:val="00C500C8"/>
    <w:rsid w:val="00C504E7"/>
    <w:rsid w:val="00C51AFE"/>
    <w:rsid w:val="00C52995"/>
    <w:rsid w:val="00C53223"/>
    <w:rsid w:val="00C5325A"/>
    <w:rsid w:val="00C53B53"/>
    <w:rsid w:val="00C53BAF"/>
    <w:rsid w:val="00C53CCE"/>
    <w:rsid w:val="00C54957"/>
    <w:rsid w:val="00C54AA6"/>
    <w:rsid w:val="00C551F0"/>
    <w:rsid w:val="00C559C1"/>
    <w:rsid w:val="00C56A43"/>
    <w:rsid w:val="00C56ECF"/>
    <w:rsid w:val="00C60530"/>
    <w:rsid w:val="00C60DF0"/>
    <w:rsid w:val="00C63328"/>
    <w:rsid w:val="00C63678"/>
    <w:rsid w:val="00C63D87"/>
    <w:rsid w:val="00C64CE2"/>
    <w:rsid w:val="00C651AE"/>
    <w:rsid w:val="00C654CD"/>
    <w:rsid w:val="00C65F09"/>
    <w:rsid w:val="00C661E2"/>
    <w:rsid w:val="00C6664E"/>
    <w:rsid w:val="00C67AD2"/>
    <w:rsid w:val="00C70623"/>
    <w:rsid w:val="00C70BE1"/>
    <w:rsid w:val="00C70CA1"/>
    <w:rsid w:val="00C72FD3"/>
    <w:rsid w:val="00C7350D"/>
    <w:rsid w:val="00C745D2"/>
    <w:rsid w:val="00C749D5"/>
    <w:rsid w:val="00C74E2D"/>
    <w:rsid w:val="00C75243"/>
    <w:rsid w:val="00C75383"/>
    <w:rsid w:val="00C75525"/>
    <w:rsid w:val="00C75C94"/>
    <w:rsid w:val="00C76641"/>
    <w:rsid w:val="00C766CA"/>
    <w:rsid w:val="00C768FD"/>
    <w:rsid w:val="00C774C0"/>
    <w:rsid w:val="00C77A97"/>
    <w:rsid w:val="00C806B2"/>
    <w:rsid w:val="00C80964"/>
    <w:rsid w:val="00C80CB7"/>
    <w:rsid w:val="00C80F5A"/>
    <w:rsid w:val="00C81DBD"/>
    <w:rsid w:val="00C83AC3"/>
    <w:rsid w:val="00C8464D"/>
    <w:rsid w:val="00C84D28"/>
    <w:rsid w:val="00C85C16"/>
    <w:rsid w:val="00C860F8"/>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A13E3"/>
    <w:rsid w:val="00CA23DA"/>
    <w:rsid w:val="00CA34D5"/>
    <w:rsid w:val="00CA467D"/>
    <w:rsid w:val="00CA4776"/>
    <w:rsid w:val="00CA49A6"/>
    <w:rsid w:val="00CA55E6"/>
    <w:rsid w:val="00CB086A"/>
    <w:rsid w:val="00CB09E6"/>
    <w:rsid w:val="00CB1F1C"/>
    <w:rsid w:val="00CB2007"/>
    <w:rsid w:val="00CB234D"/>
    <w:rsid w:val="00CB2661"/>
    <w:rsid w:val="00CB2918"/>
    <w:rsid w:val="00CB2AA7"/>
    <w:rsid w:val="00CB4C25"/>
    <w:rsid w:val="00CB60E1"/>
    <w:rsid w:val="00CB6267"/>
    <w:rsid w:val="00CB6605"/>
    <w:rsid w:val="00CB6DFC"/>
    <w:rsid w:val="00CB732E"/>
    <w:rsid w:val="00CB7E36"/>
    <w:rsid w:val="00CC0B66"/>
    <w:rsid w:val="00CC1B9C"/>
    <w:rsid w:val="00CC2462"/>
    <w:rsid w:val="00CC27E2"/>
    <w:rsid w:val="00CC47CA"/>
    <w:rsid w:val="00CC7328"/>
    <w:rsid w:val="00CC7498"/>
    <w:rsid w:val="00CC7A67"/>
    <w:rsid w:val="00CD0B47"/>
    <w:rsid w:val="00CD0BB6"/>
    <w:rsid w:val="00CD0D57"/>
    <w:rsid w:val="00CD16E7"/>
    <w:rsid w:val="00CD1A71"/>
    <w:rsid w:val="00CD1FBB"/>
    <w:rsid w:val="00CD25AB"/>
    <w:rsid w:val="00CD35AF"/>
    <w:rsid w:val="00CD48B3"/>
    <w:rsid w:val="00CD4901"/>
    <w:rsid w:val="00CD540D"/>
    <w:rsid w:val="00CD5592"/>
    <w:rsid w:val="00CD5B18"/>
    <w:rsid w:val="00CD711F"/>
    <w:rsid w:val="00CD7169"/>
    <w:rsid w:val="00CD7CCC"/>
    <w:rsid w:val="00CE16A9"/>
    <w:rsid w:val="00CE1D2F"/>
    <w:rsid w:val="00CE21E5"/>
    <w:rsid w:val="00CE32FE"/>
    <w:rsid w:val="00CE341F"/>
    <w:rsid w:val="00CE39EA"/>
    <w:rsid w:val="00CE5A9C"/>
    <w:rsid w:val="00CE60A9"/>
    <w:rsid w:val="00CE7227"/>
    <w:rsid w:val="00CE73A3"/>
    <w:rsid w:val="00CE75F8"/>
    <w:rsid w:val="00CE7772"/>
    <w:rsid w:val="00CF22B0"/>
    <w:rsid w:val="00CF330B"/>
    <w:rsid w:val="00CF51FA"/>
    <w:rsid w:val="00CF5A0C"/>
    <w:rsid w:val="00CF6DD0"/>
    <w:rsid w:val="00CF7972"/>
    <w:rsid w:val="00D013EA"/>
    <w:rsid w:val="00D016B5"/>
    <w:rsid w:val="00D034F1"/>
    <w:rsid w:val="00D044D0"/>
    <w:rsid w:val="00D05195"/>
    <w:rsid w:val="00D0580E"/>
    <w:rsid w:val="00D06186"/>
    <w:rsid w:val="00D06DB2"/>
    <w:rsid w:val="00D06DB4"/>
    <w:rsid w:val="00D06DEF"/>
    <w:rsid w:val="00D0737E"/>
    <w:rsid w:val="00D105AF"/>
    <w:rsid w:val="00D10CAC"/>
    <w:rsid w:val="00D11B17"/>
    <w:rsid w:val="00D11DC3"/>
    <w:rsid w:val="00D12E34"/>
    <w:rsid w:val="00D12F99"/>
    <w:rsid w:val="00D138B4"/>
    <w:rsid w:val="00D142CE"/>
    <w:rsid w:val="00D14DEA"/>
    <w:rsid w:val="00D15919"/>
    <w:rsid w:val="00D15F08"/>
    <w:rsid w:val="00D16958"/>
    <w:rsid w:val="00D17AAA"/>
    <w:rsid w:val="00D17B35"/>
    <w:rsid w:val="00D20EA4"/>
    <w:rsid w:val="00D20EEE"/>
    <w:rsid w:val="00D218F8"/>
    <w:rsid w:val="00D22DCA"/>
    <w:rsid w:val="00D24BE7"/>
    <w:rsid w:val="00D25100"/>
    <w:rsid w:val="00D2581D"/>
    <w:rsid w:val="00D26526"/>
    <w:rsid w:val="00D26D19"/>
    <w:rsid w:val="00D274F4"/>
    <w:rsid w:val="00D276E5"/>
    <w:rsid w:val="00D27D5E"/>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71F4"/>
    <w:rsid w:val="00D40FC2"/>
    <w:rsid w:val="00D41E89"/>
    <w:rsid w:val="00D42542"/>
    <w:rsid w:val="00D447BE"/>
    <w:rsid w:val="00D44D78"/>
    <w:rsid w:val="00D44EF3"/>
    <w:rsid w:val="00D459A2"/>
    <w:rsid w:val="00D4695B"/>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C1E"/>
    <w:rsid w:val="00D57D37"/>
    <w:rsid w:val="00D57F15"/>
    <w:rsid w:val="00D60301"/>
    <w:rsid w:val="00D604F1"/>
    <w:rsid w:val="00D61885"/>
    <w:rsid w:val="00D61FD9"/>
    <w:rsid w:val="00D62C0A"/>
    <w:rsid w:val="00D6376E"/>
    <w:rsid w:val="00D6454D"/>
    <w:rsid w:val="00D66260"/>
    <w:rsid w:val="00D715F3"/>
    <w:rsid w:val="00D71B73"/>
    <w:rsid w:val="00D74C4B"/>
    <w:rsid w:val="00D753ED"/>
    <w:rsid w:val="00D76640"/>
    <w:rsid w:val="00D76902"/>
    <w:rsid w:val="00D803BB"/>
    <w:rsid w:val="00D808C3"/>
    <w:rsid w:val="00D8092E"/>
    <w:rsid w:val="00D83205"/>
    <w:rsid w:val="00D834ED"/>
    <w:rsid w:val="00D83E72"/>
    <w:rsid w:val="00D87E1A"/>
    <w:rsid w:val="00D904E5"/>
    <w:rsid w:val="00D90635"/>
    <w:rsid w:val="00D9078E"/>
    <w:rsid w:val="00D91CEA"/>
    <w:rsid w:val="00D935AE"/>
    <w:rsid w:val="00D9454D"/>
    <w:rsid w:val="00D947BF"/>
    <w:rsid w:val="00D949EF"/>
    <w:rsid w:val="00D94B6E"/>
    <w:rsid w:val="00D967C7"/>
    <w:rsid w:val="00D96ACD"/>
    <w:rsid w:val="00D96BEB"/>
    <w:rsid w:val="00D9717D"/>
    <w:rsid w:val="00D97750"/>
    <w:rsid w:val="00D97C59"/>
    <w:rsid w:val="00DA0473"/>
    <w:rsid w:val="00DA0BC2"/>
    <w:rsid w:val="00DA153B"/>
    <w:rsid w:val="00DA164D"/>
    <w:rsid w:val="00DA1E4C"/>
    <w:rsid w:val="00DA2254"/>
    <w:rsid w:val="00DA2527"/>
    <w:rsid w:val="00DA33D0"/>
    <w:rsid w:val="00DA363C"/>
    <w:rsid w:val="00DA3B70"/>
    <w:rsid w:val="00DA4CEF"/>
    <w:rsid w:val="00DA57D4"/>
    <w:rsid w:val="00DA638B"/>
    <w:rsid w:val="00DA7672"/>
    <w:rsid w:val="00DB2190"/>
    <w:rsid w:val="00DB270F"/>
    <w:rsid w:val="00DB317A"/>
    <w:rsid w:val="00DB4793"/>
    <w:rsid w:val="00DB58FE"/>
    <w:rsid w:val="00DB6767"/>
    <w:rsid w:val="00DB67D5"/>
    <w:rsid w:val="00DB6E31"/>
    <w:rsid w:val="00DB761A"/>
    <w:rsid w:val="00DC267C"/>
    <w:rsid w:val="00DC31CF"/>
    <w:rsid w:val="00DC3460"/>
    <w:rsid w:val="00DC4411"/>
    <w:rsid w:val="00DC441F"/>
    <w:rsid w:val="00DC4635"/>
    <w:rsid w:val="00DC4D7F"/>
    <w:rsid w:val="00DC549D"/>
    <w:rsid w:val="00DC6FF4"/>
    <w:rsid w:val="00DC7958"/>
    <w:rsid w:val="00DD0858"/>
    <w:rsid w:val="00DD0B7D"/>
    <w:rsid w:val="00DD1BD9"/>
    <w:rsid w:val="00DD3440"/>
    <w:rsid w:val="00DD3462"/>
    <w:rsid w:val="00DD39BD"/>
    <w:rsid w:val="00DD4D1A"/>
    <w:rsid w:val="00DD55CC"/>
    <w:rsid w:val="00DD5D2C"/>
    <w:rsid w:val="00DD62FC"/>
    <w:rsid w:val="00DD6E2C"/>
    <w:rsid w:val="00DD6FBB"/>
    <w:rsid w:val="00DD7BB1"/>
    <w:rsid w:val="00DD7D17"/>
    <w:rsid w:val="00DE01E3"/>
    <w:rsid w:val="00DE17DD"/>
    <w:rsid w:val="00DE2D26"/>
    <w:rsid w:val="00DE38EA"/>
    <w:rsid w:val="00DE3E3C"/>
    <w:rsid w:val="00DE50C1"/>
    <w:rsid w:val="00DE54E3"/>
    <w:rsid w:val="00DE6023"/>
    <w:rsid w:val="00DE6B0E"/>
    <w:rsid w:val="00DE6D90"/>
    <w:rsid w:val="00DE757B"/>
    <w:rsid w:val="00DE76E1"/>
    <w:rsid w:val="00DE7967"/>
    <w:rsid w:val="00DF002F"/>
    <w:rsid w:val="00DF035F"/>
    <w:rsid w:val="00DF0979"/>
    <w:rsid w:val="00DF16D5"/>
    <w:rsid w:val="00DF2522"/>
    <w:rsid w:val="00DF314C"/>
    <w:rsid w:val="00DF34B4"/>
    <w:rsid w:val="00DF3EBF"/>
    <w:rsid w:val="00DF4491"/>
    <w:rsid w:val="00DF44D1"/>
    <w:rsid w:val="00DF5B65"/>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BDB"/>
    <w:rsid w:val="00E04CA6"/>
    <w:rsid w:val="00E0546B"/>
    <w:rsid w:val="00E05D3D"/>
    <w:rsid w:val="00E05D55"/>
    <w:rsid w:val="00E0622D"/>
    <w:rsid w:val="00E079ED"/>
    <w:rsid w:val="00E103FE"/>
    <w:rsid w:val="00E11133"/>
    <w:rsid w:val="00E11C51"/>
    <w:rsid w:val="00E11E1A"/>
    <w:rsid w:val="00E12F36"/>
    <w:rsid w:val="00E12FAA"/>
    <w:rsid w:val="00E14106"/>
    <w:rsid w:val="00E14DFB"/>
    <w:rsid w:val="00E15250"/>
    <w:rsid w:val="00E156F4"/>
    <w:rsid w:val="00E16C22"/>
    <w:rsid w:val="00E16EAA"/>
    <w:rsid w:val="00E1775E"/>
    <w:rsid w:val="00E2125C"/>
    <w:rsid w:val="00E212F0"/>
    <w:rsid w:val="00E220F9"/>
    <w:rsid w:val="00E222E2"/>
    <w:rsid w:val="00E2284C"/>
    <w:rsid w:val="00E2344E"/>
    <w:rsid w:val="00E24D93"/>
    <w:rsid w:val="00E258E6"/>
    <w:rsid w:val="00E259A2"/>
    <w:rsid w:val="00E25CEE"/>
    <w:rsid w:val="00E267CE"/>
    <w:rsid w:val="00E26C31"/>
    <w:rsid w:val="00E2750D"/>
    <w:rsid w:val="00E32427"/>
    <w:rsid w:val="00E33354"/>
    <w:rsid w:val="00E366EE"/>
    <w:rsid w:val="00E417DE"/>
    <w:rsid w:val="00E42D23"/>
    <w:rsid w:val="00E42F9B"/>
    <w:rsid w:val="00E43DB0"/>
    <w:rsid w:val="00E4491D"/>
    <w:rsid w:val="00E44E7C"/>
    <w:rsid w:val="00E45585"/>
    <w:rsid w:val="00E467D9"/>
    <w:rsid w:val="00E47131"/>
    <w:rsid w:val="00E51CD2"/>
    <w:rsid w:val="00E52710"/>
    <w:rsid w:val="00E5304E"/>
    <w:rsid w:val="00E534E5"/>
    <w:rsid w:val="00E5569D"/>
    <w:rsid w:val="00E55BB7"/>
    <w:rsid w:val="00E55D71"/>
    <w:rsid w:val="00E562E5"/>
    <w:rsid w:val="00E5637F"/>
    <w:rsid w:val="00E56D9E"/>
    <w:rsid w:val="00E579FB"/>
    <w:rsid w:val="00E6068E"/>
    <w:rsid w:val="00E60EAA"/>
    <w:rsid w:val="00E61A2F"/>
    <w:rsid w:val="00E61A4E"/>
    <w:rsid w:val="00E61B79"/>
    <w:rsid w:val="00E62282"/>
    <w:rsid w:val="00E63421"/>
    <w:rsid w:val="00E6419D"/>
    <w:rsid w:val="00E646C3"/>
    <w:rsid w:val="00E65D2D"/>
    <w:rsid w:val="00E67BC5"/>
    <w:rsid w:val="00E67FDB"/>
    <w:rsid w:val="00E7016C"/>
    <w:rsid w:val="00E71282"/>
    <w:rsid w:val="00E716A2"/>
    <w:rsid w:val="00E72C76"/>
    <w:rsid w:val="00E72DBF"/>
    <w:rsid w:val="00E73CAF"/>
    <w:rsid w:val="00E74A8A"/>
    <w:rsid w:val="00E74F57"/>
    <w:rsid w:val="00E74FB5"/>
    <w:rsid w:val="00E77A7E"/>
    <w:rsid w:val="00E81D1B"/>
    <w:rsid w:val="00E81E94"/>
    <w:rsid w:val="00E81F87"/>
    <w:rsid w:val="00E82221"/>
    <w:rsid w:val="00E82451"/>
    <w:rsid w:val="00E82607"/>
    <w:rsid w:val="00E84BBA"/>
    <w:rsid w:val="00E84E79"/>
    <w:rsid w:val="00E8532D"/>
    <w:rsid w:val="00E862F2"/>
    <w:rsid w:val="00E87FC6"/>
    <w:rsid w:val="00E904A7"/>
    <w:rsid w:val="00E90DE0"/>
    <w:rsid w:val="00E92ADE"/>
    <w:rsid w:val="00E933BF"/>
    <w:rsid w:val="00E94980"/>
    <w:rsid w:val="00E9581D"/>
    <w:rsid w:val="00E95973"/>
    <w:rsid w:val="00E978A0"/>
    <w:rsid w:val="00EA31C2"/>
    <w:rsid w:val="00EA4B20"/>
    <w:rsid w:val="00EA658A"/>
    <w:rsid w:val="00EB04A0"/>
    <w:rsid w:val="00EB054B"/>
    <w:rsid w:val="00EB14DE"/>
    <w:rsid w:val="00EB1680"/>
    <w:rsid w:val="00EB245E"/>
    <w:rsid w:val="00EB2792"/>
    <w:rsid w:val="00EB55A8"/>
    <w:rsid w:val="00EB6263"/>
    <w:rsid w:val="00EB62F0"/>
    <w:rsid w:val="00EB7551"/>
    <w:rsid w:val="00EB7C7C"/>
    <w:rsid w:val="00EB7F14"/>
    <w:rsid w:val="00EC05B3"/>
    <w:rsid w:val="00EC1729"/>
    <w:rsid w:val="00EC2780"/>
    <w:rsid w:val="00EC2AEB"/>
    <w:rsid w:val="00EC2CF9"/>
    <w:rsid w:val="00EC2E14"/>
    <w:rsid w:val="00EC5F14"/>
    <w:rsid w:val="00EC7499"/>
    <w:rsid w:val="00ED0A27"/>
    <w:rsid w:val="00ED0AA7"/>
    <w:rsid w:val="00ED0D9B"/>
    <w:rsid w:val="00ED1BC5"/>
    <w:rsid w:val="00ED240A"/>
    <w:rsid w:val="00ED2999"/>
    <w:rsid w:val="00ED2EDD"/>
    <w:rsid w:val="00ED3331"/>
    <w:rsid w:val="00ED3BDF"/>
    <w:rsid w:val="00ED3E37"/>
    <w:rsid w:val="00ED4D69"/>
    <w:rsid w:val="00ED731E"/>
    <w:rsid w:val="00ED7FBA"/>
    <w:rsid w:val="00EE265A"/>
    <w:rsid w:val="00EE2EA3"/>
    <w:rsid w:val="00EE38F5"/>
    <w:rsid w:val="00EE3C46"/>
    <w:rsid w:val="00EE5DDE"/>
    <w:rsid w:val="00EE6490"/>
    <w:rsid w:val="00EE64FE"/>
    <w:rsid w:val="00EE6DC4"/>
    <w:rsid w:val="00EF0A23"/>
    <w:rsid w:val="00EF339A"/>
    <w:rsid w:val="00EF3A5B"/>
    <w:rsid w:val="00EF59F4"/>
    <w:rsid w:val="00EF6183"/>
    <w:rsid w:val="00EF6765"/>
    <w:rsid w:val="00EF6DE4"/>
    <w:rsid w:val="00EF73A7"/>
    <w:rsid w:val="00EF7E0D"/>
    <w:rsid w:val="00F00678"/>
    <w:rsid w:val="00F0129A"/>
    <w:rsid w:val="00F01516"/>
    <w:rsid w:val="00F0187C"/>
    <w:rsid w:val="00F01E1A"/>
    <w:rsid w:val="00F01FF2"/>
    <w:rsid w:val="00F038AB"/>
    <w:rsid w:val="00F047C4"/>
    <w:rsid w:val="00F04C57"/>
    <w:rsid w:val="00F04FF7"/>
    <w:rsid w:val="00F060A8"/>
    <w:rsid w:val="00F06C2A"/>
    <w:rsid w:val="00F06DA1"/>
    <w:rsid w:val="00F11384"/>
    <w:rsid w:val="00F11494"/>
    <w:rsid w:val="00F1175A"/>
    <w:rsid w:val="00F11B18"/>
    <w:rsid w:val="00F13D19"/>
    <w:rsid w:val="00F14CEC"/>
    <w:rsid w:val="00F15C00"/>
    <w:rsid w:val="00F15E15"/>
    <w:rsid w:val="00F1611F"/>
    <w:rsid w:val="00F16A7A"/>
    <w:rsid w:val="00F16AC6"/>
    <w:rsid w:val="00F1711F"/>
    <w:rsid w:val="00F20944"/>
    <w:rsid w:val="00F20C8B"/>
    <w:rsid w:val="00F2242C"/>
    <w:rsid w:val="00F2438C"/>
    <w:rsid w:val="00F24B9F"/>
    <w:rsid w:val="00F25F2C"/>
    <w:rsid w:val="00F27033"/>
    <w:rsid w:val="00F270FD"/>
    <w:rsid w:val="00F2749D"/>
    <w:rsid w:val="00F27BC0"/>
    <w:rsid w:val="00F30D47"/>
    <w:rsid w:val="00F317D6"/>
    <w:rsid w:val="00F3201D"/>
    <w:rsid w:val="00F329FC"/>
    <w:rsid w:val="00F34DB3"/>
    <w:rsid w:val="00F37B3A"/>
    <w:rsid w:val="00F400C1"/>
    <w:rsid w:val="00F40135"/>
    <w:rsid w:val="00F421CB"/>
    <w:rsid w:val="00F4336E"/>
    <w:rsid w:val="00F436E6"/>
    <w:rsid w:val="00F43D96"/>
    <w:rsid w:val="00F447F6"/>
    <w:rsid w:val="00F452CA"/>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60122"/>
    <w:rsid w:val="00F60C3A"/>
    <w:rsid w:val="00F60DCA"/>
    <w:rsid w:val="00F60F81"/>
    <w:rsid w:val="00F610A1"/>
    <w:rsid w:val="00F614CA"/>
    <w:rsid w:val="00F61792"/>
    <w:rsid w:val="00F6284B"/>
    <w:rsid w:val="00F62C72"/>
    <w:rsid w:val="00F63305"/>
    <w:rsid w:val="00F63624"/>
    <w:rsid w:val="00F64B67"/>
    <w:rsid w:val="00F64B84"/>
    <w:rsid w:val="00F6679D"/>
    <w:rsid w:val="00F66822"/>
    <w:rsid w:val="00F70B70"/>
    <w:rsid w:val="00F70D48"/>
    <w:rsid w:val="00F71E2D"/>
    <w:rsid w:val="00F71E77"/>
    <w:rsid w:val="00F71FA8"/>
    <w:rsid w:val="00F7284B"/>
    <w:rsid w:val="00F740FE"/>
    <w:rsid w:val="00F7527C"/>
    <w:rsid w:val="00F7612E"/>
    <w:rsid w:val="00F80131"/>
    <w:rsid w:val="00F80AFA"/>
    <w:rsid w:val="00F80CBC"/>
    <w:rsid w:val="00F811F4"/>
    <w:rsid w:val="00F822AD"/>
    <w:rsid w:val="00F82C31"/>
    <w:rsid w:val="00F84679"/>
    <w:rsid w:val="00F85F5F"/>
    <w:rsid w:val="00F86DD4"/>
    <w:rsid w:val="00F870FA"/>
    <w:rsid w:val="00F8732D"/>
    <w:rsid w:val="00F87BC6"/>
    <w:rsid w:val="00F906FA"/>
    <w:rsid w:val="00F90850"/>
    <w:rsid w:val="00F90FEC"/>
    <w:rsid w:val="00F91301"/>
    <w:rsid w:val="00F9197A"/>
    <w:rsid w:val="00F92A2E"/>
    <w:rsid w:val="00F92C05"/>
    <w:rsid w:val="00F9490B"/>
    <w:rsid w:val="00F95161"/>
    <w:rsid w:val="00F96B3F"/>
    <w:rsid w:val="00F96E8B"/>
    <w:rsid w:val="00F96FB9"/>
    <w:rsid w:val="00F97955"/>
    <w:rsid w:val="00F97B27"/>
    <w:rsid w:val="00FA0C84"/>
    <w:rsid w:val="00FA1327"/>
    <w:rsid w:val="00FA2880"/>
    <w:rsid w:val="00FA2D40"/>
    <w:rsid w:val="00FA37CF"/>
    <w:rsid w:val="00FA461D"/>
    <w:rsid w:val="00FA4803"/>
    <w:rsid w:val="00FA5A18"/>
    <w:rsid w:val="00FA5A79"/>
    <w:rsid w:val="00FA69E4"/>
    <w:rsid w:val="00FA6DDE"/>
    <w:rsid w:val="00FB00CB"/>
    <w:rsid w:val="00FB023B"/>
    <w:rsid w:val="00FB02B0"/>
    <w:rsid w:val="00FB0BFE"/>
    <w:rsid w:val="00FB122F"/>
    <w:rsid w:val="00FB13C5"/>
    <w:rsid w:val="00FB2B8E"/>
    <w:rsid w:val="00FB43DE"/>
    <w:rsid w:val="00FB49A3"/>
    <w:rsid w:val="00FB4C51"/>
    <w:rsid w:val="00FB4DB2"/>
    <w:rsid w:val="00FB52D9"/>
    <w:rsid w:val="00FB630C"/>
    <w:rsid w:val="00FB7B46"/>
    <w:rsid w:val="00FC0C10"/>
    <w:rsid w:val="00FC0CE2"/>
    <w:rsid w:val="00FC0F63"/>
    <w:rsid w:val="00FC17F8"/>
    <w:rsid w:val="00FC50B0"/>
    <w:rsid w:val="00FC5A99"/>
    <w:rsid w:val="00FC5ACD"/>
    <w:rsid w:val="00FC7555"/>
    <w:rsid w:val="00FC7FAA"/>
    <w:rsid w:val="00FD026D"/>
    <w:rsid w:val="00FD04D2"/>
    <w:rsid w:val="00FD1458"/>
    <w:rsid w:val="00FD2938"/>
    <w:rsid w:val="00FD2942"/>
    <w:rsid w:val="00FD3171"/>
    <w:rsid w:val="00FD331E"/>
    <w:rsid w:val="00FD364A"/>
    <w:rsid w:val="00FD3F34"/>
    <w:rsid w:val="00FD4224"/>
    <w:rsid w:val="00FD4CBE"/>
    <w:rsid w:val="00FD5AF1"/>
    <w:rsid w:val="00FE10A7"/>
    <w:rsid w:val="00FE1336"/>
    <w:rsid w:val="00FE19D6"/>
    <w:rsid w:val="00FE2190"/>
    <w:rsid w:val="00FE233C"/>
    <w:rsid w:val="00FE3527"/>
    <w:rsid w:val="00FE3986"/>
    <w:rsid w:val="00FE3BCE"/>
    <w:rsid w:val="00FE4B6A"/>
    <w:rsid w:val="00FE4F3F"/>
    <w:rsid w:val="00FE5832"/>
    <w:rsid w:val="00FE5BC2"/>
    <w:rsid w:val="00FF1DBD"/>
    <w:rsid w:val="00FF2A3F"/>
    <w:rsid w:val="00FF3842"/>
    <w:rsid w:val="00FF4328"/>
    <w:rsid w:val="00FF5472"/>
    <w:rsid w:val="00FF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3B4"/>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uiPriority w:val="99"/>
    <w:semiHidden/>
    <w:rsid w:val="00A9646C"/>
    <w:rPr>
      <w:lang w:val="fr-CH" w:eastAsia="en-US"/>
    </w:rPr>
  </w:style>
  <w:style w:type="character" w:styleId="PlaceholderText">
    <w:name w:val="Placeholder Text"/>
    <w:basedOn w:val="DefaultParagraphFont"/>
    <w:uiPriority w:val="99"/>
    <w:semiHidden/>
    <w:rsid w:val="0038381F"/>
    <w:rPr>
      <w:color w:val="808080"/>
    </w:rPr>
  </w:style>
  <w:style w:type="paragraph" w:customStyle="1" w:styleId="Pa14">
    <w:name w:val="Pa14"/>
    <w:basedOn w:val="Normal"/>
    <w:next w:val="Normal"/>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DefaultParagraphFont"/>
    <w:rsid w:val="00081396"/>
  </w:style>
  <w:style w:type="character" w:styleId="UnresolvedMention">
    <w:name w:val="Unresolved Mention"/>
    <w:basedOn w:val="DefaultParagraphFont"/>
    <w:uiPriority w:val="99"/>
    <w:semiHidden/>
    <w:unhideWhenUsed/>
    <w:rsid w:val="0052306D"/>
    <w:rPr>
      <w:color w:val="605E5C"/>
      <w:shd w:val="clear" w:color="auto" w:fill="E1DFDD"/>
    </w:rPr>
  </w:style>
  <w:style w:type="paragraph" w:styleId="Revision">
    <w:name w:val="Revision"/>
    <w:hidden/>
    <w:uiPriority w:val="99"/>
    <w:semiHidden/>
    <w:rsid w:val="00592D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3045023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2388915">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customXml/itemProps2.xml><?xml version="1.0" encoding="utf-8"?>
<ds:datastoreItem xmlns:ds="http://schemas.openxmlformats.org/officeDocument/2006/customXml" ds:itemID="{9F05F8C2-2C6E-4E9D-88F5-2230D6558BB1}">
  <ds:schemaRefs>
    <ds:schemaRef ds:uri="http://schemas.microsoft.com/sharepoint/v3/contenttype/forms"/>
  </ds:schemaRefs>
</ds:datastoreItem>
</file>

<file path=customXml/itemProps3.xml><?xml version="1.0" encoding="utf-8"?>
<ds:datastoreItem xmlns:ds="http://schemas.openxmlformats.org/officeDocument/2006/customXml" ds:itemID="{D63CCBD6-35D6-4364-A258-012256258CB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26B702E5-D30A-4BE3-AC97-A00BBA98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9310</Characters>
  <Application>Microsoft Office Word</Application>
  <DocSecurity>0</DocSecurity>
  <Lines>190</Lines>
  <Paragraphs>98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ECE/TRANS/WP.29/GRBP/2023/12</vt:lpstr>
      <vt:lpstr>ECE/TRANS/WP.29/GRBP/2022/16</vt: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ECE/TRANS/WP.29/GRBP/2025/20</dc:title>
  <dc:subject>2509849</dc:subject>
  <dc:creator>Jean-Marc Prigent</dc:creator>
  <cp:keywords/>
  <dc:description/>
  <cp:lastModifiedBy>Pauline Anne Escalante</cp:lastModifiedBy>
  <cp:revision>2</cp:revision>
  <dcterms:created xsi:type="dcterms:W3CDTF">2025-06-19T14:11:00Z</dcterms:created>
  <dcterms:modified xsi:type="dcterms:W3CDTF">2025-06-19T14:11:00Z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