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0846F8" w14:paraId="3AE6377E" w14:textId="77777777" w:rsidTr="00B20551">
        <w:trPr>
          <w:cantSplit/>
          <w:trHeight w:hRule="exact" w:val="851"/>
        </w:trPr>
        <w:tc>
          <w:tcPr>
            <w:tcW w:w="1276" w:type="dxa"/>
            <w:tcBorders>
              <w:bottom w:val="single" w:sz="4" w:space="0" w:color="auto"/>
            </w:tcBorders>
            <w:vAlign w:val="bottom"/>
          </w:tcPr>
          <w:p w14:paraId="46D06312" w14:textId="77777777" w:rsidR="009E6CB7" w:rsidRPr="000846F8" w:rsidRDefault="009E6CB7" w:rsidP="00B20551">
            <w:pPr>
              <w:spacing w:after="80"/>
            </w:pPr>
            <w:bookmarkStart w:id="0" w:name="_Hlk194493262"/>
          </w:p>
        </w:tc>
        <w:tc>
          <w:tcPr>
            <w:tcW w:w="2268" w:type="dxa"/>
            <w:tcBorders>
              <w:bottom w:val="single" w:sz="4" w:space="0" w:color="auto"/>
            </w:tcBorders>
            <w:vAlign w:val="bottom"/>
          </w:tcPr>
          <w:p w14:paraId="4375713F" w14:textId="77777777" w:rsidR="009E6CB7" w:rsidRPr="000846F8" w:rsidRDefault="009E6CB7" w:rsidP="00B20551">
            <w:pPr>
              <w:spacing w:after="80" w:line="300" w:lineRule="exact"/>
              <w:rPr>
                <w:b/>
                <w:sz w:val="24"/>
                <w:szCs w:val="24"/>
              </w:rPr>
            </w:pPr>
            <w:r w:rsidRPr="000846F8">
              <w:rPr>
                <w:sz w:val="28"/>
                <w:szCs w:val="28"/>
              </w:rPr>
              <w:t>United Nations</w:t>
            </w:r>
          </w:p>
        </w:tc>
        <w:tc>
          <w:tcPr>
            <w:tcW w:w="6095" w:type="dxa"/>
            <w:gridSpan w:val="2"/>
            <w:tcBorders>
              <w:bottom w:val="single" w:sz="4" w:space="0" w:color="auto"/>
            </w:tcBorders>
            <w:vAlign w:val="bottom"/>
          </w:tcPr>
          <w:p w14:paraId="0B865136" w14:textId="43FD0B65" w:rsidR="009E6CB7" w:rsidRPr="000846F8" w:rsidRDefault="000B1EA4" w:rsidP="000B1EA4">
            <w:pPr>
              <w:jc w:val="right"/>
            </w:pPr>
            <w:r w:rsidRPr="000846F8">
              <w:rPr>
                <w:sz w:val="40"/>
              </w:rPr>
              <w:t>ECE</w:t>
            </w:r>
            <w:r w:rsidRPr="000846F8">
              <w:t>/TRANS/WP.29/GRSG/202</w:t>
            </w:r>
            <w:r w:rsidR="00A90B43">
              <w:t>6</w:t>
            </w:r>
            <w:r w:rsidRPr="000846F8">
              <w:t>/</w:t>
            </w:r>
            <w:r w:rsidR="00435B9E">
              <w:t>9</w:t>
            </w:r>
          </w:p>
        </w:tc>
      </w:tr>
      <w:bookmarkEnd w:id="0"/>
      <w:tr w:rsidR="009E6CB7" w:rsidRPr="000846F8" w14:paraId="70D30756" w14:textId="77777777" w:rsidTr="00B20551">
        <w:trPr>
          <w:cantSplit/>
          <w:trHeight w:hRule="exact" w:val="2835"/>
        </w:trPr>
        <w:tc>
          <w:tcPr>
            <w:tcW w:w="1276" w:type="dxa"/>
            <w:tcBorders>
              <w:top w:val="single" w:sz="4" w:space="0" w:color="auto"/>
              <w:bottom w:val="single" w:sz="12" w:space="0" w:color="auto"/>
            </w:tcBorders>
          </w:tcPr>
          <w:p w14:paraId="2CEBC36D" w14:textId="77777777" w:rsidR="009E6CB7" w:rsidRPr="000846F8" w:rsidRDefault="00686A48" w:rsidP="00B20551">
            <w:pPr>
              <w:spacing w:before="120"/>
            </w:pPr>
            <w:r w:rsidRPr="000846F8">
              <w:rPr>
                <w:noProof/>
                <w:lang w:eastAsia="fr-CH"/>
              </w:rPr>
              <w:drawing>
                <wp:inline distT="0" distB="0" distL="0" distR="0" wp14:anchorId="65B40180" wp14:editId="45AA87CE">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BB50097" w14:textId="77777777" w:rsidR="009E6CB7" w:rsidRPr="000846F8" w:rsidRDefault="009E6CB7" w:rsidP="00B20551">
            <w:pPr>
              <w:spacing w:before="120" w:line="420" w:lineRule="exact"/>
              <w:rPr>
                <w:sz w:val="40"/>
                <w:szCs w:val="40"/>
              </w:rPr>
            </w:pPr>
            <w:r w:rsidRPr="000846F8">
              <w:rPr>
                <w:b/>
                <w:sz w:val="40"/>
                <w:szCs w:val="40"/>
              </w:rPr>
              <w:t>Economic and Social Council</w:t>
            </w:r>
          </w:p>
        </w:tc>
        <w:tc>
          <w:tcPr>
            <w:tcW w:w="2835" w:type="dxa"/>
            <w:tcBorders>
              <w:top w:val="single" w:sz="4" w:space="0" w:color="auto"/>
              <w:bottom w:val="single" w:sz="12" w:space="0" w:color="auto"/>
            </w:tcBorders>
          </w:tcPr>
          <w:p w14:paraId="6BCD7B19" w14:textId="77777777" w:rsidR="009E6CB7" w:rsidRPr="000846F8" w:rsidRDefault="000B1EA4" w:rsidP="000B1EA4">
            <w:pPr>
              <w:spacing w:before="240" w:line="240" w:lineRule="exact"/>
            </w:pPr>
            <w:r w:rsidRPr="000846F8">
              <w:t>Distr.: General</w:t>
            </w:r>
          </w:p>
          <w:p w14:paraId="7136A103" w14:textId="758A2467" w:rsidR="000B1EA4" w:rsidRPr="000846F8" w:rsidRDefault="00F56755" w:rsidP="000B1EA4">
            <w:pPr>
              <w:spacing w:line="240" w:lineRule="exact"/>
            </w:pPr>
            <w:r>
              <w:t>28</w:t>
            </w:r>
            <w:r w:rsidR="00A90B43">
              <w:t xml:space="preserve"> January 2026</w:t>
            </w:r>
          </w:p>
          <w:p w14:paraId="43DFD53D" w14:textId="77777777" w:rsidR="000B1EA4" w:rsidRPr="000846F8" w:rsidRDefault="000B1EA4" w:rsidP="000B1EA4">
            <w:pPr>
              <w:spacing w:line="240" w:lineRule="exact"/>
            </w:pPr>
          </w:p>
          <w:p w14:paraId="19E49273" w14:textId="7D04516F" w:rsidR="000B1EA4" w:rsidRPr="000846F8" w:rsidRDefault="000B1EA4" w:rsidP="000B1EA4">
            <w:pPr>
              <w:spacing w:line="240" w:lineRule="exact"/>
            </w:pPr>
            <w:r w:rsidRPr="000846F8">
              <w:t>Original: English</w:t>
            </w:r>
          </w:p>
        </w:tc>
      </w:tr>
    </w:tbl>
    <w:p w14:paraId="27E68FDE" w14:textId="77777777" w:rsidR="000B1EA4" w:rsidRPr="000846F8" w:rsidRDefault="000B1EA4" w:rsidP="000B1EA4">
      <w:pPr>
        <w:spacing w:before="120"/>
        <w:rPr>
          <w:b/>
          <w:sz w:val="28"/>
          <w:szCs w:val="28"/>
        </w:rPr>
      </w:pPr>
      <w:r w:rsidRPr="000846F8">
        <w:rPr>
          <w:b/>
          <w:sz w:val="28"/>
          <w:szCs w:val="28"/>
        </w:rPr>
        <w:t>Economic Commission for Europe</w:t>
      </w:r>
    </w:p>
    <w:p w14:paraId="5329F34A" w14:textId="77777777" w:rsidR="000B1EA4" w:rsidRPr="000846F8" w:rsidRDefault="000B1EA4" w:rsidP="000B1EA4">
      <w:pPr>
        <w:spacing w:before="120"/>
        <w:rPr>
          <w:sz w:val="28"/>
          <w:szCs w:val="28"/>
        </w:rPr>
      </w:pPr>
      <w:r w:rsidRPr="000846F8">
        <w:rPr>
          <w:sz w:val="28"/>
          <w:szCs w:val="28"/>
        </w:rPr>
        <w:t>Inland Transport Committee</w:t>
      </w:r>
    </w:p>
    <w:p w14:paraId="0B674E34" w14:textId="77777777" w:rsidR="000B1EA4" w:rsidRPr="000846F8" w:rsidRDefault="000B1EA4" w:rsidP="000B1EA4">
      <w:pPr>
        <w:spacing w:before="120"/>
        <w:rPr>
          <w:b/>
          <w:sz w:val="24"/>
          <w:szCs w:val="24"/>
        </w:rPr>
      </w:pPr>
      <w:r w:rsidRPr="000846F8">
        <w:rPr>
          <w:b/>
          <w:sz w:val="24"/>
          <w:szCs w:val="24"/>
        </w:rPr>
        <w:t>World Forum for Harmonization of Vehicle Regulations</w:t>
      </w:r>
    </w:p>
    <w:p w14:paraId="152FDF16" w14:textId="77777777" w:rsidR="000B1EA4" w:rsidRPr="000846F8" w:rsidRDefault="000B1EA4" w:rsidP="000B1EA4">
      <w:pPr>
        <w:spacing w:before="120"/>
        <w:rPr>
          <w:b/>
        </w:rPr>
      </w:pPr>
      <w:r w:rsidRPr="000846F8">
        <w:rPr>
          <w:b/>
        </w:rPr>
        <w:t>Working Party on General Safety Provisions</w:t>
      </w:r>
    </w:p>
    <w:p w14:paraId="688DF953" w14:textId="02B8CAEA" w:rsidR="000B1EA4" w:rsidRPr="000846F8" w:rsidRDefault="000B1EA4" w:rsidP="000B1EA4">
      <w:pPr>
        <w:spacing w:before="120"/>
        <w:rPr>
          <w:bCs/>
        </w:rPr>
      </w:pPr>
      <w:r w:rsidRPr="000846F8">
        <w:rPr>
          <w:b/>
        </w:rPr>
        <w:t>1</w:t>
      </w:r>
      <w:r w:rsidR="00586555">
        <w:rPr>
          <w:b/>
        </w:rPr>
        <w:t>3</w:t>
      </w:r>
      <w:r w:rsidR="00A90B43">
        <w:rPr>
          <w:b/>
        </w:rPr>
        <w:t>1st</w:t>
      </w:r>
      <w:r w:rsidRPr="000846F8">
        <w:rPr>
          <w:b/>
        </w:rPr>
        <w:t xml:space="preserve"> session</w:t>
      </w:r>
    </w:p>
    <w:p w14:paraId="29A2D70C" w14:textId="6BFCAAAC" w:rsidR="000B1EA4" w:rsidRPr="000846F8" w:rsidRDefault="000B1EA4" w:rsidP="000B1EA4">
      <w:pPr>
        <w:rPr>
          <w:b/>
          <w:bCs/>
        </w:rPr>
      </w:pPr>
      <w:r w:rsidRPr="000846F8">
        <w:t xml:space="preserve">Geneva, </w:t>
      </w:r>
      <w:r w:rsidR="00A90B43">
        <w:rPr>
          <w:lang w:eastAsia="ko-KR"/>
        </w:rPr>
        <w:t>13</w:t>
      </w:r>
      <w:r w:rsidR="000846F8" w:rsidRPr="00F60022">
        <w:t>–</w:t>
      </w:r>
      <w:r w:rsidR="00A90B43">
        <w:t>17</w:t>
      </w:r>
      <w:r w:rsidRPr="000846F8">
        <w:t xml:space="preserve"> </w:t>
      </w:r>
      <w:r w:rsidR="00A90B43">
        <w:rPr>
          <w:lang w:eastAsia="ko-KR"/>
        </w:rPr>
        <w:t>April</w:t>
      </w:r>
      <w:r w:rsidRPr="000846F8">
        <w:t xml:space="preserve"> 202</w:t>
      </w:r>
      <w:r w:rsidR="00A90B43">
        <w:t>6</w:t>
      </w:r>
    </w:p>
    <w:p w14:paraId="67209E6E" w14:textId="613728AF" w:rsidR="000B1EA4" w:rsidRPr="000846F8" w:rsidRDefault="000B1EA4" w:rsidP="000B1EA4">
      <w:r w:rsidRPr="000846F8">
        <w:t xml:space="preserve">Item </w:t>
      </w:r>
      <w:r w:rsidR="001C15C9">
        <w:t>1</w:t>
      </w:r>
      <w:r w:rsidR="00A90B43">
        <w:rPr>
          <w:lang w:eastAsia="ko-KR"/>
        </w:rPr>
        <w:t>3</w:t>
      </w:r>
      <w:r w:rsidRPr="000846F8">
        <w:rPr>
          <w:lang w:eastAsia="ko-KR"/>
        </w:rPr>
        <w:t>(</w:t>
      </w:r>
      <w:r w:rsidR="001C15C9">
        <w:rPr>
          <w:lang w:eastAsia="ko-KR"/>
        </w:rPr>
        <w:t>b</w:t>
      </w:r>
      <w:r w:rsidRPr="000846F8">
        <w:rPr>
          <w:lang w:eastAsia="ko-KR"/>
        </w:rPr>
        <w:t>)</w:t>
      </w:r>
      <w:r w:rsidRPr="000846F8">
        <w:t xml:space="preserve"> of the </w:t>
      </w:r>
      <w:r w:rsidR="00B45D2C" w:rsidRPr="000846F8">
        <w:t>provisional agenda</w:t>
      </w:r>
    </w:p>
    <w:p w14:paraId="2D0D653A" w14:textId="05093FEB" w:rsidR="000E30C6" w:rsidRPr="000846F8" w:rsidRDefault="000E30C6" w:rsidP="000E30C6">
      <w:pPr>
        <w:rPr>
          <w:b/>
        </w:rPr>
      </w:pPr>
      <w:r w:rsidRPr="00C4353D">
        <w:rPr>
          <w:b/>
        </w:rPr>
        <w:t xml:space="preserve">Exchange of </w:t>
      </w:r>
      <w:r w:rsidR="00B45D2C" w:rsidRPr="00C4353D">
        <w:rPr>
          <w:b/>
        </w:rPr>
        <w:t>views on vehicle automation</w:t>
      </w:r>
      <w:r w:rsidRPr="000846F8">
        <w:rPr>
          <w:b/>
        </w:rPr>
        <w:t>:</w:t>
      </w:r>
    </w:p>
    <w:p w14:paraId="419BF7A6" w14:textId="685633C0" w:rsidR="000B1EA4" w:rsidRPr="000846F8" w:rsidRDefault="000E30C6" w:rsidP="000E30C6">
      <w:pPr>
        <w:rPr>
          <w:b/>
        </w:rPr>
      </w:pPr>
      <w:r w:rsidRPr="00C93D45">
        <w:rPr>
          <w:b/>
        </w:rPr>
        <w:t xml:space="preserve">Categorization of </w:t>
      </w:r>
      <w:r w:rsidR="00B45D2C" w:rsidRPr="00C93D45">
        <w:rPr>
          <w:b/>
        </w:rPr>
        <w:t>automated vehicles and autonomous vehicle regulation screening</w:t>
      </w:r>
    </w:p>
    <w:p w14:paraId="17787B84" w14:textId="0DCC13A6" w:rsidR="000B1EA4" w:rsidRPr="000846F8" w:rsidRDefault="000B1EA4" w:rsidP="000B1EA4">
      <w:pPr>
        <w:pStyle w:val="HChG"/>
        <w:ind w:left="1124" w:right="1138" w:firstLine="0"/>
      </w:pPr>
      <w:r w:rsidRPr="000846F8">
        <w:rPr>
          <w:szCs w:val="28"/>
        </w:rPr>
        <w:tab/>
        <w:t xml:space="preserve">Proposal for </w:t>
      </w:r>
      <w:r w:rsidR="002B39D7">
        <w:rPr>
          <w:szCs w:val="28"/>
        </w:rPr>
        <w:t xml:space="preserve">supplement </w:t>
      </w:r>
      <w:r w:rsidR="00822E0A">
        <w:rPr>
          <w:szCs w:val="28"/>
        </w:rPr>
        <w:t>2</w:t>
      </w:r>
      <w:r w:rsidR="002B39D7">
        <w:rPr>
          <w:szCs w:val="28"/>
        </w:rPr>
        <w:t xml:space="preserve"> to the </w:t>
      </w:r>
      <w:r w:rsidR="002B39D7" w:rsidRPr="000846F8">
        <w:rPr>
          <w:szCs w:val="28"/>
        </w:rPr>
        <w:t>0</w:t>
      </w:r>
      <w:r w:rsidR="00822E0A">
        <w:rPr>
          <w:szCs w:val="28"/>
        </w:rPr>
        <w:t>1</w:t>
      </w:r>
      <w:r w:rsidR="002B39D7" w:rsidRPr="000846F8">
        <w:rPr>
          <w:szCs w:val="28"/>
        </w:rPr>
        <w:t xml:space="preserve"> Series of Amendments to </w:t>
      </w:r>
      <w:r w:rsidR="002B39D7">
        <w:rPr>
          <w:szCs w:val="28"/>
        </w:rPr>
        <w:t xml:space="preserve">UN </w:t>
      </w:r>
      <w:r w:rsidR="002B39D7" w:rsidRPr="000846F8">
        <w:rPr>
          <w:szCs w:val="28"/>
        </w:rPr>
        <w:t>Regulation No.</w:t>
      </w:r>
      <w:r w:rsidR="002B39D7" w:rsidRPr="000846F8">
        <w:t> </w:t>
      </w:r>
      <w:r w:rsidR="002B39D7">
        <w:rPr>
          <w:szCs w:val="28"/>
        </w:rPr>
        <w:t>1</w:t>
      </w:r>
      <w:r w:rsidR="00A314E3">
        <w:rPr>
          <w:szCs w:val="28"/>
        </w:rPr>
        <w:t>44</w:t>
      </w:r>
      <w:r w:rsidR="002B39D7" w:rsidRPr="000846F8">
        <w:rPr>
          <w:szCs w:val="28"/>
        </w:rPr>
        <w:t xml:space="preserve"> (</w:t>
      </w:r>
      <w:r w:rsidR="00CF22F6" w:rsidRPr="006B7A3B">
        <w:t>Accident Emergency Call Systems</w:t>
      </w:r>
      <w:r w:rsidR="002B39D7" w:rsidRPr="000846F8">
        <w:rPr>
          <w:szCs w:val="28"/>
        </w:rPr>
        <w:t>)</w:t>
      </w:r>
      <w:r w:rsidRPr="000846F8">
        <w:t xml:space="preserve"> </w:t>
      </w:r>
    </w:p>
    <w:p w14:paraId="04273320" w14:textId="4FA36D24" w:rsidR="000B1EA4" w:rsidRPr="000846F8" w:rsidRDefault="000B1EA4" w:rsidP="000B1EA4">
      <w:pPr>
        <w:pStyle w:val="H1G"/>
        <w:rPr>
          <w:szCs w:val="24"/>
        </w:rPr>
      </w:pPr>
      <w:r w:rsidRPr="000846F8">
        <w:tab/>
      </w:r>
      <w:r w:rsidRPr="000846F8">
        <w:tab/>
        <w:t xml:space="preserve">Submitted by the expert from </w:t>
      </w:r>
      <w:r w:rsidR="004D1435">
        <w:t>the Kingdom of the Netherlands</w:t>
      </w:r>
      <w:r w:rsidRPr="000846F8">
        <w:footnoteReference w:customMarkFollows="1" w:id="2"/>
        <w:t>*</w:t>
      </w:r>
    </w:p>
    <w:p w14:paraId="6EE100A1" w14:textId="5B910C1C" w:rsidR="000B1EA4" w:rsidRPr="000846F8" w:rsidRDefault="000B1EA4" w:rsidP="000B1EA4">
      <w:pPr>
        <w:spacing w:after="120"/>
        <w:ind w:left="1134" w:right="1134" w:firstLine="567"/>
        <w:jc w:val="both"/>
      </w:pPr>
      <w:r w:rsidRPr="000846F8">
        <w:t xml:space="preserve">The text reproduced below was prepared by the expert from </w:t>
      </w:r>
      <w:r w:rsidR="00F84786">
        <w:t>the Kingdom of the Netherlands</w:t>
      </w:r>
      <w:r w:rsidRPr="000846F8">
        <w:t xml:space="preserve"> on behalf of the Task Force on </w:t>
      </w:r>
      <w:r w:rsidR="00F84786">
        <w:t>Automated</w:t>
      </w:r>
      <w:r w:rsidR="00BD47D0">
        <w:t xml:space="preserve"> Vehicles</w:t>
      </w:r>
      <w:r w:rsidR="00F84786">
        <w:t xml:space="preserve"> Regulatory Screening</w:t>
      </w:r>
      <w:r w:rsidRPr="000846F8">
        <w:t xml:space="preserve"> </w:t>
      </w:r>
      <w:r w:rsidR="00762100">
        <w:br/>
      </w:r>
      <w:r w:rsidRPr="000846F8">
        <w:t>(TF</w:t>
      </w:r>
      <w:r w:rsidR="00F84786">
        <w:t>-AVRS</w:t>
      </w:r>
      <w:r w:rsidRPr="000846F8">
        <w:t xml:space="preserve">). </w:t>
      </w:r>
      <w:r w:rsidR="00CB0481">
        <w:t xml:space="preserve">It is based upon </w:t>
      </w:r>
      <w:r w:rsidR="00DA248F">
        <w:t>ECE/TRANS/</w:t>
      </w:r>
      <w:r w:rsidR="00B07D44">
        <w:t>WP.29/</w:t>
      </w:r>
      <w:r w:rsidR="00DA248F">
        <w:t>GRSG/2025/</w:t>
      </w:r>
      <w:r w:rsidR="00056D44">
        <w:t>3</w:t>
      </w:r>
      <w:r w:rsidR="003326FB">
        <w:t>7</w:t>
      </w:r>
      <w:r w:rsidR="00DA248F">
        <w:t xml:space="preserve"> as amended by GRSG-130-</w:t>
      </w:r>
      <w:r w:rsidR="00472133">
        <w:t>5</w:t>
      </w:r>
      <w:r w:rsidR="003326FB">
        <w:t>5</w:t>
      </w:r>
      <w:r w:rsidR="00C9169A">
        <w:t xml:space="preserve">. </w:t>
      </w:r>
      <w:r w:rsidRPr="000846F8">
        <w:t>The modifications to the current text of the UN Regulation are marked in bold for new or strikethrough for deleted characters.</w:t>
      </w:r>
    </w:p>
    <w:p w14:paraId="48E20E8F" w14:textId="77777777" w:rsidR="000B1EA4" w:rsidRPr="000846F8" w:rsidRDefault="000B1EA4" w:rsidP="000B1EA4">
      <w:pPr>
        <w:rPr>
          <w:lang w:eastAsia="ko-KR"/>
        </w:rPr>
      </w:pPr>
      <w:r w:rsidRPr="000846F8">
        <w:rPr>
          <w:lang w:eastAsia="ko-KR"/>
        </w:rPr>
        <w:br w:type="page"/>
      </w:r>
    </w:p>
    <w:p w14:paraId="23555759" w14:textId="2602951A" w:rsidR="000B1EA4" w:rsidRPr="000846F8" w:rsidRDefault="000B1EA4" w:rsidP="000B1EA4">
      <w:pPr>
        <w:keepNext/>
        <w:keepLines/>
        <w:tabs>
          <w:tab w:val="right" w:pos="851"/>
        </w:tabs>
        <w:spacing w:before="360" w:after="240" w:line="300" w:lineRule="exact"/>
        <w:ind w:left="1134" w:right="1134" w:hanging="1134"/>
        <w:rPr>
          <w:b/>
          <w:color w:val="FF0000"/>
          <w:sz w:val="28"/>
        </w:rPr>
      </w:pPr>
      <w:r w:rsidRPr="000846F8">
        <w:rPr>
          <w:b/>
          <w:sz w:val="28"/>
        </w:rPr>
        <w:lastRenderedPageBreak/>
        <w:tab/>
      </w:r>
      <w:r w:rsidRPr="000846F8">
        <w:rPr>
          <w:b/>
          <w:sz w:val="28"/>
        </w:rPr>
        <w:tab/>
        <w:t>Proposal</w:t>
      </w:r>
    </w:p>
    <w:p w14:paraId="67CC1B0D" w14:textId="77777777" w:rsidR="00077A31" w:rsidRPr="00953521" w:rsidRDefault="00077A31" w:rsidP="00077A31">
      <w:pPr>
        <w:autoSpaceDE w:val="0"/>
        <w:autoSpaceDN w:val="0"/>
        <w:adjustRightInd w:val="0"/>
        <w:spacing w:before="120" w:after="120" w:line="240" w:lineRule="auto"/>
        <w:ind w:left="1134" w:right="1134"/>
        <w:jc w:val="both"/>
        <w:rPr>
          <w:rFonts w:eastAsia="DengXian"/>
          <w:iCs/>
          <w:lang w:eastAsia="zh-CN"/>
        </w:rPr>
      </w:pPr>
      <w:r w:rsidRPr="00953521">
        <w:rPr>
          <w:rFonts w:eastAsia="DengXian"/>
          <w:i/>
          <w:lang w:eastAsia="zh-CN"/>
        </w:rPr>
        <w:t>Insert new paragraphs 0. and 0.1. to 0.</w:t>
      </w:r>
      <w:r>
        <w:rPr>
          <w:rFonts w:eastAsia="DengXian"/>
          <w:i/>
          <w:lang w:eastAsia="zh-CN"/>
        </w:rPr>
        <w:t>1.2.</w:t>
      </w:r>
      <w:r w:rsidRPr="00953521">
        <w:rPr>
          <w:rFonts w:eastAsia="DengXian"/>
          <w:i/>
          <w:lang w:eastAsia="zh-CN"/>
        </w:rPr>
        <w:t>,</w:t>
      </w:r>
      <w:r w:rsidRPr="00953521">
        <w:rPr>
          <w:rFonts w:eastAsia="DengXian"/>
          <w:iCs/>
          <w:lang w:eastAsia="zh-CN"/>
        </w:rPr>
        <w:t xml:space="preserve"> to read:</w:t>
      </w:r>
    </w:p>
    <w:p w14:paraId="1C36C0E1" w14:textId="77777777" w:rsidR="00077A31" w:rsidRPr="00953521" w:rsidRDefault="00077A31" w:rsidP="00077A31">
      <w:pPr>
        <w:autoSpaceDE w:val="0"/>
        <w:autoSpaceDN w:val="0"/>
        <w:adjustRightInd w:val="0"/>
        <w:spacing w:before="120" w:after="120" w:line="240" w:lineRule="auto"/>
        <w:ind w:left="567" w:right="1134" w:firstLine="567"/>
        <w:jc w:val="both"/>
        <w:rPr>
          <w:rFonts w:eastAsia="DengXian"/>
          <w:b/>
          <w:bCs/>
          <w:iCs/>
          <w:sz w:val="28"/>
          <w:szCs w:val="28"/>
          <w:lang w:eastAsia="zh-CN"/>
        </w:rPr>
      </w:pPr>
      <w:r>
        <w:rPr>
          <w:rFonts w:eastAsia="DengXian"/>
          <w:b/>
          <w:bCs/>
          <w:iCs/>
          <w:sz w:val="28"/>
          <w:szCs w:val="28"/>
          <w:lang w:eastAsia="zh-CN"/>
        </w:rPr>
        <w:t>"</w:t>
      </w:r>
      <w:r w:rsidRPr="00953521">
        <w:rPr>
          <w:rFonts w:eastAsia="DengXian"/>
          <w:b/>
          <w:bCs/>
          <w:iCs/>
          <w:sz w:val="28"/>
          <w:szCs w:val="28"/>
          <w:lang w:eastAsia="zh-CN"/>
        </w:rPr>
        <w:t>0.</w:t>
      </w:r>
      <w:r w:rsidRPr="00953521">
        <w:rPr>
          <w:rFonts w:eastAsia="DengXian"/>
          <w:b/>
          <w:bCs/>
          <w:iCs/>
          <w:sz w:val="28"/>
          <w:szCs w:val="28"/>
          <w:lang w:eastAsia="zh-CN"/>
        </w:rPr>
        <w:tab/>
      </w:r>
      <w:r w:rsidRPr="00953521">
        <w:rPr>
          <w:rFonts w:eastAsia="DengXian"/>
          <w:b/>
          <w:bCs/>
          <w:iCs/>
          <w:sz w:val="28"/>
          <w:szCs w:val="28"/>
          <w:lang w:eastAsia="zh-CN"/>
        </w:rPr>
        <w:tab/>
        <w:t>Introduction</w:t>
      </w:r>
    </w:p>
    <w:p w14:paraId="7B923494" w14:textId="5C96F3D2" w:rsidR="00077A31" w:rsidRPr="002A6598" w:rsidRDefault="00077A31" w:rsidP="00077A31">
      <w:pPr>
        <w:pStyle w:val="SingleTxtG"/>
        <w:ind w:left="2268" w:hanging="1134"/>
        <w:rPr>
          <w:b/>
          <w:bCs/>
        </w:rPr>
      </w:pPr>
      <w:r w:rsidRPr="002A6598">
        <w:rPr>
          <w:b/>
          <w:bCs/>
        </w:rPr>
        <w:t>0.1.</w:t>
      </w:r>
      <w:r w:rsidRPr="002A6598">
        <w:rPr>
          <w:b/>
          <w:bCs/>
        </w:rPr>
        <w:tab/>
      </w:r>
      <w:r w:rsidRPr="002A6598">
        <w:rPr>
          <w:b/>
          <w:bCs/>
        </w:rPr>
        <w:tab/>
        <w:t xml:space="preserve">Supplement 2 to the 01 series of amendments is introduced to </w:t>
      </w:r>
      <w:proofErr w:type="gramStart"/>
      <w:r w:rsidRPr="002A6598">
        <w:rPr>
          <w:b/>
          <w:bCs/>
        </w:rPr>
        <w:t>take into account</w:t>
      </w:r>
      <w:proofErr w:type="gramEnd"/>
      <w:r w:rsidRPr="002A6598">
        <w:rPr>
          <w:b/>
          <w:bCs/>
        </w:rPr>
        <w:t xml:space="preserve"> vehicles of category X</w:t>
      </w:r>
      <w:r w:rsidRPr="002A6598">
        <w:rPr>
          <w:b/>
          <w:bCs/>
          <w:vertAlign w:val="superscript"/>
        </w:rPr>
        <w:t>1</w:t>
      </w:r>
      <w:r w:rsidRPr="002A6598">
        <w:rPr>
          <w:b/>
          <w:bCs/>
        </w:rPr>
        <w:t xml:space="preserve">, as well as </w:t>
      </w:r>
      <w:r w:rsidR="00A90031" w:rsidRPr="002A6598">
        <w:rPr>
          <w:b/>
          <w:bCs/>
        </w:rPr>
        <w:t xml:space="preserve">other </w:t>
      </w:r>
      <w:r w:rsidRPr="002A6598">
        <w:rPr>
          <w:b/>
          <w:bCs/>
        </w:rPr>
        <w:t>vehicles which are equipped with an Automated Driving System (ADS)</w:t>
      </w:r>
      <w:r w:rsidRPr="002A6598">
        <w:rPr>
          <w:b/>
          <w:bCs/>
          <w:vertAlign w:val="superscript"/>
        </w:rPr>
        <w:t>1</w:t>
      </w:r>
      <w:r w:rsidRPr="002A6598">
        <w:rPr>
          <w:b/>
          <w:bCs/>
        </w:rPr>
        <w:t>.</w:t>
      </w:r>
    </w:p>
    <w:p w14:paraId="32F7FE7D" w14:textId="77777777" w:rsidR="00077A31" w:rsidRPr="002A6598" w:rsidRDefault="00077A31" w:rsidP="00077A31">
      <w:pPr>
        <w:spacing w:line="240" w:lineRule="auto"/>
        <w:ind w:left="2268" w:right="992" w:hanging="1134"/>
        <w:contextualSpacing/>
        <w:jc w:val="both"/>
        <w:rPr>
          <w:rFonts w:eastAsiaTheme="minorEastAsia"/>
          <w:b/>
          <w:bCs/>
        </w:rPr>
      </w:pPr>
      <w:r w:rsidRPr="002A6598">
        <w:rPr>
          <w:rFonts w:eastAsiaTheme="minorEastAsia"/>
          <w:b/>
          <w:bCs/>
        </w:rPr>
        <w:t xml:space="preserve">0.1.1. </w:t>
      </w:r>
      <w:r w:rsidRPr="002A6598">
        <w:rPr>
          <w:rFonts w:eastAsiaTheme="minorEastAsia"/>
          <w:b/>
          <w:bCs/>
        </w:rPr>
        <w:tab/>
        <w:t>The Regulation was originally drafted for vehicles with a driver and manual driving controls. In the absence of occupants in the vehicle, there is no need to fulfil any of the requirements of this Regulation and therefore vehicles of categories Y are exempted from the scope of this Regulation.</w:t>
      </w:r>
    </w:p>
    <w:p w14:paraId="6EEACA76" w14:textId="77777777" w:rsidR="00077A31" w:rsidRPr="002A6598" w:rsidRDefault="00077A31" w:rsidP="00077A31">
      <w:pPr>
        <w:spacing w:line="240" w:lineRule="auto"/>
        <w:ind w:left="2268" w:right="992" w:hanging="1134"/>
        <w:contextualSpacing/>
        <w:jc w:val="both"/>
        <w:rPr>
          <w:rFonts w:eastAsiaTheme="minorEastAsia"/>
          <w:b/>
          <w:bCs/>
        </w:rPr>
      </w:pPr>
    </w:p>
    <w:p w14:paraId="406614E4" w14:textId="654C71B9" w:rsidR="00077A31" w:rsidRPr="00077A31" w:rsidRDefault="00077A31" w:rsidP="00077A31">
      <w:pPr>
        <w:spacing w:line="240" w:lineRule="auto"/>
        <w:ind w:left="2268" w:right="992" w:hanging="1134"/>
        <w:contextualSpacing/>
        <w:jc w:val="both"/>
        <w:rPr>
          <w:rFonts w:eastAsiaTheme="minorEastAsia"/>
        </w:rPr>
      </w:pPr>
      <w:r w:rsidRPr="002A6598">
        <w:rPr>
          <w:rFonts w:eastAsiaTheme="minorEastAsia"/>
          <w:b/>
          <w:bCs/>
        </w:rPr>
        <w:t xml:space="preserve">0.1.2. </w:t>
      </w:r>
      <w:r w:rsidRPr="002A6598">
        <w:rPr>
          <w:rFonts w:eastAsiaTheme="minorEastAsia"/>
          <w:b/>
          <w:bCs/>
        </w:rPr>
        <w:tab/>
        <w:t xml:space="preserve">In </w:t>
      </w:r>
      <w:r w:rsidR="008F0E4C">
        <w:rPr>
          <w:rFonts w:eastAsiaTheme="minorEastAsia"/>
          <w:b/>
          <w:bCs/>
        </w:rPr>
        <w:t xml:space="preserve">the </w:t>
      </w:r>
      <w:r w:rsidRPr="002A6598">
        <w:rPr>
          <w:rFonts w:eastAsiaTheme="minorEastAsia"/>
          <w:b/>
          <w:bCs/>
        </w:rPr>
        <w:t>case of vehicles equipped with an ADS other than vehicles of category X, in the manual driving mode no special provisions or exemptions apply. In a mode where an ADS feature is active, the relevant ADS requirements have to be fulfilled.</w:t>
      </w:r>
      <w:r w:rsidRPr="00077A31">
        <w:rPr>
          <w:rFonts w:eastAsiaTheme="minorEastAsia"/>
        </w:rPr>
        <w:t>"</w:t>
      </w:r>
    </w:p>
    <w:p w14:paraId="273C4AC4" w14:textId="77777777" w:rsidR="00077A31" w:rsidRPr="00374786" w:rsidRDefault="00077A31" w:rsidP="00077A31">
      <w:pPr>
        <w:pStyle w:val="SingleTxtG"/>
        <w:spacing w:before="120"/>
        <w:rPr>
          <w:bCs/>
        </w:rPr>
      </w:pPr>
      <w:r w:rsidRPr="00F252A8">
        <w:rPr>
          <w:i/>
        </w:rPr>
        <w:t>Paragraph</w:t>
      </w:r>
      <w:r>
        <w:rPr>
          <w:i/>
        </w:rPr>
        <w:t>s 1.2. and 1.3.</w:t>
      </w:r>
      <w:r w:rsidRPr="00F252A8">
        <w:rPr>
          <w:i/>
          <w:iCs/>
        </w:rPr>
        <w:t>,</w:t>
      </w:r>
      <w:r>
        <w:rPr>
          <w:i/>
          <w:iCs/>
        </w:rPr>
        <w:t xml:space="preserve"> </w:t>
      </w:r>
      <w:r w:rsidRPr="009345C7">
        <w:t>amend to read:</w:t>
      </w:r>
    </w:p>
    <w:p w14:paraId="4F0D162C" w14:textId="77777777" w:rsidR="00077A31" w:rsidRPr="00A84ABE" w:rsidRDefault="00077A31" w:rsidP="00077A31">
      <w:pPr>
        <w:tabs>
          <w:tab w:val="left" w:pos="2268"/>
        </w:tabs>
        <w:spacing w:before="120" w:after="120" w:line="240" w:lineRule="auto"/>
        <w:ind w:left="2835" w:right="1134" w:hanging="1701"/>
        <w:jc w:val="both"/>
      </w:pPr>
      <w:r>
        <w:rPr>
          <w:rStyle w:val="Hyperlink"/>
          <w:iCs/>
          <w:color w:val="auto"/>
          <w:szCs w:val="18"/>
        </w:rPr>
        <w:t>"</w:t>
      </w:r>
      <w:r w:rsidRPr="00A84ABE">
        <w:t>1.2.</w:t>
      </w:r>
      <w:r w:rsidRPr="00A84ABE">
        <w:tab/>
        <w:t>It does not apply to:</w:t>
      </w:r>
    </w:p>
    <w:p w14:paraId="44186F13" w14:textId="77777777" w:rsidR="00077A31" w:rsidRPr="00A84ABE" w:rsidRDefault="00077A31" w:rsidP="00077A31">
      <w:pPr>
        <w:tabs>
          <w:tab w:val="left" w:pos="2835"/>
        </w:tabs>
        <w:spacing w:before="120" w:after="120" w:line="240" w:lineRule="auto"/>
        <w:ind w:left="2835" w:right="1134" w:hanging="567"/>
        <w:jc w:val="both"/>
      </w:pPr>
      <w:r w:rsidRPr="00A84ABE">
        <w:t>(a)</w:t>
      </w:r>
      <w:r w:rsidRPr="00A84ABE">
        <w:tab/>
      </w:r>
      <w:r>
        <w:t>C</w:t>
      </w:r>
      <w:r w:rsidRPr="00A84ABE">
        <w:t xml:space="preserve">ommunication module functionality and communication antenna functionality, unless otherwise prescribed in this </w:t>
      </w:r>
      <w:proofErr w:type="gramStart"/>
      <w:r w:rsidRPr="00A84ABE">
        <w:t>Regulation;</w:t>
      </w:r>
      <w:proofErr w:type="gramEnd"/>
    </w:p>
    <w:p w14:paraId="786A049D" w14:textId="77777777" w:rsidR="00077A31" w:rsidRPr="00A84ABE" w:rsidRDefault="00077A31" w:rsidP="00435B9E">
      <w:pPr>
        <w:tabs>
          <w:tab w:val="left" w:pos="2835"/>
        </w:tabs>
        <w:spacing w:before="120" w:after="120" w:line="240" w:lineRule="auto"/>
        <w:ind w:left="2835" w:right="1134" w:hanging="567"/>
        <w:jc w:val="both"/>
      </w:pPr>
      <w:r w:rsidRPr="00A84ABE">
        <w:t>(b)</w:t>
      </w:r>
      <w:r w:rsidRPr="00A84ABE">
        <w:tab/>
      </w:r>
      <w:r>
        <w:t>T</w:t>
      </w:r>
      <w:r w:rsidRPr="00A84ABE">
        <w:t xml:space="preserve">he additional data to the Minimum Set of Data (MSD) to be convened to Public Service Answering Party (PSAP), the format of the data, the mechanism and logic of data transmission, data exchange protocol, operation modes and conditions of transitions between such modes, performance of the test call and test data transfer, response to protocol commands received from infrastructure and network registration </w:t>
      </w:r>
      <w:proofErr w:type="gramStart"/>
      <w:r w:rsidRPr="00A84ABE">
        <w:t>logic;</w:t>
      </w:r>
      <w:proofErr w:type="gramEnd"/>
    </w:p>
    <w:p w14:paraId="163FFDA3" w14:textId="77777777" w:rsidR="00077A31" w:rsidRPr="00A84ABE" w:rsidRDefault="00077A31" w:rsidP="00077A31">
      <w:pPr>
        <w:tabs>
          <w:tab w:val="left" w:pos="2835"/>
        </w:tabs>
        <w:spacing w:before="120" w:after="120" w:line="240" w:lineRule="auto"/>
        <w:ind w:left="2835" w:right="1134" w:hanging="567"/>
        <w:jc w:val="both"/>
      </w:pPr>
      <w:r w:rsidRPr="00A84ABE">
        <w:t>(c)</w:t>
      </w:r>
      <w:r w:rsidRPr="00A84ABE">
        <w:tab/>
      </w:r>
      <w:r>
        <w:t>P</w:t>
      </w:r>
      <w:r w:rsidRPr="00A84ABE">
        <w:t xml:space="preserve">rivacy, data protection and personal data </w:t>
      </w:r>
      <w:proofErr w:type="gramStart"/>
      <w:r w:rsidRPr="00A84ABE">
        <w:t>processing;</w:t>
      </w:r>
      <w:proofErr w:type="gramEnd"/>
    </w:p>
    <w:p w14:paraId="2FF220C5" w14:textId="77777777" w:rsidR="00077A31" w:rsidRPr="00A84ABE" w:rsidRDefault="00077A31" w:rsidP="00077A31">
      <w:pPr>
        <w:tabs>
          <w:tab w:val="left" w:pos="2835"/>
        </w:tabs>
        <w:spacing w:before="120" w:after="120" w:line="240" w:lineRule="auto"/>
        <w:ind w:left="2835" w:right="1134" w:hanging="567"/>
        <w:jc w:val="both"/>
      </w:pPr>
      <w:r w:rsidRPr="00A84ABE">
        <w:t>(d)</w:t>
      </w:r>
      <w:r w:rsidRPr="00A84ABE">
        <w:tab/>
        <w:t>Periodical Technical Inspection (PTI</w:t>
      </w:r>
      <w:proofErr w:type="gramStart"/>
      <w:r w:rsidRPr="00A84ABE">
        <w:t>);</w:t>
      </w:r>
      <w:proofErr w:type="gramEnd"/>
    </w:p>
    <w:p w14:paraId="76DFF523" w14:textId="77777777" w:rsidR="00077A31" w:rsidRDefault="00077A31" w:rsidP="00077A31">
      <w:pPr>
        <w:tabs>
          <w:tab w:val="left" w:pos="2835"/>
        </w:tabs>
        <w:spacing w:before="120" w:after="120" w:line="240" w:lineRule="auto"/>
        <w:ind w:left="2835" w:right="1134" w:hanging="567"/>
        <w:jc w:val="both"/>
        <w:rPr>
          <w:b/>
        </w:rPr>
      </w:pPr>
      <w:r w:rsidRPr="00A84ABE">
        <w:t>(e)</w:t>
      </w:r>
      <w:r w:rsidRPr="00A84ABE">
        <w:tab/>
      </w:r>
      <w:r>
        <w:t>A</w:t>
      </w:r>
      <w:r w:rsidRPr="00A84ABE">
        <w:t xml:space="preserve">utomatic triggering of AECS </w:t>
      </w:r>
      <w:r w:rsidRPr="00A84ABE">
        <w:rPr>
          <w:lang w:val="en-US"/>
        </w:rPr>
        <w:t xml:space="preserve">in case of </w:t>
      </w:r>
      <w:r w:rsidRPr="00A84ABE">
        <w:t xml:space="preserve">vehicle </w:t>
      </w:r>
      <w:proofErr w:type="gramStart"/>
      <w:r w:rsidRPr="00A84ABE">
        <w:t>rollover</w:t>
      </w:r>
      <w:r w:rsidRPr="00BD7A07">
        <w:rPr>
          <w:b/>
        </w:rPr>
        <w:t>;</w:t>
      </w:r>
      <w:proofErr w:type="gramEnd"/>
    </w:p>
    <w:p w14:paraId="08CC3C2D" w14:textId="025AC527" w:rsidR="00077A31" w:rsidRPr="00A84ABE" w:rsidRDefault="00077A31" w:rsidP="00077A31">
      <w:pPr>
        <w:tabs>
          <w:tab w:val="left" w:pos="2835"/>
        </w:tabs>
        <w:spacing w:before="120" w:after="120" w:line="240" w:lineRule="auto"/>
        <w:ind w:left="2835" w:right="1134" w:hanging="567"/>
        <w:jc w:val="both"/>
      </w:pPr>
      <w:r>
        <w:rPr>
          <w:b/>
        </w:rPr>
        <w:t>(f)</w:t>
      </w:r>
      <w:r>
        <w:rPr>
          <w:b/>
        </w:rPr>
        <w:tab/>
        <w:t xml:space="preserve">Manual triggering of Accident Emergency Call System (AECS) while both an </w:t>
      </w:r>
      <w:r>
        <w:rPr>
          <w:b/>
          <w:bCs/>
        </w:rPr>
        <w:t>A</w:t>
      </w:r>
      <w:r w:rsidR="000443CE">
        <w:rPr>
          <w:b/>
          <w:bCs/>
        </w:rPr>
        <w:t>DS</w:t>
      </w:r>
      <w:r>
        <w:rPr>
          <w:b/>
        </w:rPr>
        <w:t xml:space="preserve"> Feature </w:t>
      </w:r>
      <w:r w:rsidR="000443CE">
        <w:rPr>
          <w:b/>
        </w:rPr>
        <w:t xml:space="preserve">of </w:t>
      </w:r>
      <w:r w:rsidR="0063588F">
        <w:rPr>
          <w:b/>
        </w:rPr>
        <w:t xml:space="preserve">type </w:t>
      </w:r>
      <w:r>
        <w:rPr>
          <w:b/>
        </w:rPr>
        <w:t>2 (ADSF-2) is active, and the vehicle is not carrying passengers</w:t>
      </w:r>
      <w:r w:rsidRPr="00A84ABE">
        <w:t>.</w:t>
      </w:r>
    </w:p>
    <w:p w14:paraId="1E2D3296" w14:textId="77777777" w:rsidR="00077A31" w:rsidRPr="00A84ABE" w:rsidRDefault="00077A31" w:rsidP="00077A31">
      <w:pPr>
        <w:tabs>
          <w:tab w:val="left" w:pos="2268"/>
        </w:tabs>
        <w:spacing w:before="120" w:after="120" w:line="240" w:lineRule="auto"/>
        <w:ind w:left="2835" w:right="1134" w:hanging="1701"/>
        <w:jc w:val="both"/>
      </w:pPr>
      <w:r w:rsidRPr="00A84ABE">
        <w:t>1.3.</w:t>
      </w:r>
      <w:r w:rsidRPr="00A84ABE">
        <w:tab/>
        <w:t>Vehicles,</w:t>
      </w:r>
    </w:p>
    <w:p w14:paraId="46FA6CB9" w14:textId="77777777" w:rsidR="00077A31" w:rsidRPr="008501A8" w:rsidRDefault="00077A31" w:rsidP="00077A31">
      <w:pPr>
        <w:tabs>
          <w:tab w:val="left" w:pos="2835"/>
        </w:tabs>
        <w:spacing w:before="120" w:after="120" w:line="240" w:lineRule="auto"/>
        <w:ind w:left="2835" w:right="1134" w:hanging="567"/>
        <w:jc w:val="both"/>
      </w:pPr>
      <w:r w:rsidRPr="008501A8">
        <w:t xml:space="preserve">(a) </w:t>
      </w:r>
      <w:r w:rsidRPr="008501A8">
        <w:tab/>
        <w:t xml:space="preserve">In the scope of neither UN Regulation No. 94 nor UN Regulation No. 95 and not fitted with an automatic triggering of an </w:t>
      </w:r>
      <w:proofErr w:type="gramStart"/>
      <w:r w:rsidRPr="008501A8">
        <w:t>AECS;</w:t>
      </w:r>
      <w:proofErr w:type="gramEnd"/>
      <w:r w:rsidRPr="008501A8">
        <w:t xml:space="preserve"> </w:t>
      </w:r>
    </w:p>
    <w:p w14:paraId="1029D2F2" w14:textId="77777777" w:rsidR="00077A31" w:rsidRPr="008501A8" w:rsidRDefault="00077A31" w:rsidP="00077A31">
      <w:pPr>
        <w:tabs>
          <w:tab w:val="left" w:pos="2835"/>
        </w:tabs>
        <w:spacing w:before="120" w:after="120" w:line="240" w:lineRule="auto"/>
        <w:ind w:left="2835" w:right="1134" w:hanging="567"/>
        <w:jc w:val="both"/>
      </w:pPr>
      <w:r w:rsidRPr="008501A8">
        <w:t xml:space="preserve">(b) </w:t>
      </w:r>
      <w:r w:rsidRPr="008501A8">
        <w:tab/>
        <w:t>Of category M</w:t>
      </w:r>
      <w:r w:rsidRPr="00056B94">
        <w:rPr>
          <w:vertAlign w:val="subscript"/>
        </w:rPr>
        <w:t>1</w:t>
      </w:r>
      <w:r w:rsidRPr="008501A8">
        <w:t xml:space="preserve"> with a total permissible mass above 3.5 t; </w:t>
      </w:r>
      <w:r w:rsidRPr="008501A8">
        <w:rPr>
          <w:strike/>
        </w:rPr>
        <w:t>and</w:t>
      </w:r>
      <w:r w:rsidRPr="008501A8">
        <w:t xml:space="preserve"> </w:t>
      </w:r>
    </w:p>
    <w:p w14:paraId="2F8E4A4F" w14:textId="77777777" w:rsidR="00077A31" w:rsidRDefault="00077A31" w:rsidP="00077A31">
      <w:pPr>
        <w:tabs>
          <w:tab w:val="left" w:pos="2835"/>
        </w:tabs>
        <w:spacing w:before="120" w:after="120" w:line="240" w:lineRule="auto"/>
        <w:ind w:left="2835" w:right="1134" w:hanging="567"/>
        <w:jc w:val="both"/>
      </w:pPr>
      <w:r w:rsidRPr="008501A8">
        <w:t xml:space="preserve">(с) </w:t>
      </w:r>
      <w:r w:rsidRPr="008501A8">
        <w:tab/>
        <w:t>Armoured vehicles</w:t>
      </w:r>
      <w:r w:rsidRPr="008501A8">
        <w:rPr>
          <w:vertAlign w:val="superscript"/>
        </w:rPr>
        <w:t>1</w:t>
      </w:r>
      <w:r w:rsidRPr="008501A8">
        <w:rPr>
          <w:b/>
        </w:rPr>
        <w:t>;</w:t>
      </w:r>
      <w:r w:rsidRPr="00D026D8">
        <w:rPr>
          <w:b/>
        </w:rPr>
        <w:t xml:space="preserve"> and</w:t>
      </w:r>
    </w:p>
    <w:p w14:paraId="00C57B9D" w14:textId="77777777" w:rsidR="00077A31" w:rsidRPr="00D026D8" w:rsidRDefault="00077A31" w:rsidP="00077A31">
      <w:pPr>
        <w:tabs>
          <w:tab w:val="left" w:pos="2835"/>
        </w:tabs>
        <w:spacing w:before="120" w:after="120" w:line="240" w:lineRule="auto"/>
        <w:ind w:left="2835" w:right="1134" w:hanging="567"/>
        <w:jc w:val="both"/>
        <w:rPr>
          <w:b/>
        </w:rPr>
      </w:pPr>
      <w:r w:rsidRPr="00D026D8">
        <w:rPr>
          <w:b/>
        </w:rPr>
        <w:t xml:space="preserve">(d) </w:t>
      </w:r>
      <w:r w:rsidRPr="00D026D8">
        <w:rPr>
          <w:b/>
        </w:rPr>
        <w:tab/>
      </w:r>
      <w:r>
        <w:rPr>
          <w:b/>
        </w:rPr>
        <w:t>O</w:t>
      </w:r>
      <w:r w:rsidRPr="00D026D8">
        <w:rPr>
          <w:b/>
        </w:rPr>
        <w:t>f category Y</w:t>
      </w:r>
    </w:p>
    <w:p w14:paraId="3323F161" w14:textId="77777777" w:rsidR="00077A31" w:rsidRPr="00374786" w:rsidRDefault="00077A31" w:rsidP="00077A31">
      <w:pPr>
        <w:spacing w:before="120" w:after="120" w:line="240" w:lineRule="auto"/>
        <w:ind w:left="3402" w:right="1134" w:hanging="1134"/>
        <w:jc w:val="both"/>
      </w:pPr>
      <w:r w:rsidRPr="00A84ABE">
        <w:t>shall be excluded from the scope of this Regulation.</w:t>
      </w:r>
      <w:r>
        <w:rPr>
          <w:rStyle w:val="Hyperlink"/>
          <w:iCs/>
          <w:color w:val="auto"/>
          <w:szCs w:val="18"/>
        </w:rPr>
        <w:t>"</w:t>
      </w:r>
    </w:p>
    <w:p w14:paraId="04EFEAB0" w14:textId="77777777" w:rsidR="00077A31" w:rsidRPr="000E112B" w:rsidRDefault="00077A31" w:rsidP="00077A31">
      <w:pPr>
        <w:pStyle w:val="ListParagraph"/>
        <w:adjustRightInd w:val="0"/>
        <w:snapToGrid w:val="0"/>
        <w:spacing w:after="120" w:line="240" w:lineRule="auto"/>
        <w:ind w:left="2254" w:right="1134"/>
        <w:jc w:val="both"/>
      </w:pPr>
    </w:p>
    <w:p w14:paraId="030B15C1" w14:textId="77777777" w:rsidR="00077A31" w:rsidRPr="0008142F" w:rsidRDefault="00077A31" w:rsidP="00077A31">
      <w:pPr>
        <w:autoSpaceDE w:val="0"/>
        <w:autoSpaceDN w:val="0"/>
        <w:adjustRightInd w:val="0"/>
        <w:spacing w:before="120" w:after="120" w:line="240" w:lineRule="auto"/>
        <w:ind w:left="567" w:right="1134" w:firstLine="567"/>
        <w:jc w:val="both"/>
        <w:rPr>
          <w:rFonts w:eastAsia="DengXian"/>
          <w:i/>
          <w:lang w:eastAsia="zh-CN"/>
        </w:rPr>
      </w:pPr>
      <w:r>
        <w:rPr>
          <w:rFonts w:eastAsia="DengXian"/>
          <w:i/>
          <w:lang w:eastAsia="zh-CN"/>
        </w:rPr>
        <w:t>F</w:t>
      </w:r>
      <w:r w:rsidRPr="0008142F">
        <w:rPr>
          <w:rFonts w:eastAsia="DengXian"/>
          <w:i/>
          <w:lang w:eastAsia="zh-CN"/>
        </w:rPr>
        <w:t xml:space="preserve">ootnote 1, </w:t>
      </w:r>
      <w:r w:rsidRPr="0008142F">
        <w:rPr>
          <w:rFonts w:eastAsia="DengXian"/>
          <w:iCs/>
          <w:lang w:eastAsia="zh-CN"/>
        </w:rPr>
        <w:t>amend to read:</w:t>
      </w:r>
    </w:p>
    <w:p w14:paraId="5B4E4499" w14:textId="77777777" w:rsidR="00077A31" w:rsidRPr="00A123FD" w:rsidRDefault="00077A31" w:rsidP="00077A31">
      <w:pPr>
        <w:pStyle w:val="FootnoteText"/>
        <w:widowControl w:val="0"/>
        <w:ind w:firstLine="0"/>
        <w:rPr>
          <w:iCs/>
          <w:color w:val="0000FF"/>
          <w:szCs w:val="18"/>
          <w:lang w:val="fr-CH"/>
        </w:rPr>
      </w:pPr>
      <w:r>
        <w:rPr>
          <w:rStyle w:val="Hyperlink"/>
          <w:iCs/>
          <w:color w:val="auto"/>
          <w:szCs w:val="18"/>
        </w:rPr>
        <w:t>"</w:t>
      </w:r>
      <w:r w:rsidRPr="00122399">
        <w:rPr>
          <w:szCs w:val="18"/>
          <w:vertAlign w:val="superscript"/>
        </w:rPr>
        <w:t>1</w:t>
      </w:r>
      <w:r>
        <w:rPr>
          <w:szCs w:val="18"/>
        </w:rPr>
        <w:t xml:space="preserve"> </w:t>
      </w:r>
      <w:r w:rsidRPr="00122399">
        <w:rPr>
          <w:szCs w:val="18"/>
        </w:rPr>
        <w:t>As</w:t>
      </w:r>
      <w:r w:rsidRPr="00AA79FB">
        <w:rPr>
          <w:szCs w:val="18"/>
        </w:rPr>
        <w:t xml:space="preserve"> defined in</w:t>
      </w:r>
      <w:r>
        <w:rPr>
          <w:szCs w:val="18"/>
        </w:rPr>
        <w:t xml:space="preserve"> Section 2 of</w:t>
      </w:r>
      <w:r w:rsidRPr="00AA79FB">
        <w:rPr>
          <w:szCs w:val="18"/>
        </w:rPr>
        <w:t xml:space="preserve"> the Consolidated Resolution on the Construction of Vehicles (R.E.3.) </w:t>
      </w:r>
      <w:r w:rsidRPr="00A123FD">
        <w:rPr>
          <w:szCs w:val="18"/>
          <w:lang w:val="fr-CH"/>
        </w:rPr>
        <w:t>(</w:t>
      </w:r>
      <w:proofErr w:type="gramStart"/>
      <w:r w:rsidRPr="00A123FD">
        <w:rPr>
          <w:szCs w:val="18"/>
          <w:lang w:val="fr-CH"/>
        </w:rPr>
        <w:t>document</w:t>
      </w:r>
      <w:proofErr w:type="gramEnd"/>
      <w:r w:rsidRPr="00A123FD">
        <w:rPr>
          <w:szCs w:val="18"/>
          <w:lang w:val="fr-CH"/>
        </w:rPr>
        <w:t xml:space="preserve"> ECE/TRANS/WP.29/78/Rev.</w:t>
      </w:r>
      <w:r w:rsidRPr="00A123FD">
        <w:rPr>
          <w:strike/>
          <w:szCs w:val="18"/>
          <w:lang w:val="fr-CH"/>
        </w:rPr>
        <w:t>6</w:t>
      </w:r>
      <w:r w:rsidRPr="00A123FD">
        <w:rPr>
          <w:b/>
          <w:bCs/>
          <w:szCs w:val="18"/>
          <w:lang w:val="fr-CH"/>
        </w:rPr>
        <w:t>8</w:t>
      </w:r>
      <w:r w:rsidRPr="00A123FD">
        <w:rPr>
          <w:szCs w:val="18"/>
          <w:lang w:val="fr-CH"/>
        </w:rPr>
        <w:t xml:space="preserve">) - </w:t>
      </w:r>
      <w:r>
        <w:fldChar w:fldCharType="begin"/>
      </w:r>
      <w:r w:rsidRPr="003127A5">
        <w:rPr>
          <w:lang w:val="fr-CH"/>
        </w:rPr>
        <w:instrText>HYPERLINK "http://www.unece.org/trans/main/wp29/wp29wgs/wp29gen/wp29resolutions.html"</w:instrText>
      </w:r>
      <w:r>
        <w:fldChar w:fldCharType="separate"/>
      </w:r>
      <w:r w:rsidRPr="00A123FD">
        <w:rPr>
          <w:rStyle w:val="Hyperlink"/>
          <w:strike/>
          <w:szCs w:val="18"/>
          <w:lang w:val="fr-CH"/>
        </w:rPr>
        <w:t>www.unece.org/trans/main/wp29/wp29wgs/wp29gen/wp29resolutions.html</w:t>
      </w:r>
      <w:r>
        <w:fldChar w:fldCharType="end"/>
      </w:r>
      <w:r w:rsidRPr="00A123FD">
        <w:rPr>
          <w:strike/>
          <w:szCs w:val="18"/>
          <w:lang w:val="fr-CH"/>
        </w:rPr>
        <w:br/>
      </w:r>
      <w:r>
        <w:fldChar w:fldCharType="begin"/>
      </w:r>
      <w:r w:rsidRPr="003127A5">
        <w:rPr>
          <w:lang w:val="fr-CH"/>
        </w:rPr>
        <w:instrText>HYPERLINK "https://unece.org/transport/vehicle-regulations/wp29/resolutions"</w:instrText>
      </w:r>
      <w:r>
        <w:fldChar w:fldCharType="separate"/>
      </w:r>
      <w:r w:rsidRPr="00A123FD">
        <w:rPr>
          <w:rStyle w:val="Hyperlink"/>
          <w:b/>
          <w:bCs/>
          <w:szCs w:val="18"/>
          <w:lang w:val="fr-CH"/>
        </w:rPr>
        <w:t>https://unece.org/transport/vehicle-regulations/wp29/resolutions</w:t>
      </w:r>
      <w:r>
        <w:fldChar w:fldCharType="end"/>
      </w:r>
      <w:r w:rsidRPr="00A123FD">
        <w:rPr>
          <w:rStyle w:val="Hyperlink"/>
          <w:iCs/>
          <w:color w:val="auto"/>
          <w:szCs w:val="18"/>
          <w:lang w:val="fr-CH"/>
        </w:rPr>
        <w:t>"</w:t>
      </w:r>
    </w:p>
    <w:p w14:paraId="64AA7B9C" w14:textId="77777777" w:rsidR="00077A31" w:rsidRPr="00FD5553" w:rsidRDefault="00077A31" w:rsidP="00077A31">
      <w:pPr>
        <w:spacing w:after="120"/>
        <w:ind w:left="2268" w:right="1134" w:hanging="1134"/>
        <w:jc w:val="both"/>
        <w:rPr>
          <w:bCs/>
          <w:lang w:val="fr-FR"/>
        </w:rPr>
      </w:pPr>
    </w:p>
    <w:p w14:paraId="0B8E256F" w14:textId="77777777" w:rsidR="005F5D62" w:rsidRPr="00A123FD" w:rsidRDefault="00077A31" w:rsidP="00077A31">
      <w:pPr>
        <w:pStyle w:val="SingleTxtG"/>
        <w:ind w:hanging="850"/>
        <w:rPr>
          <w:i/>
          <w:lang w:val="fr-CH"/>
        </w:rPr>
      </w:pPr>
      <w:r w:rsidRPr="00A123FD">
        <w:rPr>
          <w:i/>
          <w:lang w:val="fr-CH"/>
        </w:rPr>
        <w:br/>
      </w:r>
    </w:p>
    <w:p w14:paraId="6F0FB020" w14:textId="77777777" w:rsidR="005F5D62" w:rsidRPr="00A123FD" w:rsidRDefault="005F5D62">
      <w:pPr>
        <w:rPr>
          <w:i/>
          <w:lang w:val="fr-CH"/>
        </w:rPr>
      </w:pPr>
      <w:r w:rsidRPr="00A123FD">
        <w:rPr>
          <w:i/>
          <w:lang w:val="fr-CH"/>
        </w:rPr>
        <w:br w:type="page"/>
      </w:r>
    </w:p>
    <w:p w14:paraId="7B54F68C" w14:textId="673ECB72" w:rsidR="00077A31" w:rsidRPr="00676C79" w:rsidRDefault="00077A31" w:rsidP="005F5D62">
      <w:pPr>
        <w:pStyle w:val="SingleTxtG"/>
      </w:pPr>
      <w:r>
        <w:rPr>
          <w:i/>
        </w:rPr>
        <w:lastRenderedPageBreak/>
        <w:t>Insert new paragraphs 2.34., 2.34.1. and 2.34.2.</w:t>
      </w:r>
      <w:r w:rsidRPr="009345C7">
        <w:t>:</w:t>
      </w:r>
    </w:p>
    <w:p w14:paraId="058341C3" w14:textId="77777777" w:rsidR="00077A31" w:rsidRPr="002A6598" w:rsidRDefault="00077A31" w:rsidP="002A6598">
      <w:pPr>
        <w:pStyle w:val="SingleTxtG"/>
        <w:ind w:left="2268" w:hanging="1134"/>
        <w:rPr>
          <w:b/>
          <w:bCs/>
          <w:lang w:val="en-US"/>
        </w:rPr>
      </w:pPr>
      <w:r w:rsidRPr="002A6598">
        <w:rPr>
          <w:rStyle w:val="Hyperlink"/>
          <w:b/>
          <w:bCs/>
          <w:iCs/>
          <w:color w:val="auto"/>
          <w:szCs w:val="18"/>
        </w:rPr>
        <w:t>"</w:t>
      </w:r>
      <w:r w:rsidRPr="002A6598">
        <w:rPr>
          <w:b/>
          <w:bCs/>
          <w:lang w:val="en-US"/>
        </w:rPr>
        <w:t>2.34.</w:t>
      </w:r>
      <w:r w:rsidRPr="002A6598">
        <w:rPr>
          <w:b/>
          <w:bCs/>
        </w:rPr>
        <w:tab/>
      </w:r>
      <w:r w:rsidRPr="002A6598">
        <w:rPr>
          <w:b/>
          <w:bCs/>
        </w:rPr>
        <w:tab/>
      </w:r>
      <w:r w:rsidRPr="002A6598">
        <w:rPr>
          <w:b/>
          <w:bCs/>
          <w:i/>
          <w:iCs/>
          <w:lang w:val="en-US"/>
        </w:rPr>
        <w:t>"ADS feature"</w:t>
      </w:r>
      <w:r w:rsidRPr="002A6598">
        <w:rPr>
          <w:b/>
          <w:bCs/>
          <w:lang w:val="en-US"/>
        </w:rPr>
        <w:t xml:space="preserve"> means an application of an ADS designed specifically for use within an Operational Design Domain (ODD).</w:t>
      </w:r>
    </w:p>
    <w:p w14:paraId="177E94B5" w14:textId="77777777" w:rsidR="00077A31" w:rsidRPr="002A6598" w:rsidRDefault="00077A31" w:rsidP="002A6598">
      <w:pPr>
        <w:pStyle w:val="SingleTxtG"/>
        <w:ind w:left="2268" w:hanging="1134"/>
        <w:rPr>
          <w:b/>
          <w:bCs/>
          <w:lang w:val="en-US"/>
        </w:rPr>
      </w:pPr>
      <w:r w:rsidRPr="002A6598">
        <w:rPr>
          <w:b/>
          <w:bCs/>
          <w:lang w:val="en-US"/>
        </w:rPr>
        <w:t xml:space="preserve">2.34.1. </w:t>
      </w:r>
      <w:r w:rsidRPr="002A6598">
        <w:rPr>
          <w:b/>
          <w:bCs/>
        </w:rPr>
        <w:tab/>
      </w:r>
      <w:r w:rsidRPr="002A6598">
        <w:rPr>
          <w:b/>
          <w:bCs/>
          <w:i/>
          <w:lang w:val="en-US"/>
        </w:rPr>
        <w:t>"ADS feature of type 1 (ADSF-1)"</w:t>
      </w:r>
      <w:r w:rsidRPr="002A6598">
        <w:rPr>
          <w:b/>
          <w:bCs/>
          <w:lang w:val="en-US"/>
        </w:rPr>
        <w:t xml:space="preserve"> means an ADS feature which includes an ADS fallback response requiring a fallback user.</w:t>
      </w:r>
    </w:p>
    <w:p w14:paraId="6E1BA670" w14:textId="45AA768D" w:rsidR="00077A31" w:rsidRPr="002A6598" w:rsidRDefault="00077A31" w:rsidP="002A6598">
      <w:pPr>
        <w:pStyle w:val="SingleTxtG"/>
        <w:ind w:left="2268" w:hanging="1134"/>
        <w:rPr>
          <w:b/>
          <w:bCs/>
          <w:lang w:val="en-US"/>
        </w:rPr>
      </w:pPr>
      <w:r w:rsidRPr="002A6598">
        <w:rPr>
          <w:b/>
          <w:bCs/>
          <w:lang w:val="en-US"/>
        </w:rPr>
        <w:t>2.34.2.</w:t>
      </w:r>
      <w:r w:rsidRPr="002A6598">
        <w:rPr>
          <w:b/>
          <w:bCs/>
        </w:rPr>
        <w:tab/>
      </w:r>
      <w:r w:rsidRPr="002A6598">
        <w:rPr>
          <w:b/>
          <w:bCs/>
          <w:lang w:val="en-US"/>
        </w:rPr>
        <w:t xml:space="preserve"> </w:t>
      </w:r>
      <w:r w:rsidRPr="002A6598">
        <w:rPr>
          <w:b/>
          <w:bCs/>
          <w:lang w:val="en-US"/>
        </w:rPr>
        <w:tab/>
      </w:r>
      <w:r w:rsidRPr="002A6598">
        <w:rPr>
          <w:b/>
          <w:bCs/>
          <w:i/>
          <w:lang w:val="en-US"/>
        </w:rPr>
        <w:t>"ADS feature of type 2 (ADSF-2)"</w:t>
      </w:r>
      <w:r w:rsidRPr="002A6598">
        <w:rPr>
          <w:b/>
          <w:bCs/>
          <w:lang w:val="en-US"/>
        </w:rPr>
        <w:t xml:space="preserve"> means an ADS feature which does not include an ADS fallback response requiring a fallback user.</w:t>
      </w:r>
      <w:r w:rsidRPr="002A6598">
        <w:rPr>
          <w:rStyle w:val="Hyperlink"/>
          <w:b/>
          <w:bCs/>
          <w:iCs/>
          <w:color w:val="auto"/>
          <w:szCs w:val="18"/>
        </w:rPr>
        <w:t>"</w:t>
      </w:r>
    </w:p>
    <w:p w14:paraId="35CD09DA" w14:textId="77777777" w:rsidR="00077A31" w:rsidRDefault="00077A31" w:rsidP="00077A31">
      <w:pPr>
        <w:pStyle w:val="SingleTxtG"/>
        <w:spacing w:before="120"/>
        <w:ind w:left="2268" w:hanging="1134"/>
      </w:pPr>
      <w:r>
        <w:rPr>
          <w:i/>
        </w:rPr>
        <w:t xml:space="preserve">Paragraph 26.4.1., </w:t>
      </w:r>
      <w:r w:rsidRPr="004863FE">
        <w:rPr>
          <w:iCs/>
        </w:rPr>
        <w:t>amend to read:</w:t>
      </w:r>
    </w:p>
    <w:p w14:paraId="15FFD115" w14:textId="77777777" w:rsidR="00077A31" w:rsidRDefault="00077A31" w:rsidP="00077A31">
      <w:pPr>
        <w:pStyle w:val="SingleTxtG"/>
        <w:ind w:left="2268" w:hanging="1133"/>
      </w:pPr>
      <w:r>
        <w:rPr>
          <w:rStyle w:val="Hyperlink"/>
          <w:iCs/>
          <w:color w:val="auto"/>
          <w:szCs w:val="18"/>
        </w:rPr>
        <w:t>"</w:t>
      </w:r>
      <w:r w:rsidRPr="008A7845">
        <w:t>26.</w:t>
      </w:r>
      <w:r>
        <w:t>4</w:t>
      </w:r>
      <w:r w:rsidRPr="008A7845">
        <w:t>.1.</w:t>
      </w:r>
      <w:r w:rsidRPr="008A7845">
        <w:tab/>
      </w:r>
      <w:r>
        <w:t xml:space="preserve">The AECS control shall be installed </w:t>
      </w:r>
      <w:proofErr w:type="gramStart"/>
      <w:r>
        <w:t>so as to</w:t>
      </w:r>
      <w:proofErr w:type="gramEnd"/>
      <w:r>
        <w:t xml:space="preserve"> comply with the relevant requirements and transitional provisions of UN Regulation No. 121, 01 series of amendments or any later series of amendments.</w:t>
      </w:r>
    </w:p>
    <w:p w14:paraId="1204C0CA" w14:textId="77777777" w:rsidR="00077A31" w:rsidRPr="004863FE" w:rsidRDefault="00077A31" w:rsidP="00077A31">
      <w:pPr>
        <w:pStyle w:val="SingleTxtG"/>
        <w:ind w:left="2268" w:hanging="1133"/>
        <w:rPr>
          <w:b/>
          <w:bCs/>
          <w:i/>
        </w:rPr>
      </w:pPr>
      <w:r>
        <w:tab/>
      </w:r>
      <w:r>
        <w:tab/>
      </w:r>
      <w:r w:rsidRPr="004863FE">
        <w:rPr>
          <w:b/>
          <w:bCs/>
        </w:rPr>
        <w:t>For vehicles equipped with an ADSF-2, the AECS control shall be installed so as to be easily reachable by the passengers (if applicable).</w:t>
      </w:r>
      <w:r>
        <w:rPr>
          <w:rStyle w:val="Hyperlink"/>
          <w:iCs/>
          <w:color w:val="auto"/>
          <w:szCs w:val="18"/>
        </w:rPr>
        <w:t>"</w:t>
      </w:r>
    </w:p>
    <w:p w14:paraId="5B64B4A9" w14:textId="77777777" w:rsidR="00077A31" w:rsidRDefault="00077A31" w:rsidP="00077A31">
      <w:pPr>
        <w:pStyle w:val="SingleTxtG"/>
        <w:spacing w:before="120"/>
        <w:ind w:left="2268" w:hanging="1134"/>
      </w:pPr>
      <w:r>
        <w:rPr>
          <w:i/>
        </w:rPr>
        <w:t xml:space="preserve">Paragraph 26.5.3.1., Table 3, </w:t>
      </w:r>
      <w:r w:rsidRPr="004863FE">
        <w:rPr>
          <w:iCs/>
        </w:rPr>
        <w:t>amend to read:</w:t>
      </w:r>
    </w:p>
    <w:p w14:paraId="4173A8D6" w14:textId="77777777" w:rsidR="00077A31" w:rsidRPr="008A7845" w:rsidRDefault="00077A31" w:rsidP="00077A31">
      <w:pPr>
        <w:tabs>
          <w:tab w:val="left" w:pos="2250"/>
        </w:tabs>
        <w:spacing w:before="120" w:after="120" w:line="240" w:lineRule="auto"/>
        <w:ind w:left="2268" w:right="1134" w:hanging="1134"/>
        <w:jc w:val="both"/>
      </w:pPr>
      <w:r>
        <w:rPr>
          <w:rStyle w:val="Hyperlink"/>
          <w:iCs/>
          <w:color w:val="auto"/>
          <w:szCs w:val="18"/>
        </w:rPr>
        <w:t>"</w:t>
      </w:r>
      <w:r w:rsidRPr="008A7845">
        <w:t>26.5.3.1.</w:t>
      </w:r>
      <w:r w:rsidRPr="008A7845">
        <w:tab/>
      </w:r>
      <w:r>
        <w:t>…</w:t>
      </w:r>
      <w:r w:rsidRPr="008A7845">
        <w:t xml:space="preserve"> and shall be available for inspection by the Technical Service at the time of the </w:t>
      </w:r>
      <w:proofErr w:type="gramStart"/>
      <w:r w:rsidRPr="008A7845">
        <w:t>type</w:t>
      </w:r>
      <w:proofErr w:type="gramEnd"/>
      <w:r w:rsidRPr="008A7845">
        <w:t xml:space="preserve"> approval.</w:t>
      </w:r>
    </w:p>
    <w:p w14:paraId="0D20F3BC" w14:textId="77777777" w:rsidR="00077A31" w:rsidRPr="008A7845" w:rsidRDefault="00077A31" w:rsidP="00077A31">
      <w:pPr>
        <w:tabs>
          <w:tab w:val="left" w:pos="2250"/>
        </w:tabs>
        <w:spacing w:before="120" w:after="120" w:line="240" w:lineRule="auto"/>
        <w:ind w:left="2268" w:right="1134"/>
        <w:jc w:val="both"/>
      </w:pPr>
      <w:r w:rsidRPr="008A7845">
        <w:t>This shall at least cover the following items:</w:t>
      </w:r>
    </w:p>
    <w:p w14:paraId="44332C8B" w14:textId="77777777" w:rsidR="00077A31" w:rsidRPr="008A7845" w:rsidRDefault="00077A31" w:rsidP="00077A31">
      <w:pPr>
        <w:widowControl w:val="0"/>
        <w:spacing w:line="240" w:lineRule="auto"/>
        <w:ind w:left="2276" w:right="1138" w:hanging="1138"/>
        <w:jc w:val="both"/>
      </w:pPr>
      <w:r w:rsidRPr="008A7845">
        <w:t>Table 3</w:t>
      </w:r>
    </w:p>
    <w:p w14:paraId="7A40A1A4" w14:textId="77777777" w:rsidR="00077A31" w:rsidRPr="002A6598" w:rsidRDefault="00077A31" w:rsidP="00077A31">
      <w:pPr>
        <w:widowControl w:val="0"/>
        <w:spacing w:after="120" w:line="240" w:lineRule="auto"/>
        <w:ind w:left="2268" w:right="1134" w:hanging="1134"/>
        <w:jc w:val="both"/>
        <w:rPr>
          <w:b/>
        </w:rPr>
      </w:pPr>
      <w:r w:rsidRPr="002A6598">
        <w:rPr>
          <w:b/>
        </w:rPr>
        <w:t>Template of information for self-test function</w:t>
      </w:r>
    </w:p>
    <w:tbl>
      <w:tblPr>
        <w:tblW w:w="7506" w:type="dxa"/>
        <w:tblInd w:w="1163" w:type="dxa"/>
        <w:tblLayout w:type="fixed"/>
        <w:tblCellMar>
          <w:left w:w="29" w:type="dxa"/>
          <w:right w:w="29" w:type="dxa"/>
        </w:tblCellMar>
        <w:tblLook w:val="04A0" w:firstRow="1" w:lastRow="0" w:firstColumn="1" w:lastColumn="0" w:noHBand="0" w:noVBand="1"/>
      </w:tblPr>
      <w:tblGrid>
        <w:gridCol w:w="1985"/>
        <w:gridCol w:w="1984"/>
        <w:gridCol w:w="3537"/>
      </w:tblGrid>
      <w:tr w:rsidR="00077A31" w:rsidRPr="00865E8F" w14:paraId="2CD72780" w14:textId="77777777" w:rsidTr="00D73223">
        <w:trPr>
          <w:trHeight w:val="323"/>
          <w:tblHeader/>
        </w:trPr>
        <w:tc>
          <w:tcPr>
            <w:tcW w:w="396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8605EB" w14:textId="77777777" w:rsidR="00077A31" w:rsidRPr="00865E8F" w:rsidRDefault="00077A31" w:rsidP="00D73223">
            <w:pPr>
              <w:spacing w:before="80" w:after="80" w:line="200" w:lineRule="exact"/>
              <w:jc w:val="center"/>
              <w:rPr>
                <w:bCs/>
                <w:i/>
                <w:sz w:val="16"/>
                <w:szCs w:val="16"/>
                <w:lang w:eastAsia="en-GB"/>
              </w:rPr>
            </w:pPr>
            <w:bookmarkStart w:id="1" w:name="_Toc387935163"/>
            <w:bookmarkStart w:id="2" w:name="_Toc456777153"/>
            <w:r>
              <w:rPr>
                <w:b/>
                <w:sz w:val="28"/>
              </w:rPr>
              <w:tab/>
            </w:r>
            <w:bookmarkEnd w:id="1"/>
            <w:bookmarkEnd w:id="2"/>
            <w:r w:rsidRPr="00865E8F">
              <w:rPr>
                <w:bCs/>
                <w:i/>
                <w:sz w:val="16"/>
                <w:szCs w:val="16"/>
                <w:lang w:eastAsia="en-GB"/>
              </w:rPr>
              <w:t>Item</w:t>
            </w:r>
          </w:p>
        </w:tc>
        <w:tc>
          <w:tcPr>
            <w:tcW w:w="3537" w:type="dxa"/>
            <w:vMerge w:val="restart"/>
            <w:tcBorders>
              <w:top w:val="single" w:sz="4" w:space="0" w:color="auto"/>
              <w:left w:val="single" w:sz="4" w:space="0" w:color="auto"/>
              <w:right w:val="single" w:sz="4" w:space="0" w:color="auto"/>
            </w:tcBorders>
            <w:shd w:val="clear" w:color="auto" w:fill="FFFFFF"/>
            <w:vAlign w:val="center"/>
            <w:hideMark/>
          </w:tcPr>
          <w:p w14:paraId="5C9DCD3B" w14:textId="77777777" w:rsidR="00077A31" w:rsidRPr="00865E8F" w:rsidRDefault="00077A31" w:rsidP="00D73223">
            <w:pPr>
              <w:spacing w:before="80" w:after="80" w:line="200" w:lineRule="exact"/>
              <w:jc w:val="center"/>
              <w:rPr>
                <w:bCs/>
                <w:i/>
                <w:sz w:val="16"/>
                <w:szCs w:val="16"/>
                <w:lang w:eastAsia="en-GB"/>
              </w:rPr>
            </w:pPr>
            <w:r w:rsidRPr="00865E8F">
              <w:rPr>
                <w:bCs/>
                <w:i/>
                <w:sz w:val="16"/>
                <w:szCs w:val="16"/>
                <w:lang w:eastAsia="en-GB"/>
              </w:rPr>
              <w:t>Notes</w:t>
            </w:r>
          </w:p>
        </w:tc>
      </w:tr>
      <w:tr w:rsidR="00077A31" w:rsidRPr="00865E8F" w14:paraId="5480DB31" w14:textId="77777777" w:rsidTr="00D73223">
        <w:trPr>
          <w:trHeight w:val="341"/>
          <w:tblHeader/>
        </w:trPr>
        <w:tc>
          <w:tcPr>
            <w:tcW w:w="1985" w:type="dxa"/>
            <w:tcBorders>
              <w:top w:val="single" w:sz="4" w:space="0" w:color="auto"/>
              <w:left w:val="single" w:sz="4" w:space="0" w:color="auto"/>
              <w:bottom w:val="single" w:sz="12" w:space="0" w:color="auto"/>
              <w:right w:val="single" w:sz="4" w:space="0" w:color="auto"/>
            </w:tcBorders>
            <w:shd w:val="clear" w:color="auto" w:fill="FFFFFF"/>
            <w:noWrap/>
            <w:vAlign w:val="center"/>
            <w:hideMark/>
          </w:tcPr>
          <w:p w14:paraId="551335E3" w14:textId="77777777" w:rsidR="00077A31" w:rsidRPr="00865E8F" w:rsidRDefault="00077A31" w:rsidP="00D73223">
            <w:pPr>
              <w:spacing w:before="80" w:after="80" w:line="200" w:lineRule="exact"/>
              <w:jc w:val="center"/>
              <w:rPr>
                <w:bCs/>
                <w:i/>
                <w:sz w:val="16"/>
                <w:szCs w:val="16"/>
                <w:lang w:eastAsia="en-GB"/>
              </w:rPr>
            </w:pPr>
            <w:r w:rsidRPr="00865E8F">
              <w:rPr>
                <w:bCs/>
                <w:i/>
                <w:sz w:val="16"/>
                <w:szCs w:val="16"/>
                <w:lang w:eastAsia="en-GB"/>
              </w:rPr>
              <w:t>Component</w:t>
            </w:r>
          </w:p>
        </w:tc>
        <w:tc>
          <w:tcPr>
            <w:tcW w:w="1984" w:type="dxa"/>
            <w:tcBorders>
              <w:top w:val="single" w:sz="4" w:space="0" w:color="auto"/>
              <w:left w:val="nil"/>
              <w:bottom w:val="single" w:sz="12" w:space="0" w:color="auto"/>
              <w:right w:val="single" w:sz="4" w:space="0" w:color="auto"/>
            </w:tcBorders>
            <w:shd w:val="clear" w:color="auto" w:fill="FFFFFF"/>
            <w:vAlign w:val="center"/>
            <w:hideMark/>
          </w:tcPr>
          <w:p w14:paraId="5D071DE1" w14:textId="77777777" w:rsidR="00077A31" w:rsidRPr="00865E8F" w:rsidRDefault="00077A31" w:rsidP="00D73223">
            <w:pPr>
              <w:spacing w:before="80" w:after="80" w:line="200" w:lineRule="exact"/>
              <w:jc w:val="center"/>
              <w:rPr>
                <w:bCs/>
                <w:i/>
                <w:sz w:val="16"/>
                <w:szCs w:val="16"/>
                <w:lang w:eastAsia="en-GB"/>
              </w:rPr>
            </w:pPr>
            <w:r w:rsidRPr="00865E8F">
              <w:rPr>
                <w:bCs/>
                <w:i/>
                <w:sz w:val="16"/>
                <w:szCs w:val="16"/>
                <w:lang w:eastAsia="en-GB"/>
              </w:rPr>
              <w:t>Failure type</w:t>
            </w:r>
          </w:p>
        </w:tc>
        <w:tc>
          <w:tcPr>
            <w:tcW w:w="3537" w:type="dxa"/>
            <w:vMerge/>
            <w:tcBorders>
              <w:left w:val="single" w:sz="4" w:space="0" w:color="auto"/>
              <w:bottom w:val="single" w:sz="12" w:space="0" w:color="auto"/>
              <w:right w:val="single" w:sz="4" w:space="0" w:color="auto"/>
            </w:tcBorders>
            <w:shd w:val="clear" w:color="auto" w:fill="FFFFFF"/>
            <w:vAlign w:val="center"/>
            <w:hideMark/>
          </w:tcPr>
          <w:p w14:paraId="75122776" w14:textId="77777777" w:rsidR="00077A31" w:rsidRPr="00865E8F" w:rsidRDefault="00077A31" w:rsidP="00D73223">
            <w:pPr>
              <w:spacing w:before="80" w:after="80" w:line="200" w:lineRule="exact"/>
              <w:rPr>
                <w:b/>
                <w:bCs/>
                <w:sz w:val="16"/>
                <w:szCs w:val="16"/>
                <w:lang w:eastAsia="en-GB"/>
              </w:rPr>
            </w:pPr>
          </w:p>
        </w:tc>
      </w:tr>
      <w:tr w:rsidR="00077A31" w:rsidRPr="00865E8F" w14:paraId="5A8E9413" w14:textId="77777777" w:rsidTr="00D73223">
        <w:trPr>
          <w:trHeight w:val="341"/>
          <w:tblHeader/>
        </w:trPr>
        <w:tc>
          <w:tcPr>
            <w:tcW w:w="1985" w:type="dxa"/>
            <w:tcBorders>
              <w:top w:val="single" w:sz="4" w:space="0" w:color="auto"/>
              <w:left w:val="single" w:sz="4" w:space="0" w:color="auto"/>
              <w:bottom w:val="single" w:sz="12" w:space="0" w:color="auto"/>
              <w:right w:val="single" w:sz="4" w:space="0" w:color="auto"/>
            </w:tcBorders>
            <w:shd w:val="clear" w:color="auto" w:fill="FFFFFF"/>
            <w:noWrap/>
            <w:vAlign w:val="center"/>
          </w:tcPr>
          <w:p w14:paraId="6E65D46B" w14:textId="77777777" w:rsidR="00077A31" w:rsidRPr="00865E8F" w:rsidRDefault="00077A31" w:rsidP="00D73223">
            <w:pPr>
              <w:spacing w:before="80" w:after="80" w:line="200" w:lineRule="exact"/>
              <w:jc w:val="center"/>
              <w:rPr>
                <w:bCs/>
                <w:i/>
                <w:sz w:val="16"/>
                <w:szCs w:val="16"/>
                <w:lang w:eastAsia="en-GB"/>
              </w:rPr>
            </w:pPr>
            <w:r>
              <w:rPr>
                <w:bCs/>
                <w:i/>
                <w:sz w:val="16"/>
                <w:szCs w:val="16"/>
                <w:lang w:eastAsia="en-GB"/>
              </w:rPr>
              <w:t>…</w:t>
            </w:r>
          </w:p>
        </w:tc>
        <w:tc>
          <w:tcPr>
            <w:tcW w:w="1984" w:type="dxa"/>
            <w:tcBorders>
              <w:top w:val="single" w:sz="4" w:space="0" w:color="auto"/>
              <w:left w:val="nil"/>
              <w:bottom w:val="single" w:sz="12" w:space="0" w:color="auto"/>
              <w:right w:val="single" w:sz="4" w:space="0" w:color="auto"/>
            </w:tcBorders>
            <w:shd w:val="clear" w:color="auto" w:fill="FFFFFF"/>
            <w:vAlign w:val="center"/>
          </w:tcPr>
          <w:p w14:paraId="5393031B" w14:textId="77777777" w:rsidR="00077A31" w:rsidRPr="00865E8F" w:rsidRDefault="00077A31" w:rsidP="00D73223">
            <w:pPr>
              <w:spacing w:before="80" w:after="80" w:line="200" w:lineRule="exact"/>
              <w:jc w:val="center"/>
              <w:rPr>
                <w:bCs/>
                <w:i/>
                <w:sz w:val="16"/>
                <w:szCs w:val="16"/>
                <w:lang w:eastAsia="en-GB"/>
              </w:rPr>
            </w:pPr>
            <w:r>
              <w:rPr>
                <w:bCs/>
                <w:i/>
                <w:sz w:val="16"/>
                <w:szCs w:val="16"/>
                <w:lang w:eastAsia="en-GB"/>
              </w:rPr>
              <w:t>…</w:t>
            </w:r>
          </w:p>
        </w:tc>
        <w:tc>
          <w:tcPr>
            <w:tcW w:w="3537" w:type="dxa"/>
            <w:tcBorders>
              <w:left w:val="single" w:sz="4" w:space="0" w:color="auto"/>
              <w:bottom w:val="single" w:sz="12" w:space="0" w:color="auto"/>
              <w:right w:val="single" w:sz="4" w:space="0" w:color="auto"/>
            </w:tcBorders>
            <w:shd w:val="clear" w:color="auto" w:fill="FFFFFF"/>
            <w:vAlign w:val="center"/>
          </w:tcPr>
          <w:p w14:paraId="49EB14ED" w14:textId="77777777" w:rsidR="00077A31" w:rsidRPr="00F93280" w:rsidRDefault="00077A31" w:rsidP="00D73223">
            <w:pPr>
              <w:spacing w:before="80" w:after="80" w:line="200" w:lineRule="exact"/>
              <w:rPr>
                <w:sz w:val="16"/>
                <w:szCs w:val="16"/>
                <w:lang w:eastAsia="en-GB"/>
              </w:rPr>
            </w:pPr>
            <w:r w:rsidRPr="00F93280">
              <w:rPr>
                <w:sz w:val="16"/>
                <w:szCs w:val="16"/>
                <w:lang w:eastAsia="en-GB"/>
              </w:rPr>
              <w:t>…</w:t>
            </w:r>
          </w:p>
        </w:tc>
      </w:tr>
      <w:tr w:rsidR="00077A31" w:rsidRPr="008A7845" w14:paraId="5DB2705F" w14:textId="77777777" w:rsidTr="00D73223">
        <w:trPr>
          <w:trHeight w:val="20"/>
        </w:trPr>
        <w:tc>
          <w:tcPr>
            <w:tcW w:w="1985" w:type="dxa"/>
            <w:vMerge w:val="restart"/>
            <w:tcBorders>
              <w:top w:val="single" w:sz="4" w:space="0" w:color="auto"/>
              <w:left w:val="single" w:sz="4" w:space="0" w:color="auto"/>
              <w:bottom w:val="single" w:sz="4" w:space="0" w:color="auto"/>
              <w:right w:val="single" w:sz="4" w:space="0" w:color="auto"/>
            </w:tcBorders>
            <w:noWrap/>
            <w:vAlign w:val="center"/>
            <w:hideMark/>
          </w:tcPr>
          <w:p w14:paraId="2AD37DC9" w14:textId="77777777" w:rsidR="00077A31" w:rsidRPr="001407CC" w:rsidRDefault="00077A31" w:rsidP="00D73223">
            <w:pPr>
              <w:spacing w:before="40" w:after="120" w:line="220" w:lineRule="exact"/>
              <w:ind w:left="57" w:right="-108"/>
              <w:rPr>
                <w:lang w:eastAsia="en-GB"/>
              </w:rPr>
            </w:pPr>
            <w:r w:rsidRPr="001407CC">
              <w:rPr>
                <w:lang w:eastAsia="en-GB"/>
              </w:rPr>
              <w:t>Crash Control Unit (CCU)</w:t>
            </w:r>
          </w:p>
        </w:tc>
        <w:tc>
          <w:tcPr>
            <w:tcW w:w="1984" w:type="dxa"/>
            <w:tcBorders>
              <w:top w:val="nil"/>
              <w:left w:val="nil"/>
              <w:bottom w:val="single" w:sz="4" w:space="0" w:color="auto"/>
              <w:right w:val="single" w:sz="4" w:space="0" w:color="auto"/>
            </w:tcBorders>
            <w:vAlign w:val="center"/>
            <w:hideMark/>
          </w:tcPr>
          <w:p w14:paraId="0E8D5C8B" w14:textId="77777777" w:rsidR="00077A31" w:rsidRPr="001407CC" w:rsidRDefault="00077A31" w:rsidP="00D73223">
            <w:pPr>
              <w:spacing w:before="40" w:after="120" w:line="220" w:lineRule="exact"/>
              <w:ind w:left="57"/>
              <w:rPr>
                <w:lang w:eastAsia="en-GB"/>
              </w:rPr>
            </w:pPr>
            <w:r w:rsidRPr="001407CC">
              <w:rPr>
                <w:lang w:eastAsia="en-GB"/>
              </w:rPr>
              <w:t>Electrical connection</w:t>
            </w:r>
          </w:p>
        </w:tc>
        <w:tc>
          <w:tcPr>
            <w:tcW w:w="3537" w:type="dxa"/>
            <w:tcBorders>
              <w:top w:val="nil"/>
              <w:left w:val="nil"/>
              <w:bottom w:val="single" w:sz="4" w:space="0" w:color="auto"/>
              <w:right w:val="single" w:sz="4" w:space="0" w:color="auto"/>
            </w:tcBorders>
            <w:vAlign w:val="center"/>
            <w:hideMark/>
          </w:tcPr>
          <w:p w14:paraId="6023EFC6" w14:textId="77777777" w:rsidR="00077A31" w:rsidRPr="008A7845" w:rsidRDefault="00077A31" w:rsidP="00D73223">
            <w:pPr>
              <w:spacing w:before="40" w:after="120" w:line="220" w:lineRule="exact"/>
              <w:ind w:left="57"/>
              <w:rPr>
                <w:lang w:eastAsia="en-GB"/>
              </w:rPr>
            </w:pPr>
            <w:r w:rsidRPr="008A7845">
              <w:rPr>
                <w:lang w:eastAsia="en-GB"/>
              </w:rPr>
              <w:t>e.g. crash detection sensor system, triggering device, …</w:t>
            </w:r>
          </w:p>
        </w:tc>
      </w:tr>
      <w:tr w:rsidR="00077A31" w:rsidRPr="008A7845" w14:paraId="3B4FBAFF" w14:textId="77777777" w:rsidTr="00D73223">
        <w:trPr>
          <w:trHeight w:val="20"/>
        </w:trPr>
        <w:tc>
          <w:tcPr>
            <w:tcW w:w="1985" w:type="dxa"/>
            <w:vMerge/>
            <w:tcBorders>
              <w:left w:val="single" w:sz="4" w:space="0" w:color="auto"/>
              <w:bottom w:val="single" w:sz="4" w:space="0" w:color="000000"/>
              <w:right w:val="single" w:sz="4" w:space="0" w:color="auto"/>
            </w:tcBorders>
            <w:noWrap/>
            <w:vAlign w:val="center"/>
            <w:hideMark/>
          </w:tcPr>
          <w:p w14:paraId="218DC681" w14:textId="77777777" w:rsidR="00077A31" w:rsidRPr="008A7845" w:rsidRDefault="00077A31" w:rsidP="00D73223">
            <w:pPr>
              <w:spacing w:before="40" w:after="120" w:line="220" w:lineRule="exact"/>
              <w:ind w:left="57" w:right="-108"/>
              <w:rPr>
                <w:bCs/>
                <w:lang w:eastAsia="en-GB"/>
              </w:rPr>
            </w:pPr>
          </w:p>
        </w:tc>
        <w:tc>
          <w:tcPr>
            <w:tcW w:w="1984" w:type="dxa"/>
            <w:tcBorders>
              <w:top w:val="nil"/>
              <w:left w:val="nil"/>
              <w:bottom w:val="single" w:sz="4" w:space="0" w:color="000000"/>
              <w:right w:val="single" w:sz="4" w:space="0" w:color="auto"/>
            </w:tcBorders>
            <w:vAlign w:val="center"/>
            <w:hideMark/>
          </w:tcPr>
          <w:p w14:paraId="5704FC1B" w14:textId="77777777" w:rsidR="00077A31" w:rsidRPr="008A7845" w:rsidRDefault="00077A31" w:rsidP="00D73223">
            <w:pPr>
              <w:spacing w:before="40" w:after="120" w:line="220" w:lineRule="exact"/>
              <w:ind w:left="57"/>
              <w:rPr>
                <w:bCs/>
                <w:lang w:eastAsia="en-GB"/>
              </w:rPr>
            </w:pPr>
            <w:r w:rsidRPr="008A7845">
              <w:rPr>
                <w:bCs/>
                <w:lang w:eastAsia="en-GB"/>
              </w:rPr>
              <w:t>Internal failure</w:t>
            </w:r>
          </w:p>
        </w:tc>
        <w:tc>
          <w:tcPr>
            <w:tcW w:w="3537" w:type="dxa"/>
            <w:tcBorders>
              <w:top w:val="nil"/>
              <w:left w:val="nil"/>
              <w:bottom w:val="single" w:sz="4" w:space="0" w:color="000000"/>
              <w:right w:val="single" w:sz="4" w:space="0" w:color="auto"/>
            </w:tcBorders>
            <w:vAlign w:val="center"/>
            <w:hideMark/>
          </w:tcPr>
          <w:p w14:paraId="75488F51" w14:textId="77777777" w:rsidR="00077A31" w:rsidRPr="008A7845" w:rsidRDefault="00077A31" w:rsidP="00D73223">
            <w:pPr>
              <w:spacing w:before="40" w:after="120" w:line="220" w:lineRule="exact"/>
              <w:ind w:left="57"/>
              <w:rPr>
                <w:bCs/>
                <w:lang w:eastAsia="en-GB"/>
              </w:rPr>
            </w:pPr>
            <w:r w:rsidRPr="008A7845">
              <w:rPr>
                <w:bCs/>
                <w:lang w:eastAsia="en-GB"/>
              </w:rPr>
              <w:t xml:space="preserve">If not in good condition, then the automatic emergency call is not possible. If CCU internal failure verification is not part of AECS approval (Part II), then it shall be subject to AECD approval (Part </w:t>
            </w:r>
            <w:proofErr w:type="spellStart"/>
            <w:r w:rsidRPr="008A7845">
              <w:rPr>
                <w:bCs/>
                <w:lang w:eastAsia="en-GB"/>
              </w:rPr>
              <w:t>Ib</w:t>
            </w:r>
            <w:proofErr w:type="spellEnd"/>
            <w:r w:rsidRPr="008A7845">
              <w:rPr>
                <w:bCs/>
                <w:lang w:eastAsia="en-GB"/>
              </w:rPr>
              <w:t>).</w:t>
            </w:r>
          </w:p>
          <w:p w14:paraId="7BAF0BC3" w14:textId="77777777" w:rsidR="00077A31" w:rsidRPr="008A7845" w:rsidRDefault="00077A31" w:rsidP="00D73223">
            <w:pPr>
              <w:spacing w:before="40" w:after="120" w:line="220" w:lineRule="exact"/>
              <w:ind w:left="57"/>
            </w:pPr>
            <w:r w:rsidRPr="008A7845">
              <w:t>When CCU is not part of the AECD, this requirement is deemed to be fulfilled if:</w:t>
            </w:r>
          </w:p>
          <w:p w14:paraId="05632311" w14:textId="77777777" w:rsidR="00077A31" w:rsidRPr="008A7845" w:rsidRDefault="00077A31" w:rsidP="00D73223">
            <w:pPr>
              <w:spacing w:before="40" w:after="120" w:line="220" w:lineRule="exact"/>
              <w:ind w:left="397" w:hanging="340"/>
            </w:pPr>
            <w:r w:rsidRPr="008A7845">
              <w:t xml:space="preserve">(a) </w:t>
            </w:r>
            <w:r>
              <w:tab/>
            </w:r>
            <w:r w:rsidRPr="008A7845">
              <w:t>the indication of a malfunction for an internal CCU failure is provided by the vehicle; and</w:t>
            </w:r>
          </w:p>
          <w:p w14:paraId="4744F3F4" w14:textId="77777777" w:rsidR="00077A31" w:rsidRPr="008A7845" w:rsidRDefault="00077A31" w:rsidP="00D73223">
            <w:pPr>
              <w:spacing w:before="40" w:after="120" w:line="220" w:lineRule="exact"/>
              <w:ind w:left="397" w:hanging="340"/>
            </w:pPr>
            <w:r w:rsidRPr="008A7845">
              <w:t xml:space="preserve">(b) </w:t>
            </w:r>
            <w:r>
              <w:tab/>
            </w:r>
            <w:r w:rsidRPr="008A7845">
              <w:t xml:space="preserve">the warning strategy on AECD is explained to the </w:t>
            </w:r>
            <w:r w:rsidRPr="00443C9E">
              <w:t>driver</w:t>
            </w:r>
            <w:r>
              <w:t xml:space="preserve"> </w:t>
            </w:r>
            <w:r w:rsidRPr="00443C9E">
              <w:rPr>
                <w:b/>
              </w:rPr>
              <w:t xml:space="preserve">or </w:t>
            </w:r>
            <w:r>
              <w:rPr>
                <w:b/>
              </w:rPr>
              <w:t>ADS</w:t>
            </w:r>
            <w:r w:rsidRPr="00056B94">
              <w:rPr>
                <w:b/>
                <w:vertAlign w:val="superscript"/>
              </w:rPr>
              <w:t>1</w:t>
            </w:r>
            <w:r>
              <w:rPr>
                <w:b/>
              </w:rPr>
              <w:t xml:space="preserve"> </w:t>
            </w:r>
            <w:r w:rsidRPr="00443C9E">
              <w:rPr>
                <w:b/>
              </w:rPr>
              <w:t>user</w:t>
            </w:r>
            <w:r>
              <w:rPr>
                <w:b/>
              </w:rPr>
              <w:t>(</w:t>
            </w:r>
            <w:r w:rsidRPr="00443C9E">
              <w:rPr>
                <w:b/>
              </w:rPr>
              <w:t>s</w:t>
            </w:r>
            <w:r>
              <w:rPr>
                <w:b/>
              </w:rPr>
              <w:t>) (as applicable)</w:t>
            </w:r>
            <w:r w:rsidRPr="008A7845">
              <w:t>.</w:t>
            </w:r>
          </w:p>
        </w:tc>
      </w:tr>
      <w:tr w:rsidR="00077A31" w:rsidRPr="008A7845" w14:paraId="5B7788FA" w14:textId="77777777" w:rsidTr="00D73223">
        <w:trPr>
          <w:trHeight w:val="20"/>
        </w:trPr>
        <w:tc>
          <w:tcPr>
            <w:tcW w:w="1985" w:type="dxa"/>
            <w:tcBorders>
              <w:top w:val="single" w:sz="4" w:space="0" w:color="000000"/>
              <w:left w:val="single" w:sz="4" w:space="0" w:color="auto"/>
              <w:bottom w:val="single" w:sz="4" w:space="0" w:color="auto"/>
              <w:right w:val="single" w:sz="4" w:space="0" w:color="auto"/>
            </w:tcBorders>
            <w:noWrap/>
            <w:vAlign w:val="center"/>
          </w:tcPr>
          <w:p w14:paraId="7CC59CED" w14:textId="77777777" w:rsidR="00077A31" w:rsidRPr="008A7845" w:rsidRDefault="00077A31" w:rsidP="00D73223">
            <w:pPr>
              <w:spacing w:before="40" w:after="120" w:line="220" w:lineRule="exact"/>
              <w:ind w:left="57" w:right="-108"/>
              <w:rPr>
                <w:bCs/>
                <w:lang w:eastAsia="en-GB"/>
              </w:rPr>
            </w:pPr>
            <w:r>
              <w:rPr>
                <w:bCs/>
                <w:lang w:eastAsia="en-GB"/>
              </w:rPr>
              <w:t>…</w:t>
            </w:r>
          </w:p>
        </w:tc>
        <w:tc>
          <w:tcPr>
            <w:tcW w:w="1984" w:type="dxa"/>
            <w:tcBorders>
              <w:top w:val="single" w:sz="4" w:space="0" w:color="000000"/>
              <w:left w:val="nil"/>
              <w:bottom w:val="single" w:sz="4" w:space="0" w:color="auto"/>
              <w:right w:val="single" w:sz="4" w:space="0" w:color="auto"/>
            </w:tcBorders>
            <w:vAlign w:val="center"/>
          </w:tcPr>
          <w:p w14:paraId="44223D90" w14:textId="77777777" w:rsidR="00077A31" w:rsidRPr="008A7845" w:rsidRDefault="00077A31" w:rsidP="00D73223">
            <w:pPr>
              <w:spacing w:before="40" w:after="120" w:line="220" w:lineRule="exact"/>
              <w:ind w:left="57"/>
              <w:rPr>
                <w:bCs/>
                <w:lang w:eastAsia="en-GB"/>
              </w:rPr>
            </w:pPr>
            <w:r>
              <w:rPr>
                <w:bCs/>
                <w:lang w:eastAsia="en-GB"/>
              </w:rPr>
              <w:t>…</w:t>
            </w:r>
          </w:p>
        </w:tc>
        <w:tc>
          <w:tcPr>
            <w:tcW w:w="3537" w:type="dxa"/>
            <w:tcBorders>
              <w:top w:val="single" w:sz="4" w:space="0" w:color="000000"/>
              <w:left w:val="nil"/>
              <w:bottom w:val="single" w:sz="4" w:space="0" w:color="auto"/>
              <w:right w:val="single" w:sz="4" w:space="0" w:color="auto"/>
            </w:tcBorders>
            <w:vAlign w:val="center"/>
          </w:tcPr>
          <w:p w14:paraId="70A094C0" w14:textId="77777777" w:rsidR="00077A31" w:rsidRPr="008A7845" w:rsidRDefault="00077A31" w:rsidP="00D73223">
            <w:pPr>
              <w:spacing w:before="40" w:after="120" w:line="220" w:lineRule="exact"/>
              <w:ind w:left="57"/>
              <w:rPr>
                <w:bCs/>
                <w:lang w:eastAsia="en-GB"/>
              </w:rPr>
            </w:pPr>
            <w:r>
              <w:rPr>
                <w:bCs/>
                <w:lang w:eastAsia="en-GB"/>
              </w:rPr>
              <w:t>…</w:t>
            </w:r>
          </w:p>
        </w:tc>
      </w:tr>
    </w:tbl>
    <w:p w14:paraId="13CEC926" w14:textId="77777777" w:rsidR="00077A31" w:rsidRDefault="00077A31" w:rsidP="00077A31">
      <w:pPr>
        <w:autoSpaceDE w:val="0"/>
        <w:autoSpaceDN w:val="0"/>
        <w:adjustRightInd w:val="0"/>
        <w:spacing w:before="120" w:after="120" w:line="240" w:lineRule="auto"/>
        <w:ind w:left="567" w:right="1134" w:firstLine="567"/>
        <w:jc w:val="both"/>
        <w:rPr>
          <w:rFonts w:eastAsia="DengXian"/>
          <w:i/>
          <w:lang w:eastAsia="zh-CN"/>
        </w:rPr>
      </w:pPr>
    </w:p>
    <w:p w14:paraId="7F07609C" w14:textId="77777777" w:rsidR="00077A31" w:rsidRPr="0008142F" w:rsidRDefault="00077A31" w:rsidP="00077A31">
      <w:pPr>
        <w:autoSpaceDE w:val="0"/>
        <w:autoSpaceDN w:val="0"/>
        <w:adjustRightInd w:val="0"/>
        <w:spacing w:before="120" w:after="120" w:line="240" w:lineRule="auto"/>
        <w:ind w:left="567" w:right="1134" w:firstLine="567"/>
        <w:jc w:val="both"/>
        <w:rPr>
          <w:rFonts w:eastAsia="DengXian"/>
          <w:i/>
          <w:lang w:eastAsia="zh-CN"/>
        </w:rPr>
      </w:pPr>
      <w:r>
        <w:rPr>
          <w:rFonts w:eastAsia="DengXian"/>
          <w:i/>
          <w:lang w:eastAsia="zh-CN"/>
        </w:rPr>
        <w:t>Paragraph 26.6.</w:t>
      </w:r>
      <w:r w:rsidRPr="0008142F">
        <w:rPr>
          <w:rFonts w:eastAsia="DengXian"/>
          <w:i/>
          <w:lang w:eastAsia="zh-CN"/>
        </w:rPr>
        <w:t xml:space="preserve">, </w:t>
      </w:r>
      <w:r w:rsidRPr="0008142F">
        <w:rPr>
          <w:rFonts w:eastAsia="DengXian"/>
          <w:iCs/>
          <w:lang w:eastAsia="zh-CN"/>
        </w:rPr>
        <w:t>amend to read:</w:t>
      </w:r>
    </w:p>
    <w:p w14:paraId="59124E83" w14:textId="77777777" w:rsidR="00077A31" w:rsidRPr="008A7845" w:rsidRDefault="00077A31" w:rsidP="00077A31">
      <w:pPr>
        <w:tabs>
          <w:tab w:val="left" w:pos="2250"/>
        </w:tabs>
        <w:spacing w:before="120" w:after="120" w:line="240" w:lineRule="auto"/>
        <w:ind w:left="2268" w:right="1134" w:hanging="1134"/>
        <w:jc w:val="both"/>
      </w:pPr>
      <w:r>
        <w:rPr>
          <w:rStyle w:val="Hyperlink"/>
          <w:iCs/>
          <w:color w:val="auto"/>
          <w:szCs w:val="18"/>
        </w:rPr>
        <w:t>"</w:t>
      </w:r>
      <w:r w:rsidRPr="008A7845">
        <w:t>26.6.</w:t>
      </w:r>
      <w:r w:rsidRPr="008A7845">
        <w:tab/>
        <w:t>Hands-free audio performance</w:t>
      </w:r>
    </w:p>
    <w:p w14:paraId="2E5ACB96" w14:textId="59D10172" w:rsidR="00077A31" w:rsidRPr="008A7845" w:rsidRDefault="00077A31" w:rsidP="00077A31">
      <w:pPr>
        <w:tabs>
          <w:tab w:val="left" w:pos="2250"/>
        </w:tabs>
        <w:spacing w:before="120" w:after="120" w:line="240" w:lineRule="auto"/>
        <w:ind w:left="2268" w:right="1134" w:hanging="1134"/>
        <w:jc w:val="both"/>
      </w:pPr>
      <w:r w:rsidRPr="008A7845">
        <w:tab/>
        <w:t>The AECS shall provide sufficient voice intelligibility for the vehicle driver</w:t>
      </w:r>
      <w:r w:rsidRPr="00F1786C">
        <w:rPr>
          <w:b/>
        </w:rPr>
        <w:t>, or in case of vehicles equipped with an ADSF-2, for</w:t>
      </w:r>
      <w:r>
        <w:rPr>
          <w:b/>
        </w:rPr>
        <w:t xml:space="preserve"> the passengers</w:t>
      </w:r>
      <w:r w:rsidRPr="00F1786C">
        <w:rPr>
          <w:b/>
        </w:rPr>
        <w:t xml:space="preserve"> (</w:t>
      </w:r>
      <w:r>
        <w:rPr>
          <w:b/>
        </w:rPr>
        <w:t>if applicable</w:t>
      </w:r>
      <w:r w:rsidRPr="00F1786C">
        <w:rPr>
          <w:b/>
        </w:rPr>
        <w:t>)</w:t>
      </w:r>
      <w:r w:rsidRPr="008A7845">
        <w:t>.</w:t>
      </w:r>
      <w:r>
        <w:rPr>
          <w:rStyle w:val="Hyperlink"/>
          <w:iCs/>
          <w:color w:val="auto"/>
          <w:szCs w:val="18"/>
        </w:rPr>
        <w:t>"</w:t>
      </w:r>
    </w:p>
    <w:p w14:paraId="6C4104B8" w14:textId="77777777" w:rsidR="00077A31" w:rsidRDefault="00077A31" w:rsidP="00077A31">
      <w:pPr>
        <w:autoSpaceDE w:val="0"/>
        <w:autoSpaceDN w:val="0"/>
        <w:adjustRightInd w:val="0"/>
        <w:spacing w:before="120" w:after="120" w:line="240" w:lineRule="auto"/>
        <w:ind w:left="567" w:right="1134" w:firstLine="567"/>
        <w:jc w:val="both"/>
        <w:rPr>
          <w:rFonts w:eastAsia="DengXian"/>
          <w:i/>
          <w:lang w:eastAsia="zh-CN"/>
        </w:rPr>
      </w:pPr>
    </w:p>
    <w:p w14:paraId="7B01ABDB" w14:textId="77777777" w:rsidR="005F5D62" w:rsidRDefault="005F5D62">
      <w:pPr>
        <w:rPr>
          <w:rFonts w:eastAsia="DengXian"/>
          <w:i/>
          <w:lang w:eastAsia="zh-CN"/>
        </w:rPr>
      </w:pPr>
      <w:r>
        <w:rPr>
          <w:rFonts w:eastAsia="DengXian"/>
          <w:i/>
          <w:lang w:eastAsia="zh-CN"/>
        </w:rPr>
        <w:br w:type="page"/>
      </w:r>
    </w:p>
    <w:p w14:paraId="155EEEC6" w14:textId="42315E76" w:rsidR="00077A31" w:rsidRPr="0008142F" w:rsidRDefault="00077A31" w:rsidP="00077A31">
      <w:pPr>
        <w:autoSpaceDE w:val="0"/>
        <w:autoSpaceDN w:val="0"/>
        <w:adjustRightInd w:val="0"/>
        <w:spacing w:before="120" w:after="120" w:line="240" w:lineRule="auto"/>
        <w:ind w:left="567" w:right="1134" w:firstLine="567"/>
        <w:jc w:val="both"/>
        <w:rPr>
          <w:rFonts w:eastAsia="DengXian"/>
          <w:i/>
          <w:lang w:eastAsia="zh-CN"/>
        </w:rPr>
      </w:pPr>
      <w:r>
        <w:rPr>
          <w:rFonts w:eastAsia="DengXian"/>
          <w:i/>
          <w:lang w:eastAsia="zh-CN"/>
        </w:rPr>
        <w:lastRenderedPageBreak/>
        <w:t>Paragraph 35.6.1.</w:t>
      </w:r>
      <w:r w:rsidRPr="0008142F">
        <w:rPr>
          <w:rFonts w:eastAsia="DengXian"/>
          <w:i/>
          <w:lang w:eastAsia="zh-CN"/>
        </w:rPr>
        <w:t xml:space="preserve">, </w:t>
      </w:r>
      <w:r w:rsidRPr="0008142F">
        <w:rPr>
          <w:rFonts w:eastAsia="DengXian"/>
          <w:iCs/>
          <w:lang w:eastAsia="zh-CN"/>
        </w:rPr>
        <w:t>amend to read:</w:t>
      </w:r>
    </w:p>
    <w:p w14:paraId="75FAD301" w14:textId="77777777" w:rsidR="00077A31" w:rsidRDefault="00077A31" w:rsidP="00077A31">
      <w:pPr>
        <w:tabs>
          <w:tab w:val="left" w:pos="2268"/>
        </w:tabs>
        <w:spacing w:before="120" w:after="120" w:line="240" w:lineRule="auto"/>
        <w:ind w:left="2268" w:right="1134" w:hanging="1134"/>
        <w:jc w:val="both"/>
      </w:pPr>
      <w:r>
        <w:rPr>
          <w:rStyle w:val="Hyperlink"/>
          <w:iCs/>
          <w:color w:val="auto"/>
          <w:szCs w:val="18"/>
        </w:rPr>
        <w:t>"</w:t>
      </w:r>
      <w:r w:rsidRPr="008A7845">
        <w:t>35.</w:t>
      </w:r>
      <w:r>
        <w:t>6</w:t>
      </w:r>
      <w:r w:rsidRPr="008A7845">
        <w:t>.</w:t>
      </w:r>
      <w:r>
        <w:t>1.</w:t>
      </w:r>
      <w:r w:rsidRPr="008A7845">
        <w:tab/>
      </w:r>
      <w:r>
        <w:t>The AECS control shall be installed such to comply with the relevant requirements and transitional provisions of UN Regulation No. 121, 01 series of amendments or any later series of amendments.</w:t>
      </w:r>
    </w:p>
    <w:p w14:paraId="327DCC98" w14:textId="77777777" w:rsidR="00077A31" w:rsidRPr="004863FE" w:rsidRDefault="00077A31" w:rsidP="00077A31">
      <w:pPr>
        <w:tabs>
          <w:tab w:val="left" w:pos="2268"/>
        </w:tabs>
        <w:spacing w:before="120" w:after="120" w:line="240" w:lineRule="auto"/>
        <w:ind w:left="2268" w:right="1134" w:hanging="1134"/>
        <w:jc w:val="both"/>
        <w:rPr>
          <w:b/>
          <w:bCs/>
        </w:rPr>
      </w:pPr>
      <w:r>
        <w:tab/>
      </w:r>
      <w:r w:rsidRPr="004863FE">
        <w:rPr>
          <w:b/>
          <w:bCs/>
        </w:rPr>
        <w:t>For vehicles equipped with an ADSF-2, the AECS control shall be installed so as to be easily reachable by the passengers (as applicable)</w:t>
      </w:r>
      <w:r>
        <w:rPr>
          <w:b/>
          <w:bCs/>
        </w:rPr>
        <w:t>.</w:t>
      </w:r>
      <w:r>
        <w:rPr>
          <w:rStyle w:val="Hyperlink"/>
          <w:iCs/>
          <w:color w:val="auto"/>
          <w:szCs w:val="18"/>
        </w:rPr>
        <w:t>"</w:t>
      </w:r>
    </w:p>
    <w:p w14:paraId="1F1EA72E" w14:textId="77777777" w:rsidR="00077A31" w:rsidRPr="0008142F" w:rsidRDefault="00077A31" w:rsidP="00077A31">
      <w:pPr>
        <w:autoSpaceDE w:val="0"/>
        <w:autoSpaceDN w:val="0"/>
        <w:adjustRightInd w:val="0"/>
        <w:spacing w:before="120" w:after="120" w:line="240" w:lineRule="auto"/>
        <w:ind w:left="567" w:right="1134" w:firstLine="567"/>
        <w:jc w:val="both"/>
        <w:rPr>
          <w:rFonts w:eastAsia="DengXian"/>
          <w:i/>
          <w:lang w:eastAsia="zh-CN"/>
        </w:rPr>
      </w:pPr>
      <w:r>
        <w:rPr>
          <w:rFonts w:eastAsia="DengXian"/>
          <w:i/>
          <w:lang w:eastAsia="zh-CN"/>
        </w:rPr>
        <w:t>Paragraph 35.8.</w:t>
      </w:r>
      <w:r w:rsidRPr="0008142F">
        <w:rPr>
          <w:rFonts w:eastAsia="DengXian"/>
          <w:i/>
          <w:lang w:eastAsia="zh-CN"/>
        </w:rPr>
        <w:t xml:space="preserve">, </w:t>
      </w:r>
      <w:r w:rsidRPr="0008142F">
        <w:rPr>
          <w:rFonts w:eastAsia="DengXian"/>
          <w:iCs/>
          <w:lang w:eastAsia="zh-CN"/>
        </w:rPr>
        <w:t>amend to read:</w:t>
      </w:r>
    </w:p>
    <w:p w14:paraId="76005FE2" w14:textId="77777777" w:rsidR="00077A31" w:rsidRPr="008A7845" w:rsidRDefault="00077A31" w:rsidP="00077A31">
      <w:pPr>
        <w:tabs>
          <w:tab w:val="left" w:pos="2268"/>
        </w:tabs>
        <w:spacing w:before="120" w:after="120" w:line="240" w:lineRule="auto"/>
        <w:ind w:left="2268" w:right="1134" w:hanging="1134"/>
        <w:jc w:val="both"/>
      </w:pPr>
      <w:r>
        <w:rPr>
          <w:rStyle w:val="Hyperlink"/>
          <w:iCs/>
          <w:color w:val="auto"/>
          <w:szCs w:val="18"/>
        </w:rPr>
        <w:t>"</w:t>
      </w:r>
      <w:r w:rsidRPr="008A7845">
        <w:t>35.8.</w:t>
      </w:r>
      <w:r w:rsidRPr="008A7845">
        <w:tab/>
        <w:t>Hands-free audio performance</w:t>
      </w:r>
    </w:p>
    <w:p w14:paraId="076B4895" w14:textId="77777777" w:rsidR="00077A31" w:rsidRPr="008A7845" w:rsidRDefault="00077A31" w:rsidP="00077A31">
      <w:pPr>
        <w:tabs>
          <w:tab w:val="left" w:pos="2268"/>
        </w:tabs>
        <w:spacing w:before="120" w:after="120" w:line="240" w:lineRule="auto"/>
        <w:ind w:left="2268" w:right="1134"/>
        <w:jc w:val="both"/>
      </w:pPr>
      <w:r w:rsidRPr="008A7845">
        <w:tab/>
        <w:t>The AECS shall provide sufficient voice intelligibility for the vehicle</w:t>
      </w:r>
      <w:r w:rsidRPr="31883512">
        <w:t xml:space="preserve"> driver</w:t>
      </w:r>
      <w:r w:rsidRPr="00F1786C">
        <w:rPr>
          <w:b/>
        </w:rPr>
        <w:t>, or in case of vehicles equipped with an ADSF-2, for</w:t>
      </w:r>
      <w:r>
        <w:rPr>
          <w:b/>
        </w:rPr>
        <w:t xml:space="preserve"> the passengers</w:t>
      </w:r>
      <w:r w:rsidRPr="00F1786C">
        <w:rPr>
          <w:b/>
        </w:rPr>
        <w:t xml:space="preserve"> (</w:t>
      </w:r>
      <w:r>
        <w:rPr>
          <w:b/>
        </w:rPr>
        <w:t>if applicable</w:t>
      </w:r>
      <w:r w:rsidRPr="00F1786C">
        <w:rPr>
          <w:b/>
        </w:rPr>
        <w:t>)</w:t>
      </w:r>
      <w:r w:rsidRPr="008A7845">
        <w:t>.</w:t>
      </w:r>
      <w:r>
        <w:rPr>
          <w:rStyle w:val="Hyperlink"/>
          <w:iCs/>
          <w:color w:val="auto"/>
          <w:szCs w:val="18"/>
        </w:rPr>
        <w:t>"</w:t>
      </w:r>
    </w:p>
    <w:p w14:paraId="39CC29C3" w14:textId="77777777" w:rsidR="00077A31" w:rsidRPr="000846F8" w:rsidRDefault="00077A31" w:rsidP="00077A31">
      <w:pPr>
        <w:spacing w:before="240"/>
        <w:jc w:val="center"/>
      </w:pPr>
      <w:r w:rsidRPr="000846F8">
        <w:rPr>
          <w:u w:val="single"/>
        </w:rPr>
        <w:tab/>
      </w:r>
      <w:r w:rsidRPr="000846F8">
        <w:rPr>
          <w:u w:val="single"/>
        </w:rPr>
        <w:tab/>
      </w:r>
      <w:r w:rsidRPr="000846F8">
        <w:rPr>
          <w:u w:val="single"/>
        </w:rPr>
        <w:tab/>
      </w:r>
    </w:p>
    <w:p w14:paraId="686AE911" w14:textId="77777777" w:rsidR="00077A31" w:rsidRPr="009641B8" w:rsidRDefault="00077A31" w:rsidP="00077A31">
      <w:pPr>
        <w:autoSpaceDE w:val="0"/>
        <w:autoSpaceDN w:val="0"/>
        <w:adjustRightInd w:val="0"/>
        <w:spacing w:before="120" w:after="120" w:line="240" w:lineRule="auto"/>
        <w:ind w:left="1134" w:right="1134"/>
        <w:jc w:val="both"/>
        <w:rPr>
          <w:u w:val="single"/>
        </w:rPr>
      </w:pPr>
    </w:p>
    <w:p w14:paraId="1A4033C5" w14:textId="7CB041B1" w:rsidR="001C6663" w:rsidRPr="000846F8" w:rsidRDefault="001C6663" w:rsidP="00DE503E">
      <w:pPr>
        <w:autoSpaceDE w:val="0"/>
        <w:autoSpaceDN w:val="0"/>
        <w:adjustRightInd w:val="0"/>
        <w:spacing w:before="120" w:after="120" w:line="240" w:lineRule="auto"/>
        <w:ind w:left="1134" w:right="1134"/>
        <w:jc w:val="both"/>
      </w:pPr>
    </w:p>
    <w:sectPr w:rsidR="001C6663" w:rsidRPr="000846F8" w:rsidSect="000B1EA4">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7F650" w14:textId="77777777" w:rsidR="00120FE6" w:rsidRDefault="00120FE6"/>
  </w:endnote>
  <w:endnote w:type="continuationSeparator" w:id="0">
    <w:p w14:paraId="1C83AACD" w14:textId="77777777" w:rsidR="00120FE6" w:rsidRDefault="00120FE6"/>
  </w:endnote>
  <w:endnote w:type="continuationNotice" w:id="1">
    <w:p w14:paraId="5B062613" w14:textId="77777777" w:rsidR="00120FE6" w:rsidRDefault="00120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B953" w14:textId="4C9BF9A4" w:rsidR="000B1EA4" w:rsidRPr="000B1EA4" w:rsidRDefault="000B1EA4" w:rsidP="000B1EA4">
    <w:pPr>
      <w:pStyle w:val="Footer"/>
      <w:tabs>
        <w:tab w:val="right" w:pos="9638"/>
      </w:tabs>
      <w:rPr>
        <w:sz w:val="18"/>
      </w:rPr>
    </w:pP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2</w:t>
    </w:r>
    <w:r w:rsidRPr="000B1EA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42C1" w14:textId="60AB91A9" w:rsidR="000B1EA4" w:rsidRPr="000B1EA4" w:rsidRDefault="000B1EA4" w:rsidP="000B1EA4">
    <w:pPr>
      <w:pStyle w:val="Footer"/>
      <w:tabs>
        <w:tab w:val="right" w:pos="9638"/>
      </w:tabs>
      <w:rPr>
        <w:b/>
        <w:sz w:val="18"/>
      </w:rPr>
    </w:pPr>
    <w:r>
      <w:tab/>
    </w: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3</w:t>
    </w:r>
    <w:r w:rsidRPr="000B1EA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1317" w14:textId="273FDD6D" w:rsidR="003127A5" w:rsidRDefault="003127A5" w:rsidP="003127A5">
    <w:pPr>
      <w:pStyle w:val="Footer"/>
    </w:pPr>
    <w:r w:rsidRPr="0027112F">
      <w:rPr>
        <w:noProof/>
        <w:lang w:val="en-US"/>
      </w:rPr>
      <w:drawing>
        <wp:anchor distT="0" distB="0" distL="114300" distR="114300" simplePos="0" relativeHeight="251659264" behindDoc="0" locked="1" layoutInCell="1" allowOverlap="1" wp14:anchorId="581E652E" wp14:editId="211C7399">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119091AE" w14:textId="2A5A33D2" w:rsidR="003127A5" w:rsidRPr="003127A5" w:rsidRDefault="003127A5" w:rsidP="003127A5">
    <w:pPr>
      <w:pStyle w:val="Footer"/>
      <w:ind w:right="1134"/>
      <w:rPr>
        <w:sz w:val="20"/>
      </w:rPr>
    </w:pPr>
    <w:r>
      <w:rPr>
        <w:sz w:val="20"/>
      </w:rPr>
      <w:t>GE.26-</w:t>
    </w:r>
    <w:proofErr w:type="gramStart"/>
    <w:r>
      <w:rPr>
        <w:sz w:val="20"/>
      </w:rPr>
      <w:t>01068  (</w:t>
    </w:r>
    <w:proofErr w:type="gramEnd"/>
    <w:r>
      <w:rPr>
        <w:sz w:val="20"/>
      </w:rPr>
      <w:t>E)</w:t>
    </w:r>
    <w:r>
      <w:rPr>
        <w:noProof/>
        <w:sz w:val="20"/>
      </w:rPr>
      <w:drawing>
        <wp:anchor distT="0" distB="0" distL="114300" distR="114300" simplePos="0" relativeHeight="251660288" behindDoc="0" locked="0" layoutInCell="1" allowOverlap="1" wp14:anchorId="2F3C1747" wp14:editId="5BE16F6B">
          <wp:simplePos x="0" y="0"/>
          <wp:positionH relativeFrom="margin">
            <wp:posOffset>5583555</wp:posOffset>
          </wp:positionH>
          <wp:positionV relativeFrom="margin">
            <wp:posOffset>8981440</wp:posOffset>
          </wp:positionV>
          <wp:extent cx="571500" cy="571500"/>
          <wp:effectExtent l="0" t="0" r="0" b="0"/>
          <wp:wrapNone/>
          <wp:docPr id="821476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65F34" w14:textId="77777777" w:rsidR="00120FE6" w:rsidRPr="000B175B" w:rsidRDefault="00120FE6" w:rsidP="000B175B">
      <w:pPr>
        <w:tabs>
          <w:tab w:val="right" w:pos="2155"/>
        </w:tabs>
        <w:spacing w:after="80"/>
        <w:ind w:left="680"/>
        <w:rPr>
          <w:u w:val="single"/>
        </w:rPr>
      </w:pPr>
      <w:r>
        <w:rPr>
          <w:u w:val="single"/>
        </w:rPr>
        <w:tab/>
      </w:r>
    </w:p>
  </w:footnote>
  <w:footnote w:type="continuationSeparator" w:id="0">
    <w:p w14:paraId="66E080FF" w14:textId="77777777" w:rsidR="00120FE6" w:rsidRPr="00FC68B7" w:rsidRDefault="00120FE6" w:rsidP="00FC68B7">
      <w:pPr>
        <w:tabs>
          <w:tab w:val="left" w:pos="2155"/>
        </w:tabs>
        <w:spacing w:after="80"/>
        <w:ind w:left="680"/>
        <w:rPr>
          <w:u w:val="single"/>
        </w:rPr>
      </w:pPr>
      <w:r>
        <w:rPr>
          <w:u w:val="single"/>
        </w:rPr>
        <w:tab/>
      </w:r>
    </w:p>
  </w:footnote>
  <w:footnote w:type="continuationNotice" w:id="1">
    <w:p w14:paraId="17295A7A" w14:textId="77777777" w:rsidR="00120FE6" w:rsidRDefault="00120FE6"/>
  </w:footnote>
  <w:footnote w:id="2">
    <w:p w14:paraId="2AEA900E" w14:textId="50247934" w:rsidR="000B1EA4" w:rsidRPr="00B715E3" w:rsidRDefault="000B1EA4" w:rsidP="000B1EA4">
      <w:pPr>
        <w:pStyle w:val="FootnoteText"/>
        <w:jc w:val="both"/>
      </w:pPr>
      <w:r w:rsidRPr="00B715E3">
        <w:tab/>
      </w:r>
      <w:r w:rsidRPr="00B715E3">
        <w:rPr>
          <w:rStyle w:val="FootnoteReference"/>
          <w:sz w:val="20"/>
        </w:rPr>
        <w:t>*</w:t>
      </w:r>
      <w:r w:rsidRPr="00B715E3">
        <w:rPr>
          <w:sz w:val="20"/>
        </w:rPr>
        <w:tab/>
      </w:r>
      <w:r w:rsidRPr="00B715E3">
        <w:rPr>
          <w:szCs w:val="18"/>
        </w:rPr>
        <w:t xml:space="preserve">In accordance with the programme of work of the Inland Transport Committee for </w:t>
      </w:r>
      <w:r w:rsidRPr="00B715E3">
        <w:t>202</w:t>
      </w:r>
      <w:r w:rsidR="001074B4">
        <w:t>6</w:t>
      </w:r>
      <w:r w:rsidRPr="00B715E3">
        <w:t xml:space="preserve"> as outlined in proposed programme budget for </w:t>
      </w:r>
      <w:r w:rsidRPr="00B715E3">
        <w:rPr>
          <w:szCs w:val="18"/>
        </w:rPr>
        <w:t>202</w:t>
      </w:r>
      <w:r w:rsidR="00A90B43">
        <w:rPr>
          <w:szCs w:val="18"/>
        </w:rPr>
        <w:t>6</w:t>
      </w:r>
      <w:r w:rsidRPr="00B715E3">
        <w:rPr>
          <w:szCs w:val="18"/>
        </w:rPr>
        <w:t xml:space="preserve"> (A/</w:t>
      </w:r>
      <w:r w:rsidR="00A90B43">
        <w:rPr>
          <w:szCs w:val="18"/>
        </w:rPr>
        <w:t>80</w:t>
      </w:r>
      <w:r w:rsidRPr="00B715E3">
        <w:rPr>
          <w:szCs w:val="18"/>
        </w:rPr>
        <w:t>/6 (Sect. 20), table 20.</w:t>
      </w:r>
      <w:r w:rsidR="00A90B43">
        <w:rPr>
          <w:szCs w:val="18"/>
        </w:rPr>
        <w:t>7</w:t>
      </w:r>
      <w:r w:rsidRPr="00B715E3">
        <w:rPr>
          <w:szCs w:val="18"/>
        </w:rPr>
        <w:t>), the World Forum will develop, harmonize and update UN Regulations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E6D0" w14:textId="104E16B7" w:rsidR="000B1EA4" w:rsidRPr="002D7E7F" w:rsidRDefault="002D7E7F">
    <w:pPr>
      <w:pStyle w:val="Header"/>
      <w:rPr>
        <w:lang w:val="fr-CH"/>
      </w:rPr>
    </w:pPr>
    <w:r>
      <w:rPr>
        <w:lang w:val="fr-CH"/>
      </w:rPr>
      <w:t>ECE/TRANS/WP.29/GRSG/202</w:t>
    </w:r>
    <w:r w:rsidR="007D7FE8">
      <w:rPr>
        <w:lang w:val="fr-CH"/>
      </w:rPr>
      <w:t>6/</w:t>
    </w:r>
    <w:r w:rsidR="00435B9E">
      <w:rPr>
        <w:lang w:val="fr-CH"/>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20E8" w14:textId="7821384E" w:rsidR="000B1EA4" w:rsidRPr="002D7E7F" w:rsidRDefault="002D7E7F" w:rsidP="002D7E7F">
    <w:pPr>
      <w:pStyle w:val="Header"/>
      <w:jc w:val="right"/>
      <w:rPr>
        <w:lang w:val="fr-CH"/>
      </w:rPr>
    </w:pPr>
    <w:r>
      <w:rPr>
        <w:lang w:val="fr-CH"/>
      </w:rPr>
      <w:t>ECE/TRANS/WP.29/GRSG/202</w:t>
    </w:r>
    <w:r w:rsidR="007D7FE8">
      <w:rPr>
        <w:lang w:val="fr-CH"/>
      </w:rPr>
      <w:t>6/</w:t>
    </w:r>
    <w:r w:rsidR="00435B9E">
      <w:rPr>
        <w:lang w:val="fr-CH"/>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079137B"/>
    <w:multiLevelType w:val="hybridMultilevel"/>
    <w:tmpl w:val="300830A2"/>
    <w:lvl w:ilvl="0" w:tplc="2E98E316">
      <w:start w:val="1"/>
      <w:numFmt w:val="lowerLetter"/>
      <w:lvlText w:val="(%1)"/>
      <w:lvlJc w:val="left"/>
      <w:pPr>
        <w:ind w:left="3408" w:hanging="1140"/>
      </w:pPr>
      <w:rPr>
        <w:rFonts w:hint="default"/>
        <w:b/>
        <w:bCs w:val="0"/>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0" w15:restartNumberingAfterBreak="0">
    <w:nsid w:val="71F05E60"/>
    <w:multiLevelType w:val="hybridMultilevel"/>
    <w:tmpl w:val="B6624FA0"/>
    <w:lvl w:ilvl="0" w:tplc="0407000F">
      <w:start w:val="1"/>
      <w:numFmt w:val="decimal"/>
      <w:lvlText w:val="%1."/>
      <w:lvlJc w:val="left"/>
      <w:pPr>
        <w:ind w:left="6030" w:hanging="360"/>
      </w:pPr>
    </w:lvl>
    <w:lvl w:ilvl="1" w:tplc="04070019" w:tentative="1">
      <w:start w:val="1"/>
      <w:numFmt w:val="lowerLetter"/>
      <w:lvlText w:val="%2."/>
      <w:lvlJc w:val="left"/>
      <w:pPr>
        <w:ind w:left="6750" w:hanging="360"/>
      </w:pPr>
    </w:lvl>
    <w:lvl w:ilvl="2" w:tplc="0407001B" w:tentative="1">
      <w:start w:val="1"/>
      <w:numFmt w:val="lowerRoman"/>
      <w:lvlText w:val="%3."/>
      <w:lvlJc w:val="right"/>
      <w:pPr>
        <w:ind w:left="7470" w:hanging="180"/>
      </w:pPr>
    </w:lvl>
    <w:lvl w:ilvl="3" w:tplc="0407000F" w:tentative="1">
      <w:start w:val="1"/>
      <w:numFmt w:val="decimal"/>
      <w:lvlText w:val="%4."/>
      <w:lvlJc w:val="left"/>
      <w:pPr>
        <w:ind w:left="8190" w:hanging="360"/>
      </w:pPr>
    </w:lvl>
    <w:lvl w:ilvl="4" w:tplc="04070019" w:tentative="1">
      <w:start w:val="1"/>
      <w:numFmt w:val="lowerLetter"/>
      <w:lvlText w:val="%5."/>
      <w:lvlJc w:val="left"/>
      <w:pPr>
        <w:ind w:left="8910" w:hanging="360"/>
      </w:pPr>
    </w:lvl>
    <w:lvl w:ilvl="5" w:tplc="0407001B" w:tentative="1">
      <w:start w:val="1"/>
      <w:numFmt w:val="lowerRoman"/>
      <w:lvlText w:val="%6."/>
      <w:lvlJc w:val="right"/>
      <w:pPr>
        <w:ind w:left="9630" w:hanging="180"/>
      </w:pPr>
    </w:lvl>
    <w:lvl w:ilvl="6" w:tplc="0407000F" w:tentative="1">
      <w:start w:val="1"/>
      <w:numFmt w:val="decimal"/>
      <w:lvlText w:val="%7."/>
      <w:lvlJc w:val="left"/>
      <w:pPr>
        <w:ind w:left="10350" w:hanging="360"/>
      </w:pPr>
    </w:lvl>
    <w:lvl w:ilvl="7" w:tplc="04070019" w:tentative="1">
      <w:start w:val="1"/>
      <w:numFmt w:val="lowerLetter"/>
      <w:lvlText w:val="%8."/>
      <w:lvlJc w:val="left"/>
      <w:pPr>
        <w:ind w:left="11070" w:hanging="360"/>
      </w:pPr>
    </w:lvl>
    <w:lvl w:ilvl="8" w:tplc="0407001B" w:tentative="1">
      <w:start w:val="1"/>
      <w:numFmt w:val="lowerRoman"/>
      <w:lvlText w:val="%9."/>
      <w:lvlJc w:val="right"/>
      <w:pPr>
        <w:ind w:left="11790" w:hanging="180"/>
      </w:pPr>
    </w:lvl>
  </w:abstractNum>
  <w:abstractNum w:abstractNumId="21"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69985810">
    <w:abstractNumId w:val="1"/>
  </w:num>
  <w:num w:numId="2" w16cid:durableId="1716390396">
    <w:abstractNumId w:val="0"/>
  </w:num>
  <w:num w:numId="3" w16cid:durableId="2110193780">
    <w:abstractNumId w:val="2"/>
  </w:num>
  <w:num w:numId="4" w16cid:durableId="852230718">
    <w:abstractNumId w:val="3"/>
  </w:num>
  <w:num w:numId="5" w16cid:durableId="749616534">
    <w:abstractNumId w:val="8"/>
  </w:num>
  <w:num w:numId="6" w16cid:durableId="74014676">
    <w:abstractNumId w:val="9"/>
  </w:num>
  <w:num w:numId="7" w16cid:durableId="50429632">
    <w:abstractNumId w:val="7"/>
  </w:num>
  <w:num w:numId="8" w16cid:durableId="1297561801">
    <w:abstractNumId w:val="6"/>
  </w:num>
  <w:num w:numId="9" w16cid:durableId="875120523">
    <w:abstractNumId w:val="5"/>
  </w:num>
  <w:num w:numId="10" w16cid:durableId="1069841246">
    <w:abstractNumId w:val="4"/>
  </w:num>
  <w:num w:numId="11" w16cid:durableId="1933514449">
    <w:abstractNumId w:val="16"/>
  </w:num>
  <w:num w:numId="12" w16cid:durableId="1211183943">
    <w:abstractNumId w:val="15"/>
  </w:num>
  <w:num w:numId="13" w16cid:durableId="482426443">
    <w:abstractNumId w:val="10"/>
  </w:num>
  <w:num w:numId="14" w16cid:durableId="539629582">
    <w:abstractNumId w:val="13"/>
  </w:num>
  <w:num w:numId="15" w16cid:durableId="650136043">
    <w:abstractNumId w:val="17"/>
  </w:num>
  <w:num w:numId="16" w16cid:durableId="462188031">
    <w:abstractNumId w:val="14"/>
  </w:num>
  <w:num w:numId="17" w16cid:durableId="393236747">
    <w:abstractNumId w:val="18"/>
  </w:num>
  <w:num w:numId="18" w16cid:durableId="920482846">
    <w:abstractNumId w:val="21"/>
  </w:num>
  <w:num w:numId="19" w16cid:durableId="662591124">
    <w:abstractNumId w:val="11"/>
  </w:num>
  <w:num w:numId="20" w16cid:durableId="1793862634">
    <w:abstractNumId w:val="20"/>
  </w:num>
  <w:num w:numId="21" w16cid:durableId="382218942">
    <w:abstractNumId w:val="19"/>
  </w:num>
  <w:num w:numId="22" w16cid:durableId="4418188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n-AU"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A4"/>
    <w:rsid w:val="000023BA"/>
    <w:rsid w:val="00002950"/>
    <w:rsid w:val="00002A7D"/>
    <w:rsid w:val="000038A8"/>
    <w:rsid w:val="00005DF3"/>
    <w:rsid w:val="00006790"/>
    <w:rsid w:val="00007AF2"/>
    <w:rsid w:val="00023630"/>
    <w:rsid w:val="00027624"/>
    <w:rsid w:val="0003336F"/>
    <w:rsid w:val="000355E5"/>
    <w:rsid w:val="000443CE"/>
    <w:rsid w:val="00050F6B"/>
    <w:rsid w:val="00051972"/>
    <w:rsid w:val="000543C6"/>
    <w:rsid w:val="00056D44"/>
    <w:rsid w:val="000678CD"/>
    <w:rsid w:val="00072364"/>
    <w:rsid w:val="00072C8C"/>
    <w:rsid w:val="00073176"/>
    <w:rsid w:val="00077A31"/>
    <w:rsid w:val="00081CE0"/>
    <w:rsid w:val="000833E8"/>
    <w:rsid w:val="00083896"/>
    <w:rsid w:val="000846F8"/>
    <w:rsid w:val="00084D30"/>
    <w:rsid w:val="00086877"/>
    <w:rsid w:val="00090320"/>
    <w:rsid w:val="000931C0"/>
    <w:rsid w:val="00097003"/>
    <w:rsid w:val="000A2E09"/>
    <w:rsid w:val="000B175B"/>
    <w:rsid w:val="000B1EA4"/>
    <w:rsid w:val="000B3A0F"/>
    <w:rsid w:val="000B4A34"/>
    <w:rsid w:val="000C01EE"/>
    <w:rsid w:val="000C0EE4"/>
    <w:rsid w:val="000E0415"/>
    <w:rsid w:val="000E0E92"/>
    <w:rsid w:val="000E30C6"/>
    <w:rsid w:val="000F35BA"/>
    <w:rsid w:val="000F7715"/>
    <w:rsid w:val="00101876"/>
    <w:rsid w:val="001074B4"/>
    <w:rsid w:val="00120FE6"/>
    <w:rsid w:val="001259DE"/>
    <w:rsid w:val="001312BE"/>
    <w:rsid w:val="00156B99"/>
    <w:rsid w:val="001621F2"/>
    <w:rsid w:val="00166124"/>
    <w:rsid w:val="00170500"/>
    <w:rsid w:val="0017570D"/>
    <w:rsid w:val="001763F3"/>
    <w:rsid w:val="0017782E"/>
    <w:rsid w:val="001835BA"/>
    <w:rsid w:val="00184DDA"/>
    <w:rsid w:val="00187E7B"/>
    <w:rsid w:val="001900CD"/>
    <w:rsid w:val="001A0452"/>
    <w:rsid w:val="001A7EF8"/>
    <w:rsid w:val="001B408D"/>
    <w:rsid w:val="001B4B04"/>
    <w:rsid w:val="001B5875"/>
    <w:rsid w:val="001C15C9"/>
    <w:rsid w:val="001C2CED"/>
    <w:rsid w:val="001C3A7E"/>
    <w:rsid w:val="001C4B9C"/>
    <w:rsid w:val="001C6663"/>
    <w:rsid w:val="001C7895"/>
    <w:rsid w:val="001D18F6"/>
    <w:rsid w:val="001D26DF"/>
    <w:rsid w:val="001E2CDC"/>
    <w:rsid w:val="001F1599"/>
    <w:rsid w:val="001F19C4"/>
    <w:rsid w:val="00203F1D"/>
    <w:rsid w:val="002043F0"/>
    <w:rsid w:val="00211E0B"/>
    <w:rsid w:val="00222EC4"/>
    <w:rsid w:val="00232575"/>
    <w:rsid w:val="0023732F"/>
    <w:rsid w:val="00247258"/>
    <w:rsid w:val="00254DC2"/>
    <w:rsid w:val="00257CAC"/>
    <w:rsid w:val="00260D2F"/>
    <w:rsid w:val="00271E29"/>
    <w:rsid w:val="0027237A"/>
    <w:rsid w:val="002938A5"/>
    <w:rsid w:val="00296CEB"/>
    <w:rsid w:val="002974E9"/>
    <w:rsid w:val="002A1B73"/>
    <w:rsid w:val="002A306B"/>
    <w:rsid w:val="002A6598"/>
    <w:rsid w:val="002A7F94"/>
    <w:rsid w:val="002B109A"/>
    <w:rsid w:val="002B29E9"/>
    <w:rsid w:val="002B39D7"/>
    <w:rsid w:val="002B59DC"/>
    <w:rsid w:val="002C67B4"/>
    <w:rsid w:val="002C6D45"/>
    <w:rsid w:val="002D6E53"/>
    <w:rsid w:val="002D7E7F"/>
    <w:rsid w:val="002E110E"/>
    <w:rsid w:val="002F046D"/>
    <w:rsid w:val="002F2779"/>
    <w:rsid w:val="002F3023"/>
    <w:rsid w:val="0030126A"/>
    <w:rsid w:val="00301764"/>
    <w:rsid w:val="003127A5"/>
    <w:rsid w:val="003145BA"/>
    <w:rsid w:val="003229D8"/>
    <w:rsid w:val="003266D2"/>
    <w:rsid w:val="003326FB"/>
    <w:rsid w:val="00333B32"/>
    <w:rsid w:val="00335BB1"/>
    <w:rsid w:val="00336C97"/>
    <w:rsid w:val="00337F88"/>
    <w:rsid w:val="00342432"/>
    <w:rsid w:val="00342F22"/>
    <w:rsid w:val="0035047B"/>
    <w:rsid w:val="0035223F"/>
    <w:rsid w:val="00352D4B"/>
    <w:rsid w:val="0035638C"/>
    <w:rsid w:val="00365D35"/>
    <w:rsid w:val="00375C9F"/>
    <w:rsid w:val="00380772"/>
    <w:rsid w:val="00382A3A"/>
    <w:rsid w:val="003830D3"/>
    <w:rsid w:val="0039243A"/>
    <w:rsid w:val="00394EF2"/>
    <w:rsid w:val="003A46BB"/>
    <w:rsid w:val="003A4A8F"/>
    <w:rsid w:val="003A4EC7"/>
    <w:rsid w:val="003A7295"/>
    <w:rsid w:val="003B0C82"/>
    <w:rsid w:val="003B1F60"/>
    <w:rsid w:val="003B54C9"/>
    <w:rsid w:val="003C2CC4"/>
    <w:rsid w:val="003C5B4A"/>
    <w:rsid w:val="003C6CD3"/>
    <w:rsid w:val="003D0245"/>
    <w:rsid w:val="003D0277"/>
    <w:rsid w:val="003D4B23"/>
    <w:rsid w:val="003E278A"/>
    <w:rsid w:val="003E3246"/>
    <w:rsid w:val="003E6AF7"/>
    <w:rsid w:val="003F0A27"/>
    <w:rsid w:val="003F130D"/>
    <w:rsid w:val="003F21FC"/>
    <w:rsid w:val="003F49B2"/>
    <w:rsid w:val="004107AA"/>
    <w:rsid w:val="00413520"/>
    <w:rsid w:val="00421996"/>
    <w:rsid w:val="004244A5"/>
    <w:rsid w:val="00426E70"/>
    <w:rsid w:val="00426EF5"/>
    <w:rsid w:val="00431F55"/>
    <w:rsid w:val="004325CB"/>
    <w:rsid w:val="00435B9E"/>
    <w:rsid w:val="00440A07"/>
    <w:rsid w:val="00445124"/>
    <w:rsid w:val="00452EF3"/>
    <w:rsid w:val="00462880"/>
    <w:rsid w:val="00466414"/>
    <w:rsid w:val="00466D33"/>
    <w:rsid w:val="004674C9"/>
    <w:rsid w:val="00472133"/>
    <w:rsid w:val="00472DF8"/>
    <w:rsid w:val="00476F24"/>
    <w:rsid w:val="00481761"/>
    <w:rsid w:val="004A4D76"/>
    <w:rsid w:val="004A570C"/>
    <w:rsid w:val="004A5D33"/>
    <w:rsid w:val="004A60AF"/>
    <w:rsid w:val="004B383B"/>
    <w:rsid w:val="004B59A0"/>
    <w:rsid w:val="004C55B0"/>
    <w:rsid w:val="004C651E"/>
    <w:rsid w:val="004D1435"/>
    <w:rsid w:val="004E47A1"/>
    <w:rsid w:val="004F6BA0"/>
    <w:rsid w:val="0050158B"/>
    <w:rsid w:val="00502B9C"/>
    <w:rsid w:val="00503BEA"/>
    <w:rsid w:val="00510783"/>
    <w:rsid w:val="00513249"/>
    <w:rsid w:val="00521A9D"/>
    <w:rsid w:val="00533616"/>
    <w:rsid w:val="00535ABA"/>
    <w:rsid w:val="005373CB"/>
    <w:rsid w:val="0053768B"/>
    <w:rsid w:val="005420F2"/>
    <w:rsid w:val="0054285C"/>
    <w:rsid w:val="005443AB"/>
    <w:rsid w:val="00566E03"/>
    <w:rsid w:val="005736D0"/>
    <w:rsid w:val="00576CA0"/>
    <w:rsid w:val="005814A9"/>
    <w:rsid w:val="00584173"/>
    <w:rsid w:val="00584B07"/>
    <w:rsid w:val="00586555"/>
    <w:rsid w:val="00595520"/>
    <w:rsid w:val="005A44B9"/>
    <w:rsid w:val="005B1BA0"/>
    <w:rsid w:val="005B3DB3"/>
    <w:rsid w:val="005C0268"/>
    <w:rsid w:val="005D15CA"/>
    <w:rsid w:val="005E7B0B"/>
    <w:rsid w:val="005F06C6"/>
    <w:rsid w:val="005F08DF"/>
    <w:rsid w:val="005F3066"/>
    <w:rsid w:val="005F3E61"/>
    <w:rsid w:val="005F4293"/>
    <w:rsid w:val="005F4932"/>
    <w:rsid w:val="005F5394"/>
    <w:rsid w:val="005F56C6"/>
    <w:rsid w:val="005F5D62"/>
    <w:rsid w:val="00601C2D"/>
    <w:rsid w:val="00604DDD"/>
    <w:rsid w:val="0060506B"/>
    <w:rsid w:val="006107D6"/>
    <w:rsid w:val="006115CC"/>
    <w:rsid w:val="00611FC4"/>
    <w:rsid w:val="00612471"/>
    <w:rsid w:val="006176FB"/>
    <w:rsid w:val="00623BD8"/>
    <w:rsid w:val="006263EB"/>
    <w:rsid w:val="006301DA"/>
    <w:rsid w:val="00630E40"/>
    <w:rsid w:val="00630FCB"/>
    <w:rsid w:val="0063588F"/>
    <w:rsid w:val="00640B26"/>
    <w:rsid w:val="00655B0A"/>
    <w:rsid w:val="0065766B"/>
    <w:rsid w:val="0067039D"/>
    <w:rsid w:val="00670B41"/>
    <w:rsid w:val="00671576"/>
    <w:rsid w:val="006770B2"/>
    <w:rsid w:val="00686A48"/>
    <w:rsid w:val="0068763C"/>
    <w:rsid w:val="00691C3C"/>
    <w:rsid w:val="006940E1"/>
    <w:rsid w:val="00695423"/>
    <w:rsid w:val="0069542D"/>
    <w:rsid w:val="006A3C72"/>
    <w:rsid w:val="006A7392"/>
    <w:rsid w:val="006B03A1"/>
    <w:rsid w:val="006B3B36"/>
    <w:rsid w:val="006B67D9"/>
    <w:rsid w:val="006C027C"/>
    <w:rsid w:val="006C5535"/>
    <w:rsid w:val="006D0589"/>
    <w:rsid w:val="006D3C26"/>
    <w:rsid w:val="006D4056"/>
    <w:rsid w:val="006E564B"/>
    <w:rsid w:val="006E7154"/>
    <w:rsid w:val="006F1361"/>
    <w:rsid w:val="006F22CE"/>
    <w:rsid w:val="006F5BF1"/>
    <w:rsid w:val="007003CD"/>
    <w:rsid w:val="00701112"/>
    <w:rsid w:val="0070701E"/>
    <w:rsid w:val="0072632A"/>
    <w:rsid w:val="0073295A"/>
    <w:rsid w:val="007358E8"/>
    <w:rsid w:val="00736ECE"/>
    <w:rsid w:val="007402FF"/>
    <w:rsid w:val="0074533B"/>
    <w:rsid w:val="00745C23"/>
    <w:rsid w:val="00745F4F"/>
    <w:rsid w:val="00757C64"/>
    <w:rsid w:val="00762100"/>
    <w:rsid w:val="007643BC"/>
    <w:rsid w:val="00780C68"/>
    <w:rsid w:val="00787409"/>
    <w:rsid w:val="007959FE"/>
    <w:rsid w:val="007A0CF1"/>
    <w:rsid w:val="007B6BA5"/>
    <w:rsid w:val="007C3390"/>
    <w:rsid w:val="007C42D8"/>
    <w:rsid w:val="007C4F4B"/>
    <w:rsid w:val="007C6E5E"/>
    <w:rsid w:val="007D321E"/>
    <w:rsid w:val="007D6F65"/>
    <w:rsid w:val="007D7362"/>
    <w:rsid w:val="007D7FE8"/>
    <w:rsid w:val="007E2A38"/>
    <w:rsid w:val="007E4E69"/>
    <w:rsid w:val="007E7053"/>
    <w:rsid w:val="007F5CE2"/>
    <w:rsid w:val="007F62E8"/>
    <w:rsid w:val="007F6611"/>
    <w:rsid w:val="00805943"/>
    <w:rsid w:val="00810BAC"/>
    <w:rsid w:val="008121DD"/>
    <w:rsid w:val="00814C29"/>
    <w:rsid w:val="008175E9"/>
    <w:rsid w:val="00822E0A"/>
    <w:rsid w:val="008242D7"/>
    <w:rsid w:val="0082577B"/>
    <w:rsid w:val="00825CB5"/>
    <w:rsid w:val="008265F9"/>
    <w:rsid w:val="008632BC"/>
    <w:rsid w:val="00866893"/>
    <w:rsid w:val="00866F02"/>
    <w:rsid w:val="00867D18"/>
    <w:rsid w:val="00871F9A"/>
    <w:rsid w:val="00871FD5"/>
    <w:rsid w:val="0087287A"/>
    <w:rsid w:val="00877A8A"/>
    <w:rsid w:val="00877DD8"/>
    <w:rsid w:val="0088172E"/>
    <w:rsid w:val="00881EFA"/>
    <w:rsid w:val="008879CB"/>
    <w:rsid w:val="008927C3"/>
    <w:rsid w:val="008933B0"/>
    <w:rsid w:val="00895AF3"/>
    <w:rsid w:val="00895C94"/>
    <w:rsid w:val="00895FF8"/>
    <w:rsid w:val="008979B1"/>
    <w:rsid w:val="008A5166"/>
    <w:rsid w:val="008A631E"/>
    <w:rsid w:val="008A6B25"/>
    <w:rsid w:val="008A6C4F"/>
    <w:rsid w:val="008B389E"/>
    <w:rsid w:val="008B76E6"/>
    <w:rsid w:val="008C34D7"/>
    <w:rsid w:val="008C725F"/>
    <w:rsid w:val="008D045E"/>
    <w:rsid w:val="008D3F25"/>
    <w:rsid w:val="008D41CD"/>
    <w:rsid w:val="008D4D82"/>
    <w:rsid w:val="008D6009"/>
    <w:rsid w:val="008E0E46"/>
    <w:rsid w:val="008E7116"/>
    <w:rsid w:val="008F0E4C"/>
    <w:rsid w:val="008F143B"/>
    <w:rsid w:val="008F18DF"/>
    <w:rsid w:val="008F3882"/>
    <w:rsid w:val="008F4B7C"/>
    <w:rsid w:val="008F5361"/>
    <w:rsid w:val="009053C6"/>
    <w:rsid w:val="009129D6"/>
    <w:rsid w:val="00914D27"/>
    <w:rsid w:val="00923AEC"/>
    <w:rsid w:val="0092556A"/>
    <w:rsid w:val="00926E47"/>
    <w:rsid w:val="00934EA9"/>
    <w:rsid w:val="00944A91"/>
    <w:rsid w:val="00947162"/>
    <w:rsid w:val="00952BE2"/>
    <w:rsid w:val="00953400"/>
    <w:rsid w:val="009610D0"/>
    <w:rsid w:val="0096375C"/>
    <w:rsid w:val="009662E6"/>
    <w:rsid w:val="0097095E"/>
    <w:rsid w:val="00973AA2"/>
    <w:rsid w:val="0097411D"/>
    <w:rsid w:val="0098592B"/>
    <w:rsid w:val="0098598A"/>
    <w:rsid w:val="00985FC4"/>
    <w:rsid w:val="00990766"/>
    <w:rsid w:val="00991261"/>
    <w:rsid w:val="00992356"/>
    <w:rsid w:val="009964C4"/>
    <w:rsid w:val="009A1FBE"/>
    <w:rsid w:val="009A5B87"/>
    <w:rsid w:val="009A6533"/>
    <w:rsid w:val="009A7B81"/>
    <w:rsid w:val="009B011B"/>
    <w:rsid w:val="009B0370"/>
    <w:rsid w:val="009B4ED7"/>
    <w:rsid w:val="009B772E"/>
    <w:rsid w:val="009B7EB7"/>
    <w:rsid w:val="009C1A93"/>
    <w:rsid w:val="009C503F"/>
    <w:rsid w:val="009D01C0"/>
    <w:rsid w:val="009D6A08"/>
    <w:rsid w:val="009E0A16"/>
    <w:rsid w:val="009E6CB7"/>
    <w:rsid w:val="009E7970"/>
    <w:rsid w:val="009F2EAC"/>
    <w:rsid w:val="009F5302"/>
    <w:rsid w:val="009F57E3"/>
    <w:rsid w:val="009F65A5"/>
    <w:rsid w:val="00A00880"/>
    <w:rsid w:val="00A077A2"/>
    <w:rsid w:val="00A10F4F"/>
    <w:rsid w:val="00A11067"/>
    <w:rsid w:val="00A123FD"/>
    <w:rsid w:val="00A1704A"/>
    <w:rsid w:val="00A26C0E"/>
    <w:rsid w:val="00A314E3"/>
    <w:rsid w:val="00A35A0F"/>
    <w:rsid w:val="00A36AC2"/>
    <w:rsid w:val="00A425EB"/>
    <w:rsid w:val="00A512FF"/>
    <w:rsid w:val="00A657A7"/>
    <w:rsid w:val="00A72F22"/>
    <w:rsid w:val="00A733BC"/>
    <w:rsid w:val="00A748A6"/>
    <w:rsid w:val="00A766C3"/>
    <w:rsid w:val="00A76A69"/>
    <w:rsid w:val="00A7780E"/>
    <w:rsid w:val="00A879A4"/>
    <w:rsid w:val="00A90031"/>
    <w:rsid w:val="00A90B43"/>
    <w:rsid w:val="00A95C34"/>
    <w:rsid w:val="00A9719E"/>
    <w:rsid w:val="00AA0FF8"/>
    <w:rsid w:val="00AA768A"/>
    <w:rsid w:val="00AA7E78"/>
    <w:rsid w:val="00AA7F40"/>
    <w:rsid w:val="00AB67D5"/>
    <w:rsid w:val="00AC0F2C"/>
    <w:rsid w:val="00AC502A"/>
    <w:rsid w:val="00AC52CF"/>
    <w:rsid w:val="00AD0285"/>
    <w:rsid w:val="00AE1E26"/>
    <w:rsid w:val="00AE259B"/>
    <w:rsid w:val="00AE5C87"/>
    <w:rsid w:val="00AF58C1"/>
    <w:rsid w:val="00B04A3F"/>
    <w:rsid w:val="00B06643"/>
    <w:rsid w:val="00B07D44"/>
    <w:rsid w:val="00B15055"/>
    <w:rsid w:val="00B15BF2"/>
    <w:rsid w:val="00B17E89"/>
    <w:rsid w:val="00B20551"/>
    <w:rsid w:val="00B25618"/>
    <w:rsid w:val="00B30179"/>
    <w:rsid w:val="00B31E0B"/>
    <w:rsid w:val="00B33FC7"/>
    <w:rsid w:val="00B3552F"/>
    <w:rsid w:val="00B37B15"/>
    <w:rsid w:val="00B4162A"/>
    <w:rsid w:val="00B42CE6"/>
    <w:rsid w:val="00B45C02"/>
    <w:rsid w:val="00B45D2C"/>
    <w:rsid w:val="00B50C15"/>
    <w:rsid w:val="00B526AE"/>
    <w:rsid w:val="00B616FA"/>
    <w:rsid w:val="00B6691D"/>
    <w:rsid w:val="00B70B63"/>
    <w:rsid w:val="00B715E3"/>
    <w:rsid w:val="00B72A1E"/>
    <w:rsid w:val="00B762EE"/>
    <w:rsid w:val="00B76463"/>
    <w:rsid w:val="00B81E12"/>
    <w:rsid w:val="00B8479C"/>
    <w:rsid w:val="00BA339B"/>
    <w:rsid w:val="00BB23CC"/>
    <w:rsid w:val="00BB26C8"/>
    <w:rsid w:val="00BC1E7E"/>
    <w:rsid w:val="00BC71A2"/>
    <w:rsid w:val="00BC74E9"/>
    <w:rsid w:val="00BC7693"/>
    <w:rsid w:val="00BD0FFF"/>
    <w:rsid w:val="00BD47D0"/>
    <w:rsid w:val="00BD5763"/>
    <w:rsid w:val="00BE33D0"/>
    <w:rsid w:val="00BE36A9"/>
    <w:rsid w:val="00BE618E"/>
    <w:rsid w:val="00BE65B0"/>
    <w:rsid w:val="00BE7BEC"/>
    <w:rsid w:val="00BE7DE0"/>
    <w:rsid w:val="00BF0A5A"/>
    <w:rsid w:val="00BF0E63"/>
    <w:rsid w:val="00BF12A3"/>
    <w:rsid w:val="00BF16D7"/>
    <w:rsid w:val="00BF2373"/>
    <w:rsid w:val="00BF279B"/>
    <w:rsid w:val="00BF2909"/>
    <w:rsid w:val="00C01731"/>
    <w:rsid w:val="00C044E2"/>
    <w:rsid w:val="00C048CB"/>
    <w:rsid w:val="00C06536"/>
    <w:rsid w:val="00C066F3"/>
    <w:rsid w:val="00C1168E"/>
    <w:rsid w:val="00C2715E"/>
    <w:rsid w:val="00C463DD"/>
    <w:rsid w:val="00C720D2"/>
    <w:rsid w:val="00C7377C"/>
    <w:rsid w:val="00C745C3"/>
    <w:rsid w:val="00C7495C"/>
    <w:rsid w:val="00C9169A"/>
    <w:rsid w:val="00C94EFF"/>
    <w:rsid w:val="00C978F5"/>
    <w:rsid w:val="00CA15C0"/>
    <w:rsid w:val="00CA1EA3"/>
    <w:rsid w:val="00CA24A4"/>
    <w:rsid w:val="00CB0481"/>
    <w:rsid w:val="00CB348D"/>
    <w:rsid w:val="00CD46F5"/>
    <w:rsid w:val="00CD6F8D"/>
    <w:rsid w:val="00CD6FE6"/>
    <w:rsid w:val="00CE0119"/>
    <w:rsid w:val="00CE1B38"/>
    <w:rsid w:val="00CE4A8F"/>
    <w:rsid w:val="00CF071D"/>
    <w:rsid w:val="00CF22F6"/>
    <w:rsid w:val="00CF4619"/>
    <w:rsid w:val="00CF6C8D"/>
    <w:rsid w:val="00D0123D"/>
    <w:rsid w:val="00D12203"/>
    <w:rsid w:val="00D15B04"/>
    <w:rsid w:val="00D2031B"/>
    <w:rsid w:val="00D23F3E"/>
    <w:rsid w:val="00D25FE2"/>
    <w:rsid w:val="00D33C14"/>
    <w:rsid w:val="00D37688"/>
    <w:rsid w:val="00D37DA9"/>
    <w:rsid w:val="00D40316"/>
    <w:rsid w:val="00D406A7"/>
    <w:rsid w:val="00D41AE9"/>
    <w:rsid w:val="00D43252"/>
    <w:rsid w:val="00D44D86"/>
    <w:rsid w:val="00D50B7D"/>
    <w:rsid w:val="00D52012"/>
    <w:rsid w:val="00D5214D"/>
    <w:rsid w:val="00D52E21"/>
    <w:rsid w:val="00D63A89"/>
    <w:rsid w:val="00D704E5"/>
    <w:rsid w:val="00D7147C"/>
    <w:rsid w:val="00D71579"/>
    <w:rsid w:val="00D72727"/>
    <w:rsid w:val="00D80C35"/>
    <w:rsid w:val="00D9242E"/>
    <w:rsid w:val="00D9365B"/>
    <w:rsid w:val="00D977A1"/>
    <w:rsid w:val="00D978C6"/>
    <w:rsid w:val="00DA029E"/>
    <w:rsid w:val="00DA0956"/>
    <w:rsid w:val="00DA13BD"/>
    <w:rsid w:val="00DA248F"/>
    <w:rsid w:val="00DA357F"/>
    <w:rsid w:val="00DA3E12"/>
    <w:rsid w:val="00DB2D44"/>
    <w:rsid w:val="00DB4F0B"/>
    <w:rsid w:val="00DC18AD"/>
    <w:rsid w:val="00DC7A17"/>
    <w:rsid w:val="00DD0DD2"/>
    <w:rsid w:val="00DD249E"/>
    <w:rsid w:val="00DD2BEF"/>
    <w:rsid w:val="00DE503E"/>
    <w:rsid w:val="00DF504D"/>
    <w:rsid w:val="00DF7CAE"/>
    <w:rsid w:val="00E03DE4"/>
    <w:rsid w:val="00E1573C"/>
    <w:rsid w:val="00E16AA2"/>
    <w:rsid w:val="00E34D23"/>
    <w:rsid w:val="00E419DA"/>
    <w:rsid w:val="00E423C0"/>
    <w:rsid w:val="00E47B84"/>
    <w:rsid w:val="00E5087C"/>
    <w:rsid w:val="00E6414C"/>
    <w:rsid w:val="00E7260F"/>
    <w:rsid w:val="00E8702D"/>
    <w:rsid w:val="00E905F4"/>
    <w:rsid w:val="00E916A9"/>
    <w:rsid w:val="00E916DE"/>
    <w:rsid w:val="00E925AD"/>
    <w:rsid w:val="00E96630"/>
    <w:rsid w:val="00EA41E8"/>
    <w:rsid w:val="00EA7291"/>
    <w:rsid w:val="00ED18DC"/>
    <w:rsid w:val="00ED1FEC"/>
    <w:rsid w:val="00ED6201"/>
    <w:rsid w:val="00ED6EB9"/>
    <w:rsid w:val="00ED7A2A"/>
    <w:rsid w:val="00ED7DD7"/>
    <w:rsid w:val="00EF1D7F"/>
    <w:rsid w:val="00EF230B"/>
    <w:rsid w:val="00EF3AC4"/>
    <w:rsid w:val="00F00C29"/>
    <w:rsid w:val="00F0137E"/>
    <w:rsid w:val="00F04E44"/>
    <w:rsid w:val="00F074C6"/>
    <w:rsid w:val="00F140E2"/>
    <w:rsid w:val="00F1501F"/>
    <w:rsid w:val="00F211C7"/>
    <w:rsid w:val="00F21786"/>
    <w:rsid w:val="00F23BDC"/>
    <w:rsid w:val="00F25D06"/>
    <w:rsid w:val="00F25D16"/>
    <w:rsid w:val="00F31CFF"/>
    <w:rsid w:val="00F3742B"/>
    <w:rsid w:val="00F41FDB"/>
    <w:rsid w:val="00F47128"/>
    <w:rsid w:val="00F50597"/>
    <w:rsid w:val="00F50F4F"/>
    <w:rsid w:val="00F5132A"/>
    <w:rsid w:val="00F52073"/>
    <w:rsid w:val="00F5436B"/>
    <w:rsid w:val="00F5552E"/>
    <w:rsid w:val="00F56755"/>
    <w:rsid w:val="00F56D63"/>
    <w:rsid w:val="00F609A9"/>
    <w:rsid w:val="00F6296F"/>
    <w:rsid w:val="00F62C75"/>
    <w:rsid w:val="00F80C99"/>
    <w:rsid w:val="00F83F16"/>
    <w:rsid w:val="00F84786"/>
    <w:rsid w:val="00F867EC"/>
    <w:rsid w:val="00F91B2B"/>
    <w:rsid w:val="00FA21EE"/>
    <w:rsid w:val="00FA2265"/>
    <w:rsid w:val="00FB06C2"/>
    <w:rsid w:val="00FC03CD"/>
    <w:rsid w:val="00FC0646"/>
    <w:rsid w:val="00FC1DE7"/>
    <w:rsid w:val="00FC68B7"/>
    <w:rsid w:val="00FD220C"/>
    <w:rsid w:val="00FE0518"/>
    <w:rsid w:val="00FE3E4E"/>
    <w:rsid w:val="00FE6331"/>
    <w:rsid w:val="00FE6985"/>
    <w:rsid w:val="00FE7B8F"/>
    <w:rsid w:val="00FF70DD"/>
    <w:rsid w:val="00FF7BF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AD4E"/>
  <w15:docId w15:val="{7876326D-CF67-4379-9DDA-56C6B399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0B1EA4"/>
    <w:rPr>
      <w:lang w:val="en-GB"/>
    </w:rPr>
  </w:style>
  <w:style w:type="character" w:customStyle="1" w:styleId="HChGChar">
    <w:name w:val="_ H _Ch_G Char"/>
    <w:link w:val="HChG"/>
    <w:qFormat/>
    <w:rsid w:val="000B1EA4"/>
    <w:rPr>
      <w:b/>
      <w:sz w:val="28"/>
      <w:lang w:val="en-GB"/>
    </w:rPr>
  </w:style>
  <w:style w:type="character" w:customStyle="1" w:styleId="H1GChar">
    <w:name w:val="_ H_1_G Char"/>
    <w:link w:val="H1G"/>
    <w:locked/>
    <w:rsid w:val="000B1EA4"/>
    <w:rPr>
      <w:b/>
      <w:sz w:val="24"/>
      <w:lang w:val="en-GB"/>
    </w:rPr>
  </w:style>
  <w:style w:type="paragraph" w:styleId="NormalWeb">
    <w:name w:val="Normal (Web)"/>
    <w:basedOn w:val="Normal"/>
    <w:uiPriority w:val="99"/>
    <w:rsid w:val="000B1EA4"/>
    <w:pPr>
      <w:suppressAutoHyphens/>
    </w:pPr>
    <w:rPr>
      <w:sz w:val="24"/>
      <w:szCs w:val="24"/>
      <w:lang w:eastAsia="en-US"/>
    </w:rPr>
  </w:style>
  <w:style w:type="paragraph" w:styleId="ListParagraph">
    <w:name w:val="List Paragraph"/>
    <w:basedOn w:val="Normal"/>
    <w:uiPriority w:val="34"/>
    <w:qFormat/>
    <w:rsid w:val="000B1EA4"/>
    <w:pPr>
      <w:suppressAutoHyphens/>
      <w:ind w:left="720"/>
      <w:contextualSpacing/>
    </w:pPr>
    <w:rPr>
      <w:rFonts w:eastAsia="MS Mincho"/>
    </w:rPr>
  </w:style>
  <w:style w:type="character" w:customStyle="1" w:styleId="Flietext">
    <w:name w:val="Fließtext_"/>
    <w:basedOn w:val="DefaultParagraphFont"/>
    <w:link w:val="Flietext0"/>
    <w:rsid w:val="000B1EA4"/>
    <w:rPr>
      <w:b/>
      <w:bCs/>
    </w:rPr>
  </w:style>
  <w:style w:type="paragraph" w:customStyle="1" w:styleId="Flietext0">
    <w:name w:val="Fließtext"/>
    <w:basedOn w:val="Normal"/>
    <w:link w:val="Flietext"/>
    <w:rsid w:val="000B1EA4"/>
    <w:pPr>
      <w:widowControl w:val="0"/>
      <w:spacing w:after="120" w:line="240" w:lineRule="auto"/>
    </w:pPr>
    <w:rPr>
      <w:b/>
      <w:bCs/>
      <w:lang w:val="fr-FR"/>
    </w:rPr>
  </w:style>
  <w:style w:type="paragraph" w:styleId="BodyText">
    <w:name w:val="Body Text"/>
    <w:basedOn w:val="Normal"/>
    <w:link w:val="BodyTextChar"/>
    <w:uiPriority w:val="1"/>
    <w:qFormat/>
    <w:rsid w:val="000B1EA4"/>
    <w:pPr>
      <w:widowControl w:val="0"/>
      <w:autoSpaceDE w:val="0"/>
      <w:autoSpaceDN w:val="0"/>
      <w:spacing w:line="240" w:lineRule="auto"/>
    </w:pPr>
    <w:rPr>
      <w:rFonts w:ascii="Courier New" w:eastAsia="Courier New" w:hAnsi="Courier New" w:cs="Courier New"/>
      <w:sz w:val="17"/>
      <w:szCs w:val="17"/>
      <w:lang w:val="en-US" w:eastAsia="en-US"/>
    </w:rPr>
  </w:style>
  <w:style w:type="character" w:customStyle="1" w:styleId="BodyTextChar">
    <w:name w:val="Body Text Char"/>
    <w:basedOn w:val="DefaultParagraphFont"/>
    <w:link w:val="BodyText"/>
    <w:uiPriority w:val="1"/>
    <w:rsid w:val="000B1EA4"/>
    <w:rPr>
      <w:rFonts w:ascii="Courier New" w:eastAsia="Courier New" w:hAnsi="Courier New" w:cs="Courier New"/>
      <w:sz w:val="17"/>
      <w:szCs w:val="17"/>
      <w:lang w:val="en-US" w:eastAsia="en-US"/>
    </w:rPr>
  </w:style>
  <w:style w:type="paragraph" w:styleId="PlainText">
    <w:name w:val="Plain Text"/>
    <w:basedOn w:val="Normal"/>
    <w:link w:val="PlainTextChar"/>
    <w:uiPriority w:val="99"/>
    <w:semiHidden/>
    <w:unhideWhenUsed/>
    <w:rsid w:val="000B1EA4"/>
    <w:pPr>
      <w:spacing w:line="240" w:lineRule="auto"/>
    </w:pPr>
    <w:rPr>
      <w:rFonts w:ascii="Arial" w:eastAsiaTheme="minorHAnsi" w:hAnsi="Arial" w:cs="Arial"/>
      <w:lang w:val="de-DE" w:eastAsia="en-US"/>
    </w:rPr>
  </w:style>
  <w:style w:type="character" w:customStyle="1" w:styleId="PlainTextChar">
    <w:name w:val="Plain Text Char"/>
    <w:basedOn w:val="DefaultParagraphFont"/>
    <w:link w:val="PlainText"/>
    <w:uiPriority w:val="99"/>
    <w:semiHidden/>
    <w:rsid w:val="000B1EA4"/>
    <w:rPr>
      <w:rFonts w:ascii="Arial" w:eastAsiaTheme="minorHAnsi" w:hAnsi="Arial" w:cs="Arial"/>
      <w:lang w:val="de-DE" w:eastAsia="en-US"/>
    </w:rPr>
  </w:style>
  <w:style w:type="paragraph" w:styleId="Revision">
    <w:name w:val="Revision"/>
    <w:hidden/>
    <w:uiPriority w:val="99"/>
    <w:semiHidden/>
    <w:rsid w:val="000846F8"/>
    <w:pPr>
      <w:spacing w:line="240" w:lineRule="auto"/>
    </w:pPr>
    <w:rPr>
      <w:lang w:val="en-GB"/>
    </w:rPr>
  </w:style>
  <w:style w:type="character" w:styleId="CommentReference">
    <w:name w:val="annotation reference"/>
    <w:basedOn w:val="DefaultParagraphFont"/>
    <w:semiHidden/>
    <w:unhideWhenUsed/>
    <w:rsid w:val="007E7053"/>
    <w:rPr>
      <w:sz w:val="16"/>
      <w:szCs w:val="16"/>
    </w:rPr>
  </w:style>
  <w:style w:type="paragraph" w:styleId="CommentText">
    <w:name w:val="annotation text"/>
    <w:basedOn w:val="Normal"/>
    <w:link w:val="CommentTextChar"/>
    <w:unhideWhenUsed/>
    <w:rsid w:val="007E7053"/>
    <w:pPr>
      <w:spacing w:line="240" w:lineRule="auto"/>
    </w:pPr>
  </w:style>
  <w:style w:type="character" w:customStyle="1" w:styleId="CommentTextChar">
    <w:name w:val="Comment Text Char"/>
    <w:basedOn w:val="DefaultParagraphFont"/>
    <w:link w:val="CommentText"/>
    <w:rsid w:val="007E7053"/>
    <w:rPr>
      <w:lang w:val="en-GB"/>
    </w:rPr>
  </w:style>
  <w:style w:type="paragraph" w:styleId="CommentSubject">
    <w:name w:val="annotation subject"/>
    <w:basedOn w:val="CommentText"/>
    <w:next w:val="CommentText"/>
    <w:link w:val="CommentSubjectChar"/>
    <w:semiHidden/>
    <w:unhideWhenUsed/>
    <w:rsid w:val="007E7053"/>
    <w:rPr>
      <w:b/>
      <w:bCs/>
    </w:rPr>
  </w:style>
  <w:style w:type="character" w:customStyle="1" w:styleId="CommentSubjectChar">
    <w:name w:val="Comment Subject Char"/>
    <w:basedOn w:val="CommentTextChar"/>
    <w:link w:val="CommentSubject"/>
    <w:semiHidden/>
    <w:rsid w:val="007E7053"/>
    <w:rPr>
      <w:b/>
      <w:bCs/>
      <w:lang w:val="en-GB"/>
    </w:rPr>
  </w:style>
  <w:style w:type="character" w:styleId="UnresolvedMention">
    <w:name w:val="Unresolved Mention"/>
    <w:basedOn w:val="DefaultParagraphFont"/>
    <w:uiPriority w:val="99"/>
    <w:semiHidden/>
    <w:unhideWhenUsed/>
    <w:rsid w:val="007E7053"/>
    <w:rPr>
      <w:color w:val="605E5C"/>
      <w:shd w:val="clear" w:color="auto" w:fill="E1DFDD"/>
    </w:rPr>
  </w:style>
  <w:style w:type="paragraph" w:customStyle="1" w:styleId="para">
    <w:name w:val="para"/>
    <w:basedOn w:val="Normal"/>
    <w:link w:val="paraChar"/>
    <w:qFormat/>
    <w:rsid w:val="00CE1B38"/>
    <w:pPr>
      <w:spacing w:after="120"/>
      <w:ind w:left="2268" w:right="1134" w:hanging="1134"/>
      <w:jc w:val="both"/>
    </w:pPr>
    <w:rPr>
      <w:rFonts w:eastAsia="Yu Mincho"/>
      <w:snapToGrid w:val="0"/>
      <w:lang w:val="fr-FR" w:eastAsia="en-US"/>
    </w:rPr>
  </w:style>
  <w:style w:type="character" w:customStyle="1" w:styleId="paraChar">
    <w:name w:val="para Char"/>
    <w:link w:val="para"/>
    <w:rsid w:val="00CE1B38"/>
    <w:rPr>
      <w:rFonts w:eastAsia="Yu Mincho"/>
      <w:snapToGrid w:val="0"/>
      <w:lang w:eastAsia="en-US"/>
    </w:rPr>
  </w:style>
  <w:style w:type="paragraph" w:customStyle="1" w:styleId="Para0">
    <w:name w:val="Para"/>
    <w:basedOn w:val="Normal"/>
    <w:qFormat/>
    <w:rsid w:val="00AC52CF"/>
    <w:pPr>
      <w:spacing w:after="120"/>
      <w:ind w:left="2268" w:right="1134" w:hanging="1134"/>
      <w:jc w:val="both"/>
    </w:pPr>
    <w:rPr>
      <w:lang w:eastAsia="en-US"/>
    </w:rPr>
  </w:style>
  <w:style w:type="paragraph" w:customStyle="1" w:styleId="Default">
    <w:name w:val="Default"/>
    <w:rsid w:val="00002950"/>
    <w:pPr>
      <w:autoSpaceDE w:val="0"/>
      <w:autoSpaceDN w:val="0"/>
      <w:adjustRightInd w:val="0"/>
      <w:spacing w:line="240" w:lineRule="auto"/>
    </w:pPr>
    <w:rPr>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2A96C806-3882-44CF-9F37-7D3873BDF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521b6238-8359-4a58-8064-607e0430c4c4}" enabled="1" method="Standard" siteId="{150cfa2a-f5d3-460a-ae30-e92179b1b1a9}" removed="0"/>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TRANS_WP29_E.dotm</Template>
  <TotalTime>0</TotalTime>
  <Pages>4</Pages>
  <Words>925</Words>
  <Characters>5041</Characters>
  <Application>Microsoft Office Word</Application>
  <DocSecurity>0</DocSecurity>
  <Lines>147</Lines>
  <Paragraphs>79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ECE/TRANS/WP.29/GRSG/2025/19</vt:lpstr>
      <vt:lpstr>ECE/TRANS/WP.29/GRSG/2025/8</vt:lpstr>
      <vt:lpstr/>
    </vt:vector>
  </TitlesOfParts>
  <Company>CSD</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ECE/TRANS/WP.29/GRSG/2026/9</dc:title>
  <dc:subject>2601068</dc:subject>
  <dc:creator>Edoardo Gianotti</dc:creator>
  <cp:keywords/>
  <dc:description/>
  <cp:lastModifiedBy>Pauline Anne Escalante</cp:lastModifiedBy>
  <cp:revision>2</cp:revision>
  <cp:lastPrinted>2026-01-29T13:40:00Z</cp:lastPrinted>
  <dcterms:created xsi:type="dcterms:W3CDTF">2026-01-29T14:04:00Z</dcterms:created>
  <dcterms:modified xsi:type="dcterms:W3CDTF">2026-01-29T14:04:00Z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