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BF39992" w14:textId="77777777" w:rsidTr="00B20551">
        <w:trPr>
          <w:cantSplit/>
          <w:trHeight w:hRule="exact" w:val="851"/>
        </w:trPr>
        <w:tc>
          <w:tcPr>
            <w:tcW w:w="1276" w:type="dxa"/>
            <w:tcBorders>
              <w:bottom w:val="single" w:sz="4" w:space="0" w:color="auto"/>
            </w:tcBorders>
            <w:vAlign w:val="bottom"/>
          </w:tcPr>
          <w:p w14:paraId="2B7F72E8" w14:textId="77777777" w:rsidR="009E6CB7" w:rsidRDefault="009E6CB7" w:rsidP="00B20551">
            <w:pPr>
              <w:spacing w:after="80"/>
            </w:pPr>
          </w:p>
        </w:tc>
        <w:tc>
          <w:tcPr>
            <w:tcW w:w="2268" w:type="dxa"/>
            <w:tcBorders>
              <w:bottom w:val="single" w:sz="4" w:space="0" w:color="auto"/>
            </w:tcBorders>
            <w:vAlign w:val="bottom"/>
          </w:tcPr>
          <w:p w14:paraId="5367FAD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70F95D3" w14:textId="456AD6BA" w:rsidR="009E6CB7" w:rsidRPr="00D47EEA" w:rsidRDefault="00DD412B" w:rsidP="00DD412B">
            <w:pPr>
              <w:jc w:val="right"/>
            </w:pPr>
            <w:bookmarkStart w:id="0" w:name="_Hlk207112777"/>
            <w:r w:rsidRPr="00DD412B">
              <w:rPr>
                <w:sz w:val="40"/>
              </w:rPr>
              <w:t>ECE</w:t>
            </w:r>
            <w:r>
              <w:t>/TRANS/WP.29/2025/1</w:t>
            </w:r>
            <w:r w:rsidR="00C94BBD">
              <w:t>0</w:t>
            </w:r>
            <w:r w:rsidR="00603BB2">
              <w:t>4</w:t>
            </w:r>
            <w:bookmarkEnd w:id="0"/>
          </w:p>
        </w:tc>
      </w:tr>
      <w:tr w:rsidR="009E6CB7" w14:paraId="2A572803" w14:textId="77777777" w:rsidTr="00B20551">
        <w:trPr>
          <w:cantSplit/>
          <w:trHeight w:hRule="exact" w:val="2835"/>
        </w:trPr>
        <w:tc>
          <w:tcPr>
            <w:tcW w:w="1276" w:type="dxa"/>
            <w:tcBorders>
              <w:top w:val="single" w:sz="4" w:space="0" w:color="auto"/>
              <w:bottom w:val="single" w:sz="12" w:space="0" w:color="auto"/>
            </w:tcBorders>
          </w:tcPr>
          <w:p w14:paraId="1B572852" w14:textId="77777777" w:rsidR="009E6CB7" w:rsidRDefault="00686A48" w:rsidP="00B20551">
            <w:pPr>
              <w:spacing w:before="120"/>
            </w:pPr>
            <w:r>
              <w:rPr>
                <w:noProof/>
                <w:lang w:val="fr-CH" w:eastAsia="fr-CH"/>
              </w:rPr>
              <w:drawing>
                <wp:inline distT="0" distB="0" distL="0" distR="0" wp14:anchorId="53248F98" wp14:editId="3CA5A3F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9B280B1"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F1CF655" w14:textId="77777777" w:rsidR="009E6CB7" w:rsidRDefault="00DD412B" w:rsidP="00DD412B">
            <w:pPr>
              <w:spacing w:before="240" w:line="240" w:lineRule="exact"/>
            </w:pPr>
            <w:r>
              <w:t>Distr.: General</w:t>
            </w:r>
          </w:p>
          <w:p w14:paraId="69EE1E47" w14:textId="587032F1" w:rsidR="00DD412B" w:rsidRDefault="001B5E58" w:rsidP="00DD412B">
            <w:pPr>
              <w:spacing w:line="240" w:lineRule="exact"/>
            </w:pPr>
            <w:r>
              <w:t>26</w:t>
            </w:r>
            <w:r w:rsidR="00DD412B">
              <w:t xml:space="preserve"> August 2025</w:t>
            </w:r>
          </w:p>
          <w:p w14:paraId="4EEBAF3F" w14:textId="77777777" w:rsidR="00DD412B" w:rsidRDefault="00DD412B" w:rsidP="00DD412B">
            <w:pPr>
              <w:spacing w:line="240" w:lineRule="exact"/>
            </w:pPr>
          </w:p>
          <w:p w14:paraId="4FFFFB43" w14:textId="42AEF4CE" w:rsidR="00DD412B" w:rsidRDefault="00DD412B" w:rsidP="00DD412B">
            <w:pPr>
              <w:spacing w:line="240" w:lineRule="exact"/>
            </w:pPr>
            <w:r>
              <w:t>Original: English</w:t>
            </w:r>
          </w:p>
        </w:tc>
      </w:tr>
    </w:tbl>
    <w:p w14:paraId="4949F6B3" w14:textId="77777777" w:rsidR="00D23A0C" w:rsidRPr="001D703D" w:rsidRDefault="00D23A0C" w:rsidP="00D23A0C">
      <w:pPr>
        <w:spacing w:before="120"/>
        <w:rPr>
          <w:b/>
          <w:sz w:val="28"/>
          <w:szCs w:val="28"/>
        </w:rPr>
      </w:pPr>
      <w:r w:rsidRPr="001D703D">
        <w:rPr>
          <w:b/>
          <w:sz w:val="28"/>
          <w:szCs w:val="28"/>
        </w:rPr>
        <w:t>Economic Commission for Europe</w:t>
      </w:r>
    </w:p>
    <w:p w14:paraId="358A180E" w14:textId="77777777" w:rsidR="00D23A0C" w:rsidRPr="001D703D" w:rsidRDefault="00D23A0C" w:rsidP="00D23A0C">
      <w:pPr>
        <w:spacing w:before="120"/>
        <w:rPr>
          <w:sz w:val="28"/>
          <w:szCs w:val="28"/>
        </w:rPr>
      </w:pPr>
      <w:r w:rsidRPr="001D703D">
        <w:rPr>
          <w:sz w:val="28"/>
          <w:szCs w:val="28"/>
        </w:rPr>
        <w:t>Inland Transport Committee</w:t>
      </w:r>
    </w:p>
    <w:p w14:paraId="0DC9A190" w14:textId="77777777" w:rsidR="00D23A0C" w:rsidRPr="001D703D" w:rsidRDefault="00D23A0C" w:rsidP="00D23A0C">
      <w:pPr>
        <w:spacing w:before="120"/>
        <w:rPr>
          <w:b/>
          <w:sz w:val="24"/>
          <w:szCs w:val="24"/>
        </w:rPr>
      </w:pPr>
      <w:r w:rsidRPr="001D703D">
        <w:rPr>
          <w:b/>
          <w:sz w:val="24"/>
          <w:szCs w:val="24"/>
        </w:rPr>
        <w:t>World Forum for Harmonization of Vehicle Regulations</w:t>
      </w:r>
    </w:p>
    <w:p w14:paraId="0B47C7F0" w14:textId="77777777" w:rsidR="00D23A0C" w:rsidRPr="001D703D" w:rsidRDefault="00D23A0C" w:rsidP="00D23A0C">
      <w:pPr>
        <w:tabs>
          <w:tab w:val="center" w:pos="4819"/>
        </w:tabs>
        <w:spacing w:before="120"/>
        <w:rPr>
          <w:b/>
          <w:lang w:val="en-US"/>
        </w:rPr>
      </w:pPr>
      <w:r>
        <w:rPr>
          <w:b/>
          <w:lang w:val="en-US"/>
        </w:rPr>
        <w:t xml:space="preserve">197th </w:t>
      </w:r>
      <w:r w:rsidRPr="001D703D">
        <w:rPr>
          <w:b/>
          <w:lang w:val="en-US"/>
        </w:rPr>
        <w:t>session</w:t>
      </w:r>
    </w:p>
    <w:p w14:paraId="5BCE059F" w14:textId="77777777" w:rsidR="00D23A0C" w:rsidRPr="001D703D" w:rsidRDefault="00D23A0C" w:rsidP="00D23A0C">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09BA90E3" w14:textId="0FADE3C7" w:rsidR="00D23A0C" w:rsidRPr="001D703D" w:rsidRDefault="00D23A0C" w:rsidP="00D23A0C">
      <w:r w:rsidRPr="001D703D">
        <w:t>Ite</w:t>
      </w:r>
      <w:r w:rsidRPr="0012673E">
        <w:t>m 4.</w:t>
      </w:r>
      <w:r w:rsidR="00C94BBD">
        <w:t>7</w:t>
      </w:r>
      <w:r w:rsidRPr="0012673E">
        <w:t>.</w:t>
      </w:r>
      <w:r w:rsidR="00603BB2">
        <w:t>2</w:t>
      </w:r>
      <w:r>
        <w:t xml:space="preserve"> </w:t>
      </w:r>
      <w:r w:rsidRPr="001D703D">
        <w:t>of the provisional agenda</w:t>
      </w:r>
    </w:p>
    <w:p w14:paraId="55550C10" w14:textId="77777777" w:rsidR="00D23A0C" w:rsidRDefault="00D23A0C" w:rsidP="00D23A0C">
      <w:pPr>
        <w:rPr>
          <w:b/>
        </w:rPr>
      </w:pPr>
      <w:r>
        <w:rPr>
          <w:b/>
        </w:rPr>
        <w:t>1958 Agreement:</w:t>
      </w:r>
    </w:p>
    <w:p w14:paraId="3ABC931C" w14:textId="77777777" w:rsidR="00D23A0C" w:rsidRDefault="00D23A0C" w:rsidP="00D23A0C">
      <w:pPr>
        <w:rPr>
          <w:b/>
        </w:rPr>
      </w:pPr>
      <w:r>
        <w:rPr>
          <w:b/>
        </w:rPr>
        <w:t>Consideration of draft amendments to existing</w:t>
      </w:r>
    </w:p>
    <w:p w14:paraId="6F647615" w14:textId="7FDFF626" w:rsidR="00D23A0C" w:rsidRDefault="00D23A0C" w:rsidP="00D23A0C">
      <w:pPr>
        <w:rPr>
          <w:b/>
          <w:bCs/>
        </w:rPr>
      </w:pPr>
      <w:r>
        <w:rPr>
          <w:b/>
        </w:rPr>
        <w:t>UN Regulations submitted by GRS</w:t>
      </w:r>
      <w:r w:rsidR="00504205">
        <w:rPr>
          <w:b/>
        </w:rPr>
        <w:t>G</w:t>
      </w:r>
    </w:p>
    <w:p w14:paraId="7C12E675" w14:textId="15EA14DE" w:rsidR="00D23A0C" w:rsidRDefault="00504205" w:rsidP="00D23A0C">
      <w:pPr>
        <w:pStyle w:val="HChG"/>
        <w:ind w:left="1124" w:right="1138" w:firstLine="0"/>
      </w:pPr>
      <w:r w:rsidRPr="00504205">
        <w:t>Proposal for 02 series of amendments to UN Regulation No. 73 (Lateral protection devices</w:t>
      </w:r>
      <w:r w:rsidR="00AA06CD">
        <w:t>)</w:t>
      </w:r>
    </w:p>
    <w:p w14:paraId="7C2006D1" w14:textId="265896EC" w:rsidR="00D23A0C" w:rsidRDefault="00D23A0C" w:rsidP="00D23A0C">
      <w:pPr>
        <w:pStyle w:val="H1G"/>
        <w:rPr>
          <w:szCs w:val="24"/>
        </w:rPr>
      </w:pPr>
      <w:r>
        <w:tab/>
      </w:r>
      <w:r>
        <w:tab/>
      </w:r>
      <w:r>
        <w:rPr>
          <w:szCs w:val="24"/>
        </w:rPr>
        <w:t xml:space="preserve">Submitted by the Working Party on </w:t>
      </w:r>
      <w:r w:rsidR="00C80793">
        <w:rPr>
          <w:szCs w:val="24"/>
        </w:rPr>
        <w:t>General</w:t>
      </w:r>
      <w:r>
        <w:rPr>
          <w:szCs w:val="24"/>
        </w:rPr>
        <w:t xml:space="preserve"> Safety</w:t>
      </w:r>
      <w:r w:rsidR="00C80793">
        <w:rPr>
          <w:szCs w:val="24"/>
        </w:rPr>
        <w:t xml:space="preserve"> Provisions</w:t>
      </w:r>
      <w:r>
        <w:footnoteReference w:customMarkFollows="1" w:id="2"/>
        <w:t>*</w:t>
      </w:r>
    </w:p>
    <w:p w14:paraId="73B28AEA" w14:textId="1AC4466D" w:rsidR="00D23A0C" w:rsidRDefault="00D23A0C" w:rsidP="00EF2E6D">
      <w:pPr>
        <w:pStyle w:val="SingleTxtG"/>
        <w:rPr>
          <w:lang w:val="en-US"/>
        </w:rPr>
      </w:pPr>
      <w:r>
        <w:rPr>
          <w:lang w:val="en-US"/>
        </w:rPr>
        <w:tab/>
        <w:t xml:space="preserve">The text reproduced below was adopted by the Working Party on </w:t>
      </w:r>
      <w:r w:rsidR="00C80793">
        <w:rPr>
          <w:lang w:val="en-US"/>
        </w:rPr>
        <w:t>General</w:t>
      </w:r>
      <w:r>
        <w:rPr>
          <w:lang w:val="en-US"/>
        </w:rPr>
        <w:t xml:space="preserve"> Safety</w:t>
      </w:r>
      <w:r w:rsidR="00C80793">
        <w:rPr>
          <w:lang w:val="en-US"/>
        </w:rPr>
        <w:t xml:space="preserve"> Provisions</w:t>
      </w:r>
      <w:r>
        <w:rPr>
          <w:lang w:val="en-US"/>
        </w:rPr>
        <w:t xml:space="preserve"> (GRS</w:t>
      </w:r>
      <w:r w:rsidR="00C80793">
        <w:rPr>
          <w:lang w:val="en-US"/>
        </w:rPr>
        <w:t>G</w:t>
      </w:r>
      <w:r>
        <w:rPr>
          <w:lang w:val="en-US"/>
        </w:rPr>
        <w:t xml:space="preserve">) at its </w:t>
      </w:r>
      <w:r w:rsidR="008905D9">
        <w:rPr>
          <w:lang w:val="en-US"/>
        </w:rPr>
        <w:t>129th</w:t>
      </w:r>
      <w:r>
        <w:rPr>
          <w:lang w:val="en-US"/>
        </w:rPr>
        <w:t xml:space="preserve"> session (ECE/TRANS/WP.29/GRSP/</w:t>
      </w:r>
      <w:r w:rsidR="008905D9">
        <w:rPr>
          <w:lang w:val="en-US"/>
        </w:rPr>
        <w:t>108</w:t>
      </w:r>
      <w:r>
        <w:rPr>
          <w:lang w:val="en-US"/>
        </w:rPr>
        <w:t xml:space="preserve">, paragraph </w:t>
      </w:r>
      <w:r w:rsidR="00E043DE">
        <w:rPr>
          <w:lang w:val="en-US"/>
        </w:rPr>
        <w:t>1</w:t>
      </w:r>
      <w:r w:rsidR="003F1B1B">
        <w:rPr>
          <w:lang w:val="en-US"/>
        </w:rPr>
        <w:t>0</w:t>
      </w:r>
      <w:r>
        <w:rPr>
          <w:lang w:val="en-US"/>
        </w:rPr>
        <w:t>).</w:t>
      </w:r>
      <w:r>
        <w:rPr>
          <w:lang w:val="en-US" w:eastAsia="en-GB"/>
        </w:rPr>
        <w:t xml:space="preserve"> </w:t>
      </w:r>
      <w:r>
        <w:rPr>
          <w:lang w:eastAsia="en-GB"/>
        </w:rPr>
        <w:t xml:space="preserve">It is based on </w:t>
      </w:r>
      <w:r w:rsidR="0043709A" w:rsidRPr="00C67640">
        <w:rPr>
          <w:lang w:eastAsia="ja-JP"/>
        </w:rPr>
        <w:t>GRSG-12</w:t>
      </w:r>
      <w:r w:rsidR="0043709A">
        <w:rPr>
          <w:lang w:eastAsia="ja-JP"/>
        </w:rPr>
        <w:t>9</w:t>
      </w:r>
      <w:r w:rsidR="0043709A" w:rsidRPr="00C67640">
        <w:rPr>
          <w:lang w:eastAsia="ja-JP"/>
        </w:rPr>
        <w:t>-2</w:t>
      </w:r>
      <w:r w:rsidR="0043709A">
        <w:rPr>
          <w:lang w:eastAsia="ja-JP"/>
        </w:rPr>
        <w:t>1</w:t>
      </w:r>
      <w:r w:rsidR="0043709A" w:rsidRPr="00C67640">
        <w:rPr>
          <w:lang w:eastAsia="ja-JP"/>
        </w:rPr>
        <w:t>-Rev.</w:t>
      </w:r>
      <w:r w:rsidR="0043709A">
        <w:rPr>
          <w:lang w:eastAsia="ja-JP"/>
        </w:rPr>
        <w:t>5</w:t>
      </w:r>
      <w:r>
        <w:rPr>
          <w:lang w:val="en-US"/>
        </w:rPr>
        <w:t>. It is submitted to the World Forum for Harmonization of Vehicle Regulations (WP.29) and to the Administrative Committee (AC.1) for consideration at their November 2025 sessions.</w:t>
      </w:r>
    </w:p>
    <w:p w14:paraId="2388311D" w14:textId="77777777" w:rsidR="00D23A0C" w:rsidRDefault="00D23A0C" w:rsidP="00D23A0C">
      <w:r>
        <w:br w:type="page"/>
      </w:r>
    </w:p>
    <w:p w14:paraId="6485555D" w14:textId="77777777" w:rsidR="001952F7" w:rsidRPr="00B5635C" w:rsidRDefault="001952F7" w:rsidP="001952F7">
      <w:pPr>
        <w:tabs>
          <w:tab w:val="left" w:pos="2835"/>
        </w:tabs>
        <w:spacing w:before="120" w:after="120"/>
        <w:ind w:left="2268" w:right="1134" w:hanging="1134"/>
        <w:jc w:val="both"/>
        <w:rPr>
          <w:i/>
          <w:lang w:eastAsia="ja-JP"/>
        </w:rPr>
      </w:pPr>
      <w:r w:rsidRPr="00B5635C">
        <w:rPr>
          <w:i/>
          <w:lang w:eastAsia="ja-JP"/>
        </w:rPr>
        <w:lastRenderedPageBreak/>
        <w:t xml:space="preserve">Paragraphs 1.1.1. to 1.1.3., footnote 1, </w:t>
      </w:r>
      <w:r w:rsidRPr="00B5635C">
        <w:rPr>
          <w:iCs/>
          <w:lang w:eastAsia="ja-JP"/>
        </w:rPr>
        <w:t>amend to read:</w:t>
      </w:r>
    </w:p>
    <w:p w14:paraId="6A28CC0A" w14:textId="77777777" w:rsidR="001952F7" w:rsidRPr="00B5635C" w:rsidRDefault="001952F7" w:rsidP="001952F7">
      <w:pPr>
        <w:tabs>
          <w:tab w:val="left" w:pos="2835"/>
        </w:tabs>
        <w:spacing w:before="120" w:after="120"/>
        <w:ind w:left="1134" w:right="1134"/>
        <w:jc w:val="both"/>
        <w:rPr>
          <w:lang w:eastAsia="ja-JP"/>
        </w:rPr>
      </w:pPr>
      <w:r w:rsidRPr="00B5635C">
        <w:rPr>
          <w:lang w:eastAsia="ja-JP"/>
        </w:rPr>
        <w:t>"</w:t>
      </w:r>
      <w:r w:rsidRPr="00B5635C">
        <w:rPr>
          <w:vertAlign w:val="superscript"/>
          <w:lang w:eastAsia="ja-JP"/>
        </w:rPr>
        <w:t xml:space="preserve">1 </w:t>
      </w:r>
      <w:r w:rsidRPr="00B5635C">
        <w:rPr>
          <w:lang w:eastAsia="ja-JP"/>
        </w:rPr>
        <w:t xml:space="preserve">As defined in the Consolidated Resolution on the Construction of Vehicles (R.E.3.), document ECE/TRANS/WP.29/78/Rev.7. - </w:t>
      </w:r>
      <w:hyperlink r:id="rId12" w:history="1">
        <w:r w:rsidRPr="00B5635C">
          <w:rPr>
            <w:rStyle w:val="Hyperlink"/>
          </w:rPr>
          <w:t>https://unece.org/transport/vehicle-regulations/wp29/resolutions</w:t>
        </w:r>
      </w:hyperlink>
      <w:r w:rsidRPr="00B5635C">
        <w:rPr>
          <w:lang w:eastAsia="ja-JP"/>
        </w:rPr>
        <w:t>"</w:t>
      </w:r>
    </w:p>
    <w:p w14:paraId="586531E5" w14:textId="77777777" w:rsidR="001952F7" w:rsidRPr="00B5635C" w:rsidRDefault="001952F7" w:rsidP="001952F7">
      <w:pPr>
        <w:tabs>
          <w:tab w:val="left" w:pos="2835"/>
        </w:tabs>
        <w:spacing w:before="120" w:after="120"/>
        <w:ind w:left="2268" w:right="1134" w:hanging="1134"/>
        <w:jc w:val="both"/>
        <w:rPr>
          <w:i/>
        </w:rPr>
      </w:pPr>
      <w:r w:rsidRPr="00B5635C">
        <w:rPr>
          <w:i/>
        </w:rPr>
        <w:t xml:space="preserve">Paragraph 5.1.2., </w:t>
      </w:r>
      <w:r w:rsidRPr="004D7DF1">
        <w:rPr>
          <w:iCs/>
        </w:rPr>
        <w:t>amend to read:</w:t>
      </w:r>
    </w:p>
    <w:p w14:paraId="3D37FB67" w14:textId="77777777" w:rsidR="001952F7" w:rsidRPr="00B5635C" w:rsidRDefault="001952F7" w:rsidP="001952F7">
      <w:pPr>
        <w:widowControl w:val="0"/>
        <w:tabs>
          <w:tab w:val="left" w:pos="2268"/>
        </w:tabs>
        <w:spacing w:after="120" w:line="240" w:lineRule="auto"/>
        <w:ind w:left="2268" w:right="1276" w:hanging="1134"/>
        <w:jc w:val="both"/>
        <w:rPr>
          <w:strike/>
        </w:rPr>
      </w:pPr>
      <w:r w:rsidRPr="00B5635C">
        <w:t xml:space="preserve">"5.1.2. </w:t>
      </w:r>
      <w:r w:rsidRPr="00B5635C">
        <w:tab/>
        <w:t>An approval number shall be assigned to each type approved in accordance with Schedule 4 of the Agreement (E/ECE/TRANS/505/Rev.3). "</w:t>
      </w:r>
    </w:p>
    <w:p w14:paraId="27B476C3" w14:textId="77777777" w:rsidR="001952F7" w:rsidRPr="00B5635C" w:rsidRDefault="001952F7" w:rsidP="001952F7">
      <w:pPr>
        <w:tabs>
          <w:tab w:val="left" w:pos="2835"/>
        </w:tabs>
        <w:spacing w:before="120" w:after="120"/>
        <w:ind w:left="2268" w:right="1134" w:hanging="1134"/>
        <w:jc w:val="both"/>
        <w:rPr>
          <w:i/>
          <w:lang w:eastAsia="ja-JP"/>
        </w:rPr>
      </w:pPr>
      <w:r w:rsidRPr="00B5635C">
        <w:rPr>
          <w:i/>
          <w:lang w:eastAsia="ja-JP"/>
        </w:rPr>
        <w:t xml:space="preserve">Paragraph </w:t>
      </w:r>
      <w:r w:rsidRPr="00B5635C">
        <w:rPr>
          <w:rFonts w:hint="eastAsia"/>
          <w:i/>
          <w:lang w:eastAsia="ja-JP"/>
        </w:rPr>
        <w:t>5.1.4.1.</w:t>
      </w:r>
      <w:r w:rsidRPr="00B5635C">
        <w:rPr>
          <w:i/>
          <w:lang w:eastAsia="ja-JP"/>
        </w:rPr>
        <w:t>, footnote</w:t>
      </w:r>
      <w:r w:rsidRPr="00B5635C">
        <w:rPr>
          <w:rFonts w:hint="eastAsia"/>
          <w:i/>
          <w:lang w:eastAsia="ja-JP"/>
        </w:rPr>
        <w:t xml:space="preserve"> 2, </w:t>
      </w:r>
      <w:r w:rsidRPr="00B5635C">
        <w:rPr>
          <w:rFonts w:hint="eastAsia"/>
          <w:iCs/>
          <w:lang w:eastAsia="ja-JP"/>
        </w:rPr>
        <w:t>amend to read:</w:t>
      </w:r>
    </w:p>
    <w:p w14:paraId="513CD03C" w14:textId="77777777" w:rsidR="001952F7" w:rsidRPr="00B5635C" w:rsidRDefault="001952F7" w:rsidP="001952F7">
      <w:pPr>
        <w:tabs>
          <w:tab w:val="left" w:pos="2835"/>
        </w:tabs>
        <w:spacing w:before="120" w:after="120"/>
        <w:ind w:left="1134" w:right="1134"/>
        <w:jc w:val="both"/>
        <w:rPr>
          <w:lang w:eastAsia="ja-JP"/>
        </w:rPr>
      </w:pPr>
      <w:r w:rsidRPr="00B5635C">
        <w:rPr>
          <w:lang w:eastAsia="ja-JP"/>
        </w:rPr>
        <w:t>"</w:t>
      </w:r>
      <w:r w:rsidRPr="00B5635C">
        <w:rPr>
          <w:rFonts w:hint="eastAsia"/>
          <w:vertAlign w:val="superscript"/>
          <w:lang w:eastAsia="ja-JP"/>
        </w:rPr>
        <w:t>2</w:t>
      </w:r>
      <w:r w:rsidRPr="00B5635C">
        <w:rPr>
          <w:vertAlign w:val="superscript"/>
          <w:lang w:eastAsia="ja-JP"/>
        </w:rPr>
        <w:t xml:space="preserve"> </w:t>
      </w:r>
      <w:r w:rsidRPr="00B5635C">
        <w:t>The distinguishing numbers of the Contracting Parties to the 1958 Agreement are reproduced in Annex 3 to the Consolidated Resolution on the Construction of Vehicles (R.E.3), document ECE/TRANS/WP.29/78/</w:t>
      </w:r>
      <w:r w:rsidRPr="00B5635C">
        <w:rPr>
          <w:lang w:eastAsia="ja-JP"/>
        </w:rPr>
        <w:t xml:space="preserve">Rev.7. - </w:t>
      </w:r>
      <w:hyperlink r:id="rId13" w:history="1">
        <w:r w:rsidRPr="00B5635C">
          <w:rPr>
            <w:rStyle w:val="Hyperlink"/>
          </w:rPr>
          <w:t>https://unece.org/transport/vehicle-regulations/wp29/resolutions</w:t>
        </w:r>
      </w:hyperlink>
      <w:r w:rsidRPr="00B5635C">
        <w:rPr>
          <w:lang w:eastAsia="ja-JP"/>
        </w:rPr>
        <w:t>"</w:t>
      </w:r>
    </w:p>
    <w:p w14:paraId="250D6CE2" w14:textId="77777777" w:rsidR="001952F7" w:rsidRPr="00B5635C" w:rsidRDefault="001952F7" w:rsidP="001952F7">
      <w:pPr>
        <w:tabs>
          <w:tab w:val="left" w:pos="2835"/>
        </w:tabs>
        <w:spacing w:before="120" w:after="120"/>
        <w:ind w:left="2268" w:right="1134" w:hanging="1134"/>
        <w:jc w:val="both"/>
        <w:rPr>
          <w:i/>
        </w:rPr>
      </w:pPr>
      <w:r w:rsidRPr="00B5635C">
        <w:rPr>
          <w:i/>
        </w:rPr>
        <w:t>Paragraph 5.2.2</w:t>
      </w:r>
      <w:r w:rsidRPr="00B5635C">
        <w:rPr>
          <w:iCs/>
        </w:rPr>
        <w:t>.,</w:t>
      </w:r>
      <w:r w:rsidRPr="00B5635C">
        <w:rPr>
          <w:i/>
        </w:rPr>
        <w:t xml:space="preserve"> </w:t>
      </w:r>
      <w:r w:rsidRPr="00B5635C">
        <w:rPr>
          <w:iCs/>
        </w:rPr>
        <w:t>amend to read:</w:t>
      </w:r>
    </w:p>
    <w:p w14:paraId="0F16E0D6" w14:textId="77777777" w:rsidR="001952F7" w:rsidRPr="00B5635C" w:rsidRDefault="001952F7" w:rsidP="001952F7">
      <w:pPr>
        <w:tabs>
          <w:tab w:val="left" w:pos="2835"/>
        </w:tabs>
        <w:spacing w:before="120" w:after="120"/>
        <w:ind w:left="2268" w:right="1134" w:hanging="1134"/>
        <w:jc w:val="both"/>
      </w:pPr>
      <w:r w:rsidRPr="00B5635C">
        <w:t>"5.</w:t>
      </w:r>
      <w:r w:rsidRPr="00B5635C">
        <w:rPr>
          <w:rFonts w:hint="eastAsia"/>
          <w:lang w:eastAsia="ja-JP"/>
        </w:rPr>
        <w:t>2</w:t>
      </w:r>
      <w:r w:rsidRPr="00B5635C">
        <w:t xml:space="preserve">.2. </w:t>
      </w:r>
      <w:r w:rsidRPr="00B5635C">
        <w:tab/>
        <w:t>An approval number shall be assigned to each type approved in accordance with Schedule 4 of the Agreement (E/ECE/TRANS/505/Rev.3). "</w:t>
      </w:r>
    </w:p>
    <w:p w14:paraId="7BBC3733" w14:textId="77777777" w:rsidR="001952F7" w:rsidRPr="00B5635C" w:rsidRDefault="001952F7" w:rsidP="001952F7">
      <w:pPr>
        <w:tabs>
          <w:tab w:val="left" w:pos="2835"/>
        </w:tabs>
        <w:spacing w:before="120" w:after="120"/>
        <w:ind w:left="2268" w:right="1134" w:hanging="1134"/>
        <w:jc w:val="both"/>
        <w:rPr>
          <w:i/>
        </w:rPr>
      </w:pPr>
      <w:r w:rsidRPr="00B5635C">
        <w:rPr>
          <w:i/>
        </w:rPr>
        <w:t xml:space="preserve">Paragraph 5.3.2., </w:t>
      </w:r>
      <w:r w:rsidRPr="00B5635C">
        <w:rPr>
          <w:iCs/>
        </w:rPr>
        <w:t>amend to read:</w:t>
      </w:r>
    </w:p>
    <w:p w14:paraId="7E9E87F9" w14:textId="77777777" w:rsidR="001952F7" w:rsidRPr="00B5635C" w:rsidRDefault="001952F7" w:rsidP="001952F7">
      <w:pPr>
        <w:tabs>
          <w:tab w:val="left" w:pos="2835"/>
        </w:tabs>
        <w:spacing w:before="120" w:after="120"/>
        <w:ind w:left="2268" w:right="1134" w:hanging="1134"/>
        <w:jc w:val="both"/>
      </w:pPr>
      <w:r w:rsidRPr="00B5635C">
        <w:t xml:space="preserve">"5.3.2. </w:t>
      </w:r>
      <w:r w:rsidRPr="00B5635C">
        <w:tab/>
        <w:t>An approval number shall be assigned to each type approved in accordance with Schedule 4 of the Agreement (E/ECE/TRANS/505/Rev.3). "</w:t>
      </w:r>
    </w:p>
    <w:p w14:paraId="22D363C1" w14:textId="77777777" w:rsidR="001952F7" w:rsidRDefault="001952F7" w:rsidP="001952F7">
      <w:pPr>
        <w:tabs>
          <w:tab w:val="left" w:pos="2835"/>
        </w:tabs>
        <w:spacing w:before="120" w:after="120"/>
        <w:ind w:left="2268" w:right="1134" w:hanging="1134"/>
        <w:jc w:val="both"/>
      </w:pPr>
      <w:r>
        <w:rPr>
          <w:i/>
        </w:rPr>
        <w:t>Insert new paragraphs 11.5. to 11.10.</w:t>
      </w:r>
      <w:r>
        <w:rPr>
          <w:iCs/>
        </w:rPr>
        <w:t>,</w:t>
      </w:r>
      <w:r>
        <w:t xml:space="preserve"> to read:</w:t>
      </w:r>
    </w:p>
    <w:p w14:paraId="22A6A62D" w14:textId="77777777" w:rsidR="001952F7" w:rsidRPr="00D31164" w:rsidRDefault="001952F7" w:rsidP="001952F7">
      <w:pPr>
        <w:spacing w:before="120" w:after="120"/>
        <w:ind w:left="2268" w:right="1134" w:hanging="1134"/>
        <w:jc w:val="both"/>
      </w:pPr>
      <w:r w:rsidRPr="00D31164">
        <w:t>"11.5.</w:t>
      </w:r>
      <w:r w:rsidRPr="00D31164">
        <w:tab/>
        <w:t>As from the official date of entry into force of the 02 series of amendments, no Contracting Party applying this UN Regulation shall refuse to grant or refuse to accept type approvals under this UN Regulation as amended by the 02 series of amendments.</w:t>
      </w:r>
    </w:p>
    <w:p w14:paraId="6E41D5A0" w14:textId="77777777" w:rsidR="001952F7" w:rsidRPr="00D31164" w:rsidRDefault="001952F7" w:rsidP="001952F7">
      <w:pPr>
        <w:spacing w:before="120" w:after="120"/>
        <w:ind w:left="2268" w:right="1134" w:hanging="1134"/>
        <w:jc w:val="both"/>
      </w:pPr>
      <w:r w:rsidRPr="00D31164">
        <w:t>11.6.</w:t>
      </w:r>
      <w:r w:rsidRPr="00D31164">
        <w:tab/>
        <w:t>As from 1 September 2027, Contracting Parties applying this UN Regulation shall not be obliged to accept type approvals to any of the preceding series of amendments, first issued after 1 September 2027.</w:t>
      </w:r>
    </w:p>
    <w:p w14:paraId="6EAD4DB0" w14:textId="77777777" w:rsidR="001952F7" w:rsidRPr="00D31164" w:rsidRDefault="001952F7" w:rsidP="001952F7">
      <w:pPr>
        <w:tabs>
          <w:tab w:val="left" w:pos="1701"/>
          <w:tab w:val="left" w:pos="2268"/>
          <w:tab w:val="left" w:pos="2835"/>
        </w:tabs>
        <w:spacing w:after="120"/>
        <w:ind w:left="2268" w:right="1134" w:hanging="1134"/>
        <w:jc w:val="both"/>
      </w:pPr>
      <w:r w:rsidRPr="00D31164">
        <w:t>11.7.</w:t>
      </w:r>
      <w:r w:rsidRPr="00D31164">
        <w:tab/>
      </w:r>
      <w:r w:rsidRPr="00D31164">
        <w:tab/>
        <w:t>Until 1 September 2028, Contracting Parties applying this UN Regulation shall accept type approvals to the 01 series of amendments, first issued before 1 September 2027.</w:t>
      </w:r>
    </w:p>
    <w:p w14:paraId="098A4ECE" w14:textId="77777777" w:rsidR="001952F7" w:rsidRPr="00D31164" w:rsidRDefault="001952F7" w:rsidP="001952F7">
      <w:pPr>
        <w:tabs>
          <w:tab w:val="left" w:pos="1701"/>
          <w:tab w:val="left" w:pos="2268"/>
          <w:tab w:val="left" w:pos="2835"/>
        </w:tabs>
        <w:spacing w:after="120"/>
        <w:ind w:left="2268" w:right="1134" w:hanging="1134"/>
        <w:jc w:val="both"/>
      </w:pPr>
      <w:r w:rsidRPr="00D31164">
        <w:t>11.8.</w:t>
      </w:r>
      <w:r w:rsidRPr="00D31164">
        <w:tab/>
      </w:r>
      <w:r w:rsidRPr="00D31164">
        <w:tab/>
        <w:t>As from 1 September 2028, Contracting Parties applying this UN Regulation shall not be obliged to accept type approvals issued to any of the preceding series of amendments to this UN Regulation.</w:t>
      </w:r>
    </w:p>
    <w:p w14:paraId="19FDDDAD" w14:textId="77777777" w:rsidR="001952F7" w:rsidRPr="00D31164" w:rsidRDefault="001952F7" w:rsidP="001952F7">
      <w:pPr>
        <w:tabs>
          <w:tab w:val="left" w:pos="1701"/>
          <w:tab w:val="left" w:pos="2268"/>
          <w:tab w:val="left" w:pos="2835"/>
        </w:tabs>
        <w:spacing w:after="120"/>
        <w:ind w:left="2268" w:right="1134" w:hanging="1134"/>
        <w:jc w:val="both"/>
      </w:pPr>
      <w:r w:rsidRPr="00D31164">
        <w:t>11.9.</w:t>
      </w:r>
      <w:r w:rsidRPr="00D31164">
        <w:tab/>
      </w:r>
      <w:r w:rsidRPr="00D31164">
        <w:tab/>
        <w:t>Contracting Parties applying this UN Regulation may grant type approvals according to any preceding series of amendments to this UN Regulation.</w:t>
      </w:r>
    </w:p>
    <w:p w14:paraId="3B2DE919" w14:textId="77777777" w:rsidR="001952F7" w:rsidRPr="00D31164" w:rsidRDefault="001952F7" w:rsidP="001952F7">
      <w:pPr>
        <w:tabs>
          <w:tab w:val="left" w:pos="1701"/>
          <w:tab w:val="left" w:pos="2268"/>
          <w:tab w:val="left" w:pos="2835"/>
        </w:tabs>
        <w:spacing w:after="120"/>
        <w:ind w:left="2268" w:right="1134" w:hanging="1134"/>
        <w:jc w:val="both"/>
      </w:pPr>
      <w:r w:rsidRPr="00D31164">
        <w:t>11.10.</w:t>
      </w:r>
      <w:r w:rsidRPr="00D31164">
        <w:tab/>
      </w:r>
      <w:r w:rsidRPr="00D31164">
        <w:tab/>
      </w:r>
      <w:r w:rsidRPr="00D31164">
        <w:rPr>
          <w:lang w:val="en-IE"/>
        </w:rPr>
        <w:t>Contracting Parties applying the UN Regulation shall continue to accept type approvals of, and to grant extensions of approvals to, the vehicles or the vehicle systems/equipment/parts to the preceding series of amendments to the UN Regulation which are not affected by the changes introduced by the 02 series of amendments</w:t>
      </w:r>
    </w:p>
    <w:p w14:paraId="6B544736" w14:textId="77777777" w:rsidR="001952F7" w:rsidRPr="00D31164" w:rsidRDefault="001952F7" w:rsidP="001952F7">
      <w:pPr>
        <w:pStyle w:val="SingleTxtG"/>
        <w:ind w:left="2268" w:hanging="1134"/>
      </w:pPr>
      <w:r w:rsidRPr="00D31164">
        <w:t>1</w:t>
      </w:r>
      <w:r w:rsidRPr="00D31164">
        <w:rPr>
          <w:rFonts w:hint="eastAsia"/>
          <w:lang w:eastAsia="ja-JP"/>
        </w:rPr>
        <w:t>1</w:t>
      </w:r>
      <w:r w:rsidRPr="00D31164">
        <w:t>.</w:t>
      </w:r>
      <w:r w:rsidRPr="00D31164">
        <w:rPr>
          <w:rFonts w:hint="eastAsia"/>
          <w:lang w:eastAsia="ja-JP"/>
        </w:rPr>
        <w:t>11</w:t>
      </w:r>
      <w:r w:rsidRPr="00D31164">
        <w:t xml:space="preserve">. </w:t>
      </w:r>
      <w:r w:rsidRPr="00D31164">
        <w:tab/>
      </w:r>
      <w:r w:rsidRPr="00D31164">
        <w:tab/>
        <w:t xml:space="preserve">The </w:t>
      </w:r>
      <w:r w:rsidRPr="00D31164">
        <w:rPr>
          <w:rFonts w:hint="eastAsia"/>
          <w:lang w:eastAsia="ja-JP"/>
        </w:rPr>
        <w:t xml:space="preserve">requirement </w:t>
      </w:r>
      <w:r w:rsidRPr="00D31164">
        <w:rPr>
          <w:lang w:eastAsia="ja-JP"/>
        </w:rPr>
        <w:t xml:space="preserve">for the height </w:t>
      </w:r>
      <w:r w:rsidRPr="00D31164">
        <w:rPr>
          <w:rFonts w:hint="eastAsia"/>
          <w:lang w:eastAsia="ja-JP"/>
        </w:rPr>
        <w:t xml:space="preserve">of the </w:t>
      </w:r>
      <w:r w:rsidRPr="00D31164">
        <w:t>lower edge of LPD as specified in paragraph</w:t>
      </w:r>
      <w:r w:rsidRPr="00D31164">
        <w:rPr>
          <w:rFonts w:hint="eastAsia"/>
          <w:lang w:eastAsia="ja-JP"/>
        </w:rPr>
        <w:t>s</w:t>
      </w:r>
      <w:r w:rsidRPr="00D31164">
        <w:t xml:space="preserve"> </w:t>
      </w:r>
      <w:r w:rsidRPr="00D31164">
        <w:rPr>
          <w:rFonts w:hint="eastAsia"/>
          <w:lang w:eastAsia="ja-JP"/>
        </w:rPr>
        <w:t>12.8</w:t>
      </w:r>
      <w:r w:rsidRPr="00D31164">
        <w:t>.</w:t>
      </w:r>
      <w:r w:rsidRPr="00D31164">
        <w:rPr>
          <w:rFonts w:hint="eastAsia"/>
          <w:lang w:eastAsia="ja-JP"/>
        </w:rPr>
        <w:t xml:space="preserve"> and 15.6.</w:t>
      </w:r>
      <w:r w:rsidRPr="00D31164">
        <w:t xml:space="preserve"> </w:t>
      </w:r>
      <w:r w:rsidRPr="00D31164">
        <w:rPr>
          <w:rFonts w:hint="eastAsia"/>
          <w:lang w:eastAsia="ja-JP"/>
        </w:rPr>
        <w:t>as amended by the 02 series of amendments are</w:t>
      </w:r>
      <w:r w:rsidRPr="00D31164">
        <w:t xml:space="preserve"> not compulsory for the purpose of granting type-approval to the 02 series of amendment, until 1 September </w:t>
      </w:r>
      <w:r w:rsidRPr="00D31164">
        <w:rPr>
          <w:rFonts w:hint="eastAsia"/>
          <w:lang w:eastAsia="ja-JP"/>
        </w:rPr>
        <w:t>2034</w:t>
      </w:r>
      <w:r w:rsidRPr="00D31164">
        <w:t>. These exemptions shall remain applicable in the case of extensions of approvals first granted before 1 September 203</w:t>
      </w:r>
      <w:r w:rsidRPr="00D31164">
        <w:rPr>
          <w:rFonts w:hint="eastAsia"/>
          <w:lang w:eastAsia="ja-JP"/>
        </w:rPr>
        <w:t>4</w:t>
      </w:r>
      <w:r w:rsidRPr="00D31164">
        <w:t>.</w:t>
      </w:r>
    </w:p>
    <w:p w14:paraId="05DFB1C4" w14:textId="77777777" w:rsidR="001952F7" w:rsidRPr="006D2CB6" w:rsidRDefault="001952F7" w:rsidP="001952F7">
      <w:pPr>
        <w:tabs>
          <w:tab w:val="left" w:pos="2835"/>
        </w:tabs>
        <w:spacing w:before="120" w:after="120"/>
        <w:ind w:left="2268" w:right="1134" w:hanging="1134"/>
        <w:jc w:val="both"/>
      </w:pPr>
      <w:r w:rsidRPr="006D2CB6">
        <w:t>11.1</w:t>
      </w:r>
      <w:r w:rsidRPr="006D2CB6">
        <w:rPr>
          <w:rFonts w:hint="eastAsia"/>
          <w:lang w:eastAsia="ja-JP"/>
        </w:rPr>
        <w:t>2</w:t>
      </w:r>
      <w:r w:rsidRPr="006D2CB6">
        <w:t xml:space="preserve">. </w:t>
      </w:r>
      <w:r w:rsidRPr="006D2CB6">
        <w:tab/>
        <w:t>Notwithstanding the transitional provisions above, Contracting Parties whose application of this Regulation comes into force after the date of entry into force of the most recent series of amendments are not obliged to accept approvals which were granted in accordance with any of the preceding series of amendments to this Regulation."</w:t>
      </w:r>
    </w:p>
    <w:p w14:paraId="71B36A17" w14:textId="77777777" w:rsidR="001952F7" w:rsidRPr="006D2CB6" w:rsidRDefault="001952F7" w:rsidP="001952F7">
      <w:pPr>
        <w:keepNext/>
        <w:keepLines/>
        <w:spacing w:line="250" w:lineRule="auto"/>
        <w:ind w:left="2268" w:right="28" w:hanging="1134"/>
        <w:jc w:val="both"/>
      </w:pPr>
      <w:r w:rsidRPr="006D2CB6">
        <w:rPr>
          <w:i/>
          <w:lang w:val="en-US"/>
        </w:rPr>
        <w:lastRenderedPageBreak/>
        <w:t xml:space="preserve">Paragraph 12.8., </w:t>
      </w:r>
      <w:r w:rsidRPr="006D2CB6">
        <w:rPr>
          <w:lang w:val="en-US"/>
        </w:rPr>
        <w:t>amend to read:</w:t>
      </w:r>
    </w:p>
    <w:p w14:paraId="0AF9F5E9" w14:textId="5BD09AD8" w:rsidR="001952F7" w:rsidRPr="006D2CB6" w:rsidRDefault="001952F7" w:rsidP="001952F7">
      <w:pPr>
        <w:tabs>
          <w:tab w:val="left" w:pos="2835"/>
        </w:tabs>
        <w:spacing w:before="120" w:after="120"/>
        <w:ind w:left="2268" w:right="1134" w:hanging="1134"/>
        <w:jc w:val="both"/>
        <w:rPr>
          <w:lang w:val="en-US"/>
        </w:rPr>
      </w:pPr>
      <w:bookmarkStart w:id="1" w:name="A0_S5_10_"/>
      <w:r w:rsidRPr="006D2CB6">
        <w:rPr>
          <w:lang w:val="en-US"/>
        </w:rPr>
        <w:t>"</w:t>
      </w:r>
      <w:bookmarkEnd w:id="1"/>
      <w:r w:rsidRPr="006D2CB6">
        <w:rPr>
          <w:lang w:val="en-US"/>
        </w:rPr>
        <w:t>12.8.</w:t>
      </w:r>
      <w:r w:rsidRPr="006D2CB6">
        <w:rPr>
          <w:lang w:val="en-US"/>
        </w:rPr>
        <w:tab/>
        <w:t>The lower edge of LPD shall at no point be more than</w:t>
      </w:r>
      <w:r w:rsidRPr="00153C7A">
        <w:rPr>
          <w:rFonts w:hint="eastAsia"/>
          <w:lang w:val="en-US" w:eastAsia="ja-JP"/>
        </w:rPr>
        <w:t xml:space="preserve"> </w:t>
      </w:r>
      <w:r w:rsidRPr="00153C7A">
        <w:rPr>
          <w:lang w:val="en-US"/>
        </w:rPr>
        <w:t>450 mm above the ground. In the case of vehicles where the distance between</w:t>
      </w:r>
      <w:r w:rsidRPr="00153C7A">
        <w:rPr>
          <w:rFonts w:hint="eastAsia"/>
          <w:lang w:val="en-US" w:eastAsia="ja-JP"/>
        </w:rPr>
        <w:t xml:space="preserve"> the ce</w:t>
      </w:r>
      <w:r w:rsidRPr="006D2CB6">
        <w:rPr>
          <w:rFonts w:hint="eastAsia"/>
          <w:lang w:val="en-US" w:eastAsia="ja-JP"/>
        </w:rPr>
        <w:t>nters of</w:t>
      </w:r>
      <w:r w:rsidRPr="006D2CB6">
        <w:rPr>
          <w:lang w:val="en-US"/>
        </w:rPr>
        <w:t xml:space="preserve"> adjacent axles exceeds 6.5m, the height of </w:t>
      </w:r>
      <w:r w:rsidRPr="006D2CB6">
        <w:rPr>
          <w:rFonts w:hint="eastAsia"/>
          <w:lang w:val="en-US" w:eastAsia="ja-JP"/>
        </w:rPr>
        <w:t xml:space="preserve">the lower edge of </w:t>
      </w:r>
      <w:r w:rsidRPr="006D2CB6">
        <w:rPr>
          <w:lang w:val="en-US"/>
        </w:rPr>
        <w:t>the LPD may be no more than 550 mm above the ground."</w:t>
      </w:r>
      <w:r w:rsidRPr="006D2CB6">
        <w:t xml:space="preserve"> </w:t>
      </w:r>
    </w:p>
    <w:p w14:paraId="74B544BC" w14:textId="0F67A561" w:rsidR="001952F7" w:rsidRPr="00E27723" w:rsidRDefault="001952F7" w:rsidP="001952F7">
      <w:pPr>
        <w:pStyle w:val="SingleTxtG"/>
        <w:ind w:left="2268" w:hanging="1134"/>
        <w:rPr>
          <w:bCs/>
          <w:lang w:val="en-US"/>
        </w:rPr>
      </w:pPr>
      <w:r w:rsidRPr="00E27723">
        <w:rPr>
          <w:bCs/>
          <w:i/>
          <w:iCs/>
          <w:lang w:val="en-US"/>
        </w:rPr>
        <w:t>Paragraph 13.1.1.</w:t>
      </w:r>
      <w:r w:rsidRPr="00E27723">
        <w:rPr>
          <w:bCs/>
          <w:lang w:val="en-US"/>
        </w:rPr>
        <w:t xml:space="preserve">, </w:t>
      </w:r>
      <w:r w:rsidR="00E27723" w:rsidRPr="00E27723">
        <w:rPr>
          <w:bCs/>
          <w:lang w:val="en-US"/>
        </w:rPr>
        <w:t xml:space="preserve">shall be </w:t>
      </w:r>
      <w:r w:rsidRPr="00E27723">
        <w:rPr>
          <w:bCs/>
          <w:lang w:val="en-US"/>
        </w:rPr>
        <w:t>delete</w:t>
      </w:r>
      <w:r w:rsidR="00E27723" w:rsidRPr="00E27723">
        <w:rPr>
          <w:bCs/>
          <w:lang w:val="en-US"/>
        </w:rPr>
        <w:t>d</w:t>
      </w:r>
    </w:p>
    <w:p w14:paraId="7F30E4D8" w14:textId="77777777" w:rsidR="00FF57CB" w:rsidRPr="007F6895" w:rsidRDefault="00FF57CB" w:rsidP="001952F7">
      <w:pPr>
        <w:pStyle w:val="SingleTxtG"/>
        <w:ind w:left="2268" w:hanging="1134"/>
      </w:pPr>
      <w:r w:rsidRPr="007F6895">
        <w:rPr>
          <w:bCs/>
          <w:i/>
          <w:iCs/>
          <w:lang w:val="en-US"/>
        </w:rPr>
        <w:t>Insert new paragraph 13.1.1.</w:t>
      </w:r>
      <w:r w:rsidRPr="007F6895">
        <w:rPr>
          <w:bCs/>
          <w:lang w:val="en-US"/>
        </w:rPr>
        <w:t>, to read:</w:t>
      </w:r>
      <w:r w:rsidR="001952F7" w:rsidRPr="007F6895">
        <w:tab/>
      </w:r>
    </w:p>
    <w:p w14:paraId="43D08687" w14:textId="32AF1D5F" w:rsidR="001952F7" w:rsidRPr="00153A7B" w:rsidRDefault="007F6895" w:rsidP="001952F7">
      <w:pPr>
        <w:pStyle w:val="SingleTxtG"/>
        <w:ind w:left="2268" w:hanging="1134"/>
      </w:pPr>
      <w:r w:rsidRPr="00153A7B">
        <w:t>"13.1.1.</w:t>
      </w:r>
      <w:r w:rsidRPr="00153A7B">
        <w:tab/>
      </w:r>
      <w:r w:rsidR="001952F7" w:rsidRPr="00153A7B">
        <w:t>Reserved</w:t>
      </w:r>
      <w:r w:rsidR="000A4B56" w:rsidRPr="00153A7B">
        <w:t>"</w:t>
      </w:r>
    </w:p>
    <w:p w14:paraId="0AA14BFA" w14:textId="540F2B24" w:rsidR="001952F7" w:rsidRPr="00153A7B" w:rsidRDefault="001952F7" w:rsidP="001952F7">
      <w:pPr>
        <w:pStyle w:val="SingleTxtG"/>
        <w:ind w:left="2268" w:hanging="1134"/>
        <w:rPr>
          <w:lang w:val="en-US"/>
        </w:rPr>
      </w:pPr>
      <w:r w:rsidRPr="00153A7B">
        <w:rPr>
          <w:i/>
          <w:iCs/>
          <w:lang w:val="en-US"/>
        </w:rPr>
        <w:t>Paragraph 16.1.1.</w:t>
      </w:r>
      <w:r w:rsidRPr="00153A7B">
        <w:rPr>
          <w:lang w:val="en-US"/>
        </w:rPr>
        <w:t xml:space="preserve">, </w:t>
      </w:r>
      <w:r w:rsidR="007F6895" w:rsidRPr="00153A7B">
        <w:rPr>
          <w:lang w:val="en-US"/>
        </w:rPr>
        <w:t xml:space="preserve">shall be </w:t>
      </w:r>
      <w:r w:rsidRPr="00153A7B">
        <w:rPr>
          <w:lang w:val="en-US"/>
        </w:rPr>
        <w:t>delete</w:t>
      </w:r>
      <w:r w:rsidR="00C877A3" w:rsidRPr="00153A7B">
        <w:rPr>
          <w:lang w:val="en-US"/>
        </w:rPr>
        <w:t>d</w:t>
      </w:r>
    </w:p>
    <w:p w14:paraId="5E0A5BAD" w14:textId="3314C90C" w:rsidR="00C877A3" w:rsidRPr="00153A7B" w:rsidRDefault="00C877A3" w:rsidP="00C877A3">
      <w:pPr>
        <w:pStyle w:val="SingleTxtG"/>
        <w:ind w:left="2268" w:hanging="1134"/>
      </w:pPr>
      <w:r w:rsidRPr="00153A7B">
        <w:rPr>
          <w:i/>
          <w:iCs/>
          <w:lang w:val="en-US"/>
        </w:rPr>
        <w:t>Insert new paragraph 16.1.1.</w:t>
      </w:r>
      <w:r w:rsidRPr="00153A7B">
        <w:rPr>
          <w:lang w:val="en-US"/>
        </w:rPr>
        <w:t>, to read:</w:t>
      </w:r>
      <w:r w:rsidRPr="00153A7B">
        <w:tab/>
      </w:r>
    </w:p>
    <w:p w14:paraId="60C309EE" w14:textId="1B694557" w:rsidR="001952F7" w:rsidRPr="00153A7B" w:rsidRDefault="00C877A3" w:rsidP="00720D83">
      <w:pPr>
        <w:pStyle w:val="SingleTxtG"/>
        <w:ind w:left="2268" w:hanging="1134"/>
      </w:pPr>
      <w:r w:rsidRPr="00153A7B">
        <w:t>"16.1.1.</w:t>
      </w:r>
      <w:r w:rsidRPr="00153A7B">
        <w:tab/>
        <w:t>Reserved"</w:t>
      </w:r>
    </w:p>
    <w:p w14:paraId="183FC1FF" w14:textId="77777777" w:rsidR="001952F7" w:rsidRDefault="001952F7" w:rsidP="001952F7">
      <w:pPr>
        <w:tabs>
          <w:tab w:val="left" w:pos="2835"/>
        </w:tabs>
        <w:spacing w:before="120" w:after="120"/>
        <w:ind w:left="2268" w:right="1134" w:hanging="1134"/>
        <w:jc w:val="both"/>
      </w:pPr>
      <w:r>
        <w:rPr>
          <w:i/>
        </w:rPr>
        <w:t>Paragraph 15.6</w:t>
      </w:r>
      <w:r>
        <w:rPr>
          <w:rFonts w:hint="eastAsia"/>
          <w:i/>
          <w:lang w:eastAsia="ja-JP"/>
        </w:rPr>
        <w:t>.</w:t>
      </w:r>
      <w:r>
        <w:rPr>
          <w:i/>
        </w:rPr>
        <w:t>,</w:t>
      </w:r>
      <w:r>
        <w:t xml:space="preserve"> amend to read:</w:t>
      </w:r>
    </w:p>
    <w:p w14:paraId="610218F2" w14:textId="32C52CCB" w:rsidR="001952F7" w:rsidRPr="00153A7B" w:rsidRDefault="001952F7" w:rsidP="001952F7">
      <w:pPr>
        <w:tabs>
          <w:tab w:val="left" w:pos="2835"/>
        </w:tabs>
        <w:spacing w:before="120" w:after="120"/>
        <w:ind w:left="2268" w:right="1134" w:hanging="1134"/>
        <w:jc w:val="both"/>
        <w:rPr>
          <w:lang w:val="en-US"/>
        </w:rPr>
      </w:pPr>
      <w:r w:rsidRPr="00153A7B">
        <w:rPr>
          <w:lang w:val="en-US"/>
        </w:rPr>
        <w:t>"15.6.</w:t>
      </w:r>
      <w:r w:rsidRPr="00153A7B">
        <w:rPr>
          <w:lang w:val="en-US"/>
        </w:rPr>
        <w:tab/>
        <w:t>The lower edge of LPD shall at no point be more than</w:t>
      </w:r>
      <w:r w:rsidRPr="00153A7B">
        <w:rPr>
          <w:rFonts w:hint="eastAsia"/>
          <w:lang w:val="en-US" w:eastAsia="ja-JP"/>
        </w:rPr>
        <w:t xml:space="preserve"> </w:t>
      </w:r>
      <w:r w:rsidRPr="00153A7B">
        <w:rPr>
          <w:lang w:val="en-US"/>
        </w:rPr>
        <w:t>450 mm</w:t>
      </w:r>
      <w:r w:rsidRPr="00153A7B">
        <w:rPr>
          <w:rFonts w:hint="eastAsia"/>
          <w:lang w:val="en-US" w:eastAsia="ja-JP"/>
        </w:rPr>
        <w:t xml:space="preserve"> </w:t>
      </w:r>
      <w:r w:rsidRPr="00153A7B">
        <w:rPr>
          <w:lang w:val="en-US"/>
        </w:rPr>
        <w:t xml:space="preserve"> above the ground. In the case of vehicles where the distance between</w:t>
      </w:r>
      <w:r w:rsidRPr="00153A7B">
        <w:rPr>
          <w:rFonts w:hint="eastAsia"/>
          <w:lang w:val="en-US" w:eastAsia="ja-JP"/>
        </w:rPr>
        <w:t xml:space="preserve"> the centers of</w:t>
      </w:r>
      <w:r w:rsidRPr="00153A7B">
        <w:rPr>
          <w:lang w:val="en-US"/>
        </w:rPr>
        <w:t xml:space="preserve"> adjacent axles exceeds 6.5m, the </w:t>
      </w:r>
      <w:r w:rsidRPr="00153A7B">
        <w:rPr>
          <w:rFonts w:hint="eastAsia"/>
          <w:lang w:val="en-US" w:eastAsia="ja-JP"/>
        </w:rPr>
        <w:t>lower</w:t>
      </w:r>
      <w:r w:rsidRPr="00153A7B">
        <w:rPr>
          <w:lang w:val="en-US"/>
        </w:rPr>
        <w:t xml:space="preserve"> of </w:t>
      </w:r>
      <w:r w:rsidRPr="00153A7B">
        <w:rPr>
          <w:rFonts w:hint="eastAsia"/>
          <w:lang w:val="en-US" w:eastAsia="ja-JP"/>
        </w:rPr>
        <w:t xml:space="preserve">the bottom edge of </w:t>
      </w:r>
      <w:r w:rsidRPr="00153A7B">
        <w:rPr>
          <w:lang w:val="en-US"/>
        </w:rPr>
        <w:t>the LPD may be no more than 550 mm above the ground."</w:t>
      </w:r>
    </w:p>
    <w:p w14:paraId="79305C0F" w14:textId="1E76602B" w:rsidR="001952F7" w:rsidRPr="007E4DF7" w:rsidRDefault="001952F7" w:rsidP="001952F7">
      <w:pPr>
        <w:tabs>
          <w:tab w:val="left" w:pos="2835"/>
        </w:tabs>
        <w:spacing w:before="120" w:after="120"/>
        <w:ind w:left="2268" w:right="1134" w:hanging="1134"/>
        <w:jc w:val="both"/>
        <w:rPr>
          <w:i/>
          <w:lang w:eastAsia="ja-JP"/>
        </w:rPr>
      </w:pPr>
      <w:r>
        <w:rPr>
          <w:i/>
          <w:lang w:eastAsia="ja-JP"/>
        </w:rPr>
        <w:t>Paragraph 15.7</w:t>
      </w:r>
      <w:r w:rsidRPr="007E4DF7">
        <w:rPr>
          <w:rFonts w:hint="eastAsia"/>
          <w:i/>
          <w:lang w:eastAsia="ja-JP"/>
        </w:rPr>
        <w:t>.</w:t>
      </w:r>
      <w:r w:rsidR="00DB50C4">
        <w:rPr>
          <w:i/>
          <w:lang w:eastAsia="ja-JP"/>
        </w:rPr>
        <w:t>4.</w:t>
      </w:r>
      <w:r w:rsidRPr="007E4DF7">
        <w:rPr>
          <w:i/>
          <w:lang w:eastAsia="ja-JP"/>
        </w:rPr>
        <w:t>,</w:t>
      </w:r>
      <w:r w:rsidRPr="007E4DF7">
        <w:rPr>
          <w:iCs/>
          <w:lang w:eastAsia="ja-JP"/>
        </w:rPr>
        <w:t xml:space="preserve"> </w:t>
      </w:r>
      <w:r w:rsidR="000D2222" w:rsidRPr="007E4DF7">
        <w:rPr>
          <w:iCs/>
          <w:lang w:eastAsia="ja-JP"/>
        </w:rPr>
        <w:t>amend to read</w:t>
      </w:r>
      <w:r w:rsidR="007E4DF7" w:rsidRPr="007E4DF7">
        <w:rPr>
          <w:iCs/>
          <w:lang w:eastAsia="ja-JP"/>
        </w:rPr>
        <w:t>:</w:t>
      </w:r>
    </w:p>
    <w:p w14:paraId="4F48B4F1" w14:textId="39C73112" w:rsidR="001952F7" w:rsidRDefault="001952F7" w:rsidP="001952F7">
      <w:pPr>
        <w:tabs>
          <w:tab w:val="left" w:pos="2835"/>
        </w:tabs>
        <w:spacing w:before="120" w:after="120"/>
        <w:ind w:left="2268" w:right="1134" w:hanging="1134"/>
        <w:jc w:val="both"/>
        <w:rPr>
          <w:lang w:eastAsia="ja-JP"/>
        </w:rPr>
      </w:pPr>
      <w:r w:rsidRPr="00DB50C4">
        <w:rPr>
          <w:lang w:eastAsia="ja-JP"/>
        </w:rPr>
        <w:t>"15.7</w:t>
      </w:r>
      <w:r w:rsidRPr="00DB50C4">
        <w:rPr>
          <w:rFonts w:hint="eastAsia"/>
          <w:lang w:eastAsia="ja-JP"/>
        </w:rPr>
        <w:t>.</w:t>
      </w:r>
      <w:r w:rsidR="00DB50C4" w:rsidRPr="00DB50C4">
        <w:rPr>
          <w:lang w:eastAsia="ja-JP"/>
        </w:rPr>
        <w:t>4.</w:t>
      </w:r>
      <w:r w:rsidRPr="00DB50C4">
        <w:rPr>
          <w:lang w:eastAsia="ja-JP"/>
        </w:rPr>
        <w:tab/>
        <w:t xml:space="preserve">On a vehicle fitted with a crane for loading, unloading or other operations, </w:t>
      </w:r>
      <w:r w:rsidRPr="004A2BF2">
        <w:rPr>
          <w:lang w:eastAsia="ja-JP"/>
        </w:rPr>
        <w:t>having a permanently fitted operator's workstation or operating platform from which the crane may be controlled, the upper edge of the LPD may be determined in accordance with paragraphs 15.7.1. and 15.7.2., the workstation or operating platform being considered as if it was the load carrying platform.</w:t>
      </w:r>
      <w:r>
        <w:rPr>
          <w:lang w:eastAsia="ja-JP"/>
        </w:rPr>
        <w:t>"</w:t>
      </w:r>
    </w:p>
    <w:p w14:paraId="7E9550E4" w14:textId="77777777" w:rsidR="001952F7" w:rsidRDefault="001952F7" w:rsidP="001952F7">
      <w:pPr>
        <w:tabs>
          <w:tab w:val="left" w:pos="2835"/>
        </w:tabs>
        <w:spacing w:before="120" w:after="120"/>
        <w:ind w:left="2268" w:right="1134" w:hanging="1134"/>
        <w:rPr>
          <w:b/>
          <w:lang w:eastAsia="ja-JP"/>
        </w:rPr>
      </w:pPr>
      <w:r>
        <w:rPr>
          <w:rFonts w:hint="eastAsia"/>
          <w:i/>
          <w:lang w:eastAsia="ja-JP"/>
        </w:rPr>
        <w:t>Annex</w:t>
      </w:r>
      <w:r>
        <w:rPr>
          <w:i/>
          <w:lang w:eastAsia="ja-JP"/>
        </w:rPr>
        <w:t xml:space="preserve"> </w:t>
      </w:r>
      <w:r>
        <w:rPr>
          <w:rFonts w:hint="eastAsia"/>
          <w:i/>
          <w:lang w:eastAsia="ja-JP"/>
        </w:rPr>
        <w:t>2</w:t>
      </w:r>
      <w:r>
        <w:rPr>
          <w:i/>
          <w:lang w:eastAsia="ja-JP"/>
        </w:rPr>
        <w:t xml:space="preserve">, </w:t>
      </w:r>
      <w:r>
        <w:rPr>
          <w:iCs/>
          <w:lang w:eastAsia="ja-JP"/>
        </w:rPr>
        <w:t>amend to read</w:t>
      </w:r>
      <w:r>
        <w:rPr>
          <w:rFonts w:hint="eastAsia"/>
          <w:i/>
          <w:lang w:eastAsia="ja-JP"/>
        </w:rPr>
        <w:t xml:space="preserve"> (01→ 02)</w:t>
      </w:r>
      <w:r>
        <w:rPr>
          <w:i/>
          <w:lang w:eastAsia="ja-JP"/>
        </w:rPr>
        <w:t>:</w:t>
      </w:r>
    </w:p>
    <w:p w14:paraId="414D4512" w14:textId="77777777" w:rsidR="001952F7" w:rsidRDefault="001952F7" w:rsidP="001952F7">
      <w:pPr>
        <w:tabs>
          <w:tab w:val="left" w:pos="2835"/>
        </w:tabs>
        <w:spacing w:before="120" w:after="120"/>
        <w:ind w:left="2268" w:right="1134" w:hanging="1134"/>
        <w:rPr>
          <w:b/>
          <w:lang w:eastAsia="ja-JP"/>
        </w:rPr>
      </w:pPr>
      <w:r>
        <w:rPr>
          <w:lang w:eastAsia="ja-JP"/>
        </w:rPr>
        <w:t>"</w:t>
      </w:r>
      <w:r>
        <w:rPr>
          <w:b/>
          <w:lang w:eastAsia="ja-JP"/>
        </w:rPr>
        <w:t xml:space="preserve">Annex 2 </w:t>
      </w:r>
    </w:p>
    <w:p w14:paraId="4C5FA253" w14:textId="77777777" w:rsidR="001952F7" w:rsidRDefault="001952F7" w:rsidP="001952F7">
      <w:pPr>
        <w:tabs>
          <w:tab w:val="left" w:pos="2835"/>
        </w:tabs>
        <w:spacing w:before="120" w:after="120"/>
        <w:ind w:left="2268" w:right="1134" w:hanging="1134"/>
        <w:rPr>
          <w:b/>
          <w:lang w:eastAsia="ja-JP"/>
        </w:rPr>
      </w:pPr>
      <w:r>
        <w:rPr>
          <w:b/>
          <w:lang w:eastAsia="ja-JP"/>
        </w:rPr>
        <w:t>Arrangements of Approval Marks</w:t>
      </w:r>
    </w:p>
    <w:p w14:paraId="0BE31B61" w14:textId="77777777" w:rsidR="001952F7" w:rsidRDefault="001952F7" w:rsidP="001952F7">
      <w:pPr>
        <w:tabs>
          <w:tab w:val="left" w:pos="2835"/>
        </w:tabs>
        <w:spacing w:before="120" w:after="120"/>
        <w:ind w:left="2268" w:right="1134" w:hanging="1134"/>
        <w:rPr>
          <w:b/>
          <w:bCs/>
          <w:iCs/>
          <w:lang w:eastAsia="ja-JP"/>
        </w:rPr>
      </w:pPr>
      <w:r>
        <w:rPr>
          <w:b/>
          <w:bCs/>
          <w:iCs/>
          <w:lang w:eastAsia="ja-JP"/>
        </w:rPr>
        <w:t>Model A</w:t>
      </w:r>
    </w:p>
    <w:p w14:paraId="229E07D2" w14:textId="77777777" w:rsidR="001952F7" w:rsidRDefault="001952F7" w:rsidP="001952F7">
      <w:pPr>
        <w:tabs>
          <w:tab w:val="left" w:pos="2835"/>
        </w:tabs>
        <w:spacing w:before="120" w:after="120"/>
        <w:ind w:left="2268" w:right="1134" w:hanging="1134"/>
        <w:rPr>
          <w:lang w:eastAsia="ja-JP"/>
        </w:rPr>
      </w:pPr>
      <w:r>
        <w:rPr>
          <w:iCs/>
          <w:lang w:eastAsia="ja-JP"/>
        </w:rPr>
        <w:t>(see paragraphs 5.1.4. and 5.3.4. of this Regulation)</w:t>
      </w:r>
    </w:p>
    <w:p w14:paraId="239EC3E1" w14:textId="77777777" w:rsidR="001952F7" w:rsidRDefault="001952F7" w:rsidP="001952F7">
      <w:pPr>
        <w:tabs>
          <w:tab w:val="left" w:pos="2835"/>
        </w:tabs>
        <w:spacing w:before="120" w:after="120"/>
        <w:ind w:left="2268" w:right="1134" w:hanging="1134"/>
        <w:rPr>
          <w:lang w:eastAsia="ja-JP"/>
        </w:rPr>
      </w:pPr>
      <w:r>
        <w:rPr>
          <w:noProof/>
          <w:lang w:val="en-US" w:eastAsia="ja-JP"/>
        </w:rPr>
        <mc:AlternateContent>
          <mc:Choice Requires="wps">
            <w:drawing>
              <wp:anchor distT="0" distB="0" distL="114300" distR="114300" simplePos="0" relativeHeight="251661312" behindDoc="0" locked="0" layoutInCell="1" allowOverlap="1" wp14:anchorId="06B45291" wp14:editId="4ED04809">
                <wp:simplePos x="0" y="0"/>
                <wp:positionH relativeFrom="column">
                  <wp:posOffset>2582545</wp:posOffset>
                </wp:positionH>
                <wp:positionV relativeFrom="paragraph">
                  <wp:posOffset>125730</wp:posOffset>
                </wp:positionV>
                <wp:extent cx="1957680" cy="380520"/>
                <wp:effectExtent l="0" t="0" r="5080"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680" cy="38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EF6C0" w14:textId="77777777" w:rsidR="001952F7" w:rsidRDefault="001952F7" w:rsidP="001952F7">
                            <w:pPr>
                              <w:snapToGrid w:val="0"/>
                              <w:rPr>
                                <w:rFonts w:ascii="Arial" w:eastAsiaTheme="majorEastAsia" w:hAnsi="Arial" w:cs="Arial"/>
                                <w:sz w:val="40"/>
                                <w:szCs w:val="40"/>
                                <w:lang w:val="fr-CH"/>
                              </w:rPr>
                            </w:pPr>
                            <w:r>
                              <w:rPr>
                                <w:rFonts w:ascii="Arial" w:eastAsiaTheme="majorEastAsia" w:hAnsi="Arial" w:cs="Arial"/>
                                <w:sz w:val="40"/>
                                <w:szCs w:val="40"/>
                                <w:lang w:val="fr-CH"/>
                              </w:rPr>
                              <w:t xml:space="preserve">73 </w:t>
                            </w:r>
                            <w:r>
                              <w:rPr>
                                <w:rFonts w:ascii="Arial" w:eastAsiaTheme="majorEastAsia" w:hAnsi="Arial" w:cs="Arial"/>
                                <w:i/>
                                <w:iCs/>
                                <w:sz w:val="40"/>
                                <w:szCs w:val="40"/>
                                <w:lang w:val="fr-CH"/>
                              </w:rPr>
                              <w:t xml:space="preserve">R </w:t>
                            </w:r>
                            <w:r>
                              <w:rPr>
                                <w:rFonts w:ascii="Arial" w:eastAsiaTheme="majorEastAsia" w:hAnsi="Arial" w:cs="Arial"/>
                                <w:sz w:val="40"/>
                                <w:szCs w:val="40"/>
                                <w:lang w:val="fr-CH"/>
                              </w:rPr>
                              <w:t>- 022439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45291" id="_x0000_t202" coordsize="21600,21600" o:spt="202" path="m,l,21600r21600,l21600,xe">
                <v:stroke joinstyle="miter"/>
                <v:path gradientshapeok="t" o:connecttype="rect"/>
              </v:shapetype>
              <v:shape id="テキスト ボックス 3" o:spid="_x0000_s1026" type="#_x0000_t202" style="position:absolute;left:0;text-align:left;margin-left:203.35pt;margin-top:9.9pt;width:154.1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Nq9AEAAMwDAAAOAAAAZHJzL2Uyb0RvYy54bWysU8tu2zAQvBfoPxC817JdO3EEy0HqwEWB&#10;9AGk/QCKoiSiFJdd0pbcr++SchwjuQXVgdByydmd2eH6dugMOyj0GmzBZ5MpZ8pKqLRtCv7r5+7D&#10;ijMfhK2EAasKflSe327ev1v3LldzaMFUChmBWJ/3ruBtCC7PMi9b1Qk/AacsJWvATgQKsckqFD2h&#10;dyabT6dXWQ9YOQSpvKfd+zHJNwm/rpUM3+vaq8BMwam3kFZMaxnXbLMWeYPCtVqe2hBv6KIT2lLR&#10;M9S9CILtUb+C6rRE8FCHiYQug7rWUiUOxGY2fcHmsRVOJS4kjndnmfz/g5XfDo/uB7IwfIKBBphI&#10;ePcA8rdnFratsI26Q4S+VaKiwrMoWdY7n5+uRql97iNI2X+FioYs9gES0FBjF1UhnozQaQDHs+hq&#10;CEzGkjfL66sVpSTlPq6my3maSibyp9sOffisoGPxp+BIQ03o4vDgQ+xG5E9HYjEPRlc7bUwKsCm3&#10;BtlBkAF26UsEXhwzNh62EK+NiHEn0YzMRo5hKAdKRrolVEcijDAaih4A/bSAfznryUwF93/2AhVn&#10;5osl0W5mi0V0XwoWy2uiyPAyU15mhJUEVXAZkLMx2IbRs3uHummp1jgoC3ckda2TCs99nTonyyRx&#10;TvaOnryM06nnR7j5BwAA//8DAFBLAwQUAAYACAAAACEAhoE0Fd8AAAAJAQAADwAAAGRycy9kb3du&#10;cmV2LnhtbEyPQUvDQBCF74L/YRmhN7tpqUkTsylVqCAIYhX0uM1Ok9DsbMhum/XfO570No/38ea9&#10;chNtLy44+s6RgsU8AYFUO9NRo+DjfXe7BuGDJqN7R6jgGz1squurUhfGTfSGl31oBIeQL7SCNoSh&#10;kNLXLVrt525AYu/oRqsDy7GRZtQTh9teLpMklVZ3xB9aPeBji/Vpf7YKppDnT9nuufnapuuHTxOP&#10;Pr68KjW7idt7EAFj+IPhtz5Xh4o7HdyZjBe9glWSZoyykfMEBrLFHY878JFnIKtS/l9Q/QAAAP//&#10;AwBQSwECLQAUAAYACAAAACEAtoM4kv4AAADhAQAAEwAAAAAAAAAAAAAAAAAAAAAAW0NvbnRlbnRf&#10;VHlwZXNdLnhtbFBLAQItABQABgAIAAAAIQA4/SH/1gAAAJQBAAALAAAAAAAAAAAAAAAAAC8BAABf&#10;cmVscy8ucmVsc1BLAQItABQABgAIAAAAIQDpVANq9AEAAMwDAAAOAAAAAAAAAAAAAAAAAC4CAABk&#10;cnMvZTJvRG9jLnhtbFBLAQItABQABgAIAAAAIQCGgTQV3wAAAAkBAAAPAAAAAAAAAAAAAAAAAE4E&#10;AABkcnMvZG93bnJldi54bWxQSwUGAAAAAAQABADzAAAAWgUAAAAA&#10;" stroked="f">
                <v:textbox>
                  <w:txbxContent>
                    <w:p w14:paraId="4F7EF6C0" w14:textId="77777777" w:rsidR="001952F7" w:rsidRDefault="001952F7" w:rsidP="001952F7">
                      <w:pPr>
                        <w:snapToGrid w:val="0"/>
                        <w:rPr>
                          <w:rFonts w:ascii="Arial" w:eastAsiaTheme="majorEastAsia" w:hAnsi="Arial" w:cs="Arial"/>
                          <w:sz w:val="40"/>
                          <w:szCs w:val="40"/>
                          <w:lang w:val="fr-CH"/>
                        </w:rPr>
                      </w:pPr>
                      <w:r>
                        <w:rPr>
                          <w:rFonts w:ascii="Arial" w:eastAsiaTheme="majorEastAsia" w:hAnsi="Arial" w:cs="Arial"/>
                          <w:sz w:val="40"/>
                          <w:szCs w:val="40"/>
                          <w:lang w:val="fr-CH"/>
                        </w:rPr>
                        <w:t xml:space="preserve">73 </w:t>
                      </w:r>
                      <w:r>
                        <w:rPr>
                          <w:rFonts w:ascii="Arial" w:eastAsiaTheme="majorEastAsia" w:hAnsi="Arial" w:cs="Arial"/>
                          <w:i/>
                          <w:iCs/>
                          <w:sz w:val="40"/>
                          <w:szCs w:val="40"/>
                          <w:lang w:val="fr-CH"/>
                        </w:rPr>
                        <w:t xml:space="preserve">R </w:t>
                      </w:r>
                      <w:r>
                        <w:rPr>
                          <w:rFonts w:ascii="Arial" w:eastAsiaTheme="majorEastAsia" w:hAnsi="Arial" w:cs="Arial"/>
                          <w:sz w:val="40"/>
                          <w:szCs w:val="40"/>
                          <w:lang w:val="fr-CH"/>
                        </w:rPr>
                        <w:t>- 022439</w:t>
                      </w:r>
                    </w:p>
                  </w:txbxContent>
                </v:textbox>
              </v:shape>
            </w:pict>
          </mc:Fallback>
        </mc:AlternateContent>
      </w:r>
      <w:r>
        <w:rPr>
          <w:noProof/>
          <w:lang w:val="en-US" w:eastAsia="ja-JP"/>
        </w:rPr>
        <w:drawing>
          <wp:inline distT="0" distB="0" distL="0" distR="0" wp14:anchorId="2768666D" wp14:editId="6B2E1F50">
            <wp:extent cx="3585240" cy="639720"/>
            <wp:effectExtent l="0" t="0" r="0" b="825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5240" cy="639720"/>
                    </a:xfrm>
                    <a:prstGeom prst="rect">
                      <a:avLst/>
                    </a:prstGeom>
                    <a:noFill/>
                    <a:ln>
                      <a:noFill/>
                    </a:ln>
                  </pic:spPr>
                </pic:pic>
              </a:graphicData>
            </a:graphic>
          </wp:inline>
        </w:drawing>
      </w:r>
    </w:p>
    <w:p w14:paraId="1CCD583F" w14:textId="777129E2" w:rsidR="001952F7" w:rsidRDefault="001952F7" w:rsidP="001952F7">
      <w:pPr>
        <w:tabs>
          <w:tab w:val="left" w:pos="2127"/>
        </w:tabs>
        <w:spacing w:before="120" w:after="120"/>
        <w:ind w:left="1134" w:right="1134"/>
        <w:jc w:val="both"/>
        <w:rPr>
          <w:lang w:eastAsia="ja-JP"/>
        </w:rPr>
      </w:pPr>
      <w:r>
        <w:rPr>
          <w:lang w:eastAsia="ja-JP"/>
        </w:rPr>
        <w:tab/>
        <w:t>The above approval mark affixed to a vehicle or to an LPD shows that the vehicle type concerned has, with regard to its lateral protection, been approved in the Netherlands (E 4) pursuant to Regulation No. 73 under approval number</w:t>
      </w:r>
      <w:r w:rsidRPr="004A2BF2">
        <w:rPr>
          <w:lang w:eastAsia="ja-JP"/>
        </w:rPr>
        <w:t xml:space="preserve"> 022439 as a complete vehicle.  The first two digits of the approval number indicate that the approval was granted in accordance with the requirements of Regulation No. 73 as amended by the</w:t>
      </w:r>
      <w:r w:rsidRPr="004A2BF2">
        <w:rPr>
          <w:rFonts w:hint="eastAsia"/>
          <w:lang w:eastAsia="ja-JP"/>
        </w:rPr>
        <w:t xml:space="preserve"> </w:t>
      </w:r>
      <w:r w:rsidRPr="004A2BF2">
        <w:rPr>
          <w:lang w:eastAsia="ja-JP"/>
        </w:rPr>
        <w:t>02 serie</w:t>
      </w:r>
      <w:r>
        <w:rPr>
          <w:lang w:eastAsia="ja-JP"/>
        </w:rPr>
        <w:t>s of amendments.</w:t>
      </w:r>
    </w:p>
    <w:p w14:paraId="0CBF23A2" w14:textId="77777777" w:rsidR="001952F7" w:rsidRDefault="001952F7" w:rsidP="001952F7">
      <w:pPr>
        <w:tabs>
          <w:tab w:val="left" w:pos="2835"/>
        </w:tabs>
        <w:spacing w:line="240" w:lineRule="auto"/>
        <w:ind w:left="1134" w:right="1134"/>
        <w:rPr>
          <w:lang w:eastAsia="ja-JP"/>
        </w:rPr>
      </w:pPr>
    </w:p>
    <w:p w14:paraId="1BC6C0EA" w14:textId="77777777" w:rsidR="001952F7" w:rsidRDefault="001952F7" w:rsidP="001952F7">
      <w:pPr>
        <w:tabs>
          <w:tab w:val="left" w:pos="2835"/>
        </w:tabs>
        <w:spacing w:after="120" w:line="240" w:lineRule="auto"/>
        <w:ind w:left="2268" w:right="1134" w:hanging="1134"/>
        <w:rPr>
          <w:b/>
          <w:bCs/>
          <w:iCs/>
          <w:lang w:eastAsia="ja-JP"/>
        </w:rPr>
      </w:pPr>
      <w:r>
        <w:rPr>
          <w:b/>
          <w:bCs/>
          <w:iCs/>
          <w:lang w:eastAsia="ja-JP"/>
        </w:rPr>
        <w:t>Model B</w:t>
      </w:r>
    </w:p>
    <w:p w14:paraId="32E39A4A" w14:textId="77777777" w:rsidR="001952F7" w:rsidRDefault="001952F7" w:rsidP="001952F7">
      <w:pPr>
        <w:tabs>
          <w:tab w:val="left" w:pos="2835"/>
        </w:tabs>
        <w:spacing w:before="120" w:after="120"/>
        <w:ind w:left="2268" w:right="1134" w:hanging="1134"/>
        <w:rPr>
          <w:lang w:eastAsia="ja-JP"/>
        </w:rPr>
      </w:pPr>
      <w:r>
        <w:rPr>
          <w:lang w:eastAsia="ja-JP"/>
        </w:rPr>
        <w:t>(see paragraph 5.2.4. of this Regulation)</w:t>
      </w:r>
    </w:p>
    <w:p w14:paraId="60A2D515" w14:textId="77777777" w:rsidR="001952F7" w:rsidRDefault="001952F7" w:rsidP="001952F7">
      <w:pPr>
        <w:tabs>
          <w:tab w:val="left" w:pos="2835"/>
        </w:tabs>
        <w:spacing w:before="120" w:after="120"/>
        <w:ind w:left="2268" w:right="1134" w:hanging="1134"/>
        <w:rPr>
          <w:lang w:eastAsia="ja-JP"/>
        </w:rPr>
      </w:pPr>
      <w:r>
        <w:rPr>
          <w:noProof/>
          <w:lang w:val="en-US" w:eastAsia="ja-JP"/>
        </w:rPr>
        <mc:AlternateContent>
          <mc:Choice Requires="wps">
            <w:drawing>
              <wp:anchor distT="0" distB="0" distL="114300" distR="114300" simplePos="0" relativeHeight="251663360" behindDoc="0" locked="0" layoutInCell="1" allowOverlap="1" wp14:anchorId="63743759" wp14:editId="7C7C31C3">
                <wp:simplePos x="0" y="0"/>
                <wp:positionH relativeFrom="column">
                  <wp:posOffset>2550795</wp:posOffset>
                </wp:positionH>
                <wp:positionV relativeFrom="paragraph">
                  <wp:posOffset>119380</wp:posOffset>
                </wp:positionV>
                <wp:extent cx="1957680" cy="380520"/>
                <wp:effectExtent l="0" t="0" r="508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680" cy="38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D048E" w14:textId="77777777" w:rsidR="001952F7" w:rsidRDefault="001952F7" w:rsidP="001952F7">
                            <w:pPr>
                              <w:snapToGrid w:val="0"/>
                              <w:rPr>
                                <w:rFonts w:ascii="Arial" w:eastAsiaTheme="majorEastAsia" w:hAnsi="Arial" w:cs="Arial"/>
                                <w:sz w:val="40"/>
                                <w:szCs w:val="40"/>
                                <w:lang w:val="fr-CH"/>
                              </w:rPr>
                            </w:pPr>
                            <w:r>
                              <w:rPr>
                                <w:rFonts w:ascii="Arial" w:eastAsiaTheme="majorEastAsia" w:hAnsi="Arial" w:cs="Arial"/>
                                <w:sz w:val="40"/>
                                <w:szCs w:val="40"/>
                                <w:lang w:val="fr-CH"/>
                              </w:rPr>
                              <w:t xml:space="preserve">73 </w:t>
                            </w:r>
                            <w:r>
                              <w:rPr>
                                <w:rFonts w:ascii="Arial" w:eastAsiaTheme="majorEastAsia" w:hAnsi="Arial" w:cs="Arial"/>
                                <w:i/>
                                <w:iCs/>
                                <w:sz w:val="40"/>
                                <w:szCs w:val="40"/>
                                <w:lang w:val="fr-CH"/>
                              </w:rPr>
                              <w:t xml:space="preserve">R </w:t>
                            </w:r>
                            <w:r>
                              <w:rPr>
                                <w:rFonts w:ascii="Arial" w:eastAsiaTheme="majorEastAsia" w:hAnsi="Arial" w:cs="Arial"/>
                                <w:sz w:val="40"/>
                                <w:szCs w:val="40"/>
                                <w:lang w:val="fr-CH"/>
                              </w:rPr>
                              <w:t>- 022439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743759" id="テキスト ボックス 8" o:spid="_x0000_s1027" type="#_x0000_t202" style="position:absolute;left:0;text-align:left;margin-left:200.85pt;margin-top:9.4pt;width:154.1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H39wEAANMDAAAOAAAAZHJzL2Uyb0RvYy54bWysU8tu2zAQvBfoPxC817JdO3EEy0HqwEWB&#10;9AGk/QCKoiSiFJdd0pbcr++SchwjuQXVgdByydmd2eH6dugMOyj0GmzBZ5MpZ8pKqLRtCv7r5+7D&#10;ijMfhK2EAasKflSe327ev1v3LldzaMFUChmBWJ/3ruBtCC7PMi9b1Qk/AacsJWvATgQKsckqFD2h&#10;dyabT6dXWQ9YOQSpvKfd+zHJNwm/rpUM3+vaq8BMwam3kFZMaxnXbLMWeYPCtVqe2hBv6KIT2lLR&#10;M9S9CILtUb+C6rRE8FCHiYQug7rWUiUOxGY2fcHmsRVOJS4kjndnmfz/g5XfDo/uB7IwfIKBBphI&#10;ePcA8rdnFratsI26Q4S+VaKiwrMoWdY7n5+uRql97iNI2X+FioYs9gES0FBjF1UhnozQaQDHs+hq&#10;CEzGkjfL66sVpSTlPq6my3maSibyp9sOffisoGPxp+BIQ03o4vDgQ+xG5E9HYjEPRlc7bUwKsCm3&#10;BtlBkAF26UsEXhwzNh62EK+NiHEn0YzMRo5hKAemq5MGkXUJ1ZF4I4y+ondAPy3gX8568lTB/Z+9&#10;QMWZ+WJJu5vZYhFNmILF8pqYMrzMlJcZYSVBFVwG5GwMtmG07t6hblqqNc7Lwh0pXuskxnNfJwLk&#10;nKTRyeXRmpdxOvX8Fjf/AAAA//8DAFBLAwQUAAYACAAAACEA0HHBK94AAAAJAQAADwAAAGRycy9k&#10;b3ducmV2LnhtbEyPQUvDQBCF74L/YRnBm92NSJPGbEoVKgiCWAU9brPTJJidDdlts/57x5O9zeN9&#10;vHmvWic3iBNOofekIVsoEEiNtz21Gj7etzcFiBANWTN4Qg0/GGBdX15UprR+pjc87WIrOIRCaTR0&#10;MY6llKHp0Jmw8CMSewc/ORNZTq20k5k53A3yVqmldKYn/tCZER87bL53R6dhjqvVU759br82y+Lh&#10;06ZDSC+vWl9fpc09iIgp/sPwV5+rQ82d9v5INohBw53KckbZKHgCA3mmeNyejyIHWVfyfEH9CwAA&#10;//8DAFBLAQItABQABgAIAAAAIQC2gziS/gAAAOEBAAATAAAAAAAAAAAAAAAAAAAAAABbQ29udGVu&#10;dF9UeXBlc10ueG1sUEsBAi0AFAAGAAgAAAAhADj9If/WAAAAlAEAAAsAAAAAAAAAAAAAAAAALwEA&#10;AF9yZWxzLy5yZWxzUEsBAi0AFAAGAAgAAAAhADy60ff3AQAA0wMAAA4AAAAAAAAAAAAAAAAALgIA&#10;AGRycy9lMm9Eb2MueG1sUEsBAi0AFAAGAAgAAAAhANBxwSveAAAACQEAAA8AAAAAAAAAAAAAAAAA&#10;UQQAAGRycy9kb3ducmV2LnhtbFBLBQYAAAAABAAEAPMAAABcBQAAAAA=&#10;" stroked="f">
                <v:textbox>
                  <w:txbxContent>
                    <w:p w14:paraId="54CD048E" w14:textId="77777777" w:rsidR="001952F7" w:rsidRDefault="001952F7" w:rsidP="001952F7">
                      <w:pPr>
                        <w:snapToGrid w:val="0"/>
                        <w:rPr>
                          <w:rFonts w:ascii="Arial" w:eastAsiaTheme="majorEastAsia" w:hAnsi="Arial" w:cs="Arial"/>
                          <w:sz w:val="40"/>
                          <w:szCs w:val="40"/>
                          <w:lang w:val="fr-CH"/>
                        </w:rPr>
                      </w:pPr>
                      <w:r>
                        <w:rPr>
                          <w:rFonts w:ascii="Arial" w:eastAsiaTheme="majorEastAsia" w:hAnsi="Arial" w:cs="Arial"/>
                          <w:sz w:val="40"/>
                          <w:szCs w:val="40"/>
                          <w:lang w:val="fr-CH"/>
                        </w:rPr>
                        <w:t xml:space="preserve">73 </w:t>
                      </w:r>
                      <w:r>
                        <w:rPr>
                          <w:rFonts w:ascii="Arial" w:eastAsiaTheme="majorEastAsia" w:hAnsi="Arial" w:cs="Arial"/>
                          <w:i/>
                          <w:iCs/>
                          <w:sz w:val="40"/>
                          <w:szCs w:val="40"/>
                          <w:lang w:val="fr-CH"/>
                        </w:rPr>
                        <w:t xml:space="preserve">R </w:t>
                      </w:r>
                      <w:r>
                        <w:rPr>
                          <w:rFonts w:ascii="Arial" w:eastAsiaTheme="majorEastAsia" w:hAnsi="Arial" w:cs="Arial"/>
                          <w:sz w:val="40"/>
                          <w:szCs w:val="40"/>
                          <w:lang w:val="fr-CH"/>
                        </w:rPr>
                        <w:t>- 022439</w:t>
                      </w:r>
                    </w:p>
                  </w:txbxContent>
                </v:textbox>
              </v:shape>
            </w:pict>
          </mc:Fallback>
        </mc:AlternateContent>
      </w:r>
      <w:r>
        <w:rPr>
          <w:noProof/>
          <w:lang w:val="en-US" w:eastAsia="ja-JP"/>
        </w:rPr>
        <w:drawing>
          <wp:inline distT="0" distB="0" distL="0" distR="0" wp14:anchorId="438DFD47" wp14:editId="393A54F3">
            <wp:extent cx="3585240" cy="639720"/>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5240" cy="639720"/>
                    </a:xfrm>
                    <a:prstGeom prst="rect">
                      <a:avLst/>
                    </a:prstGeom>
                    <a:noFill/>
                    <a:ln>
                      <a:noFill/>
                    </a:ln>
                  </pic:spPr>
                </pic:pic>
              </a:graphicData>
            </a:graphic>
          </wp:inline>
        </w:drawing>
      </w:r>
    </w:p>
    <w:p w14:paraId="61D57C6A" w14:textId="449CF7CA" w:rsidR="001952F7" w:rsidRDefault="001952F7" w:rsidP="001952F7">
      <w:pPr>
        <w:tabs>
          <w:tab w:val="left" w:pos="2127"/>
        </w:tabs>
        <w:spacing w:before="120" w:after="120"/>
        <w:ind w:left="1134" w:right="1134"/>
        <w:jc w:val="both"/>
        <w:rPr>
          <w:lang w:eastAsia="ja-JP"/>
        </w:rPr>
      </w:pPr>
      <w:r>
        <w:rPr>
          <w:lang w:eastAsia="ja-JP"/>
        </w:rPr>
        <w:tab/>
        <w:t xml:space="preserve">The above approval mark affixed to an LPD shows that the LPD type concerned has, with regard to its lateral protection, been approved in the Netherlands (E 4) pursuant to Regulation No. 73 under approval number </w:t>
      </w:r>
      <w:r w:rsidRPr="004A2BF2">
        <w:rPr>
          <w:bCs/>
          <w:lang w:eastAsia="ja-JP"/>
        </w:rPr>
        <w:t>022439. The first two digits of the approval number indicate that the approval was granted in accordance with the requirements of Regulation No. 73 as amended by the 02 series</w:t>
      </w:r>
      <w:r w:rsidRPr="004A2BF2">
        <w:rPr>
          <w:lang w:eastAsia="ja-JP"/>
        </w:rPr>
        <w:t xml:space="preserve"> </w:t>
      </w:r>
      <w:r>
        <w:rPr>
          <w:lang w:eastAsia="ja-JP"/>
        </w:rPr>
        <w:t>of amendments.</w:t>
      </w:r>
    </w:p>
    <w:p w14:paraId="5612DD07" w14:textId="77777777" w:rsidR="001952F7" w:rsidRDefault="001952F7" w:rsidP="001952F7">
      <w:pPr>
        <w:tabs>
          <w:tab w:val="left" w:pos="2835"/>
        </w:tabs>
        <w:spacing w:before="120" w:after="120"/>
        <w:ind w:left="2268" w:right="1134" w:hanging="1134"/>
        <w:rPr>
          <w:b/>
          <w:bCs/>
          <w:iCs/>
          <w:lang w:eastAsia="ja-JP"/>
        </w:rPr>
      </w:pPr>
      <w:r>
        <w:rPr>
          <w:b/>
          <w:bCs/>
          <w:iCs/>
          <w:lang w:eastAsia="ja-JP"/>
        </w:rPr>
        <w:lastRenderedPageBreak/>
        <w:t>Model C</w:t>
      </w:r>
    </w:p>
    <w:p w14:paraId="2CB62C50" w14:textId="77777777" w:rsidR="001952F7" w:rsidRDefault="001952F7" w:rsidP="001952F7">
      <w:pPr>
        <w:tabs>
          <w:tab w:val="left" w:pos="2835"/>
        </w:tabs>
        <w:spacing w:before="120" w:after="120"/>
        <w:ind w:left="2268" w:right="1134" w:hanging="1134"/>
        <w:rPr>
          <w:lang w:eastAsia="ja-JP"/>
        </w:rPr>
      </w:pPr>
      <w:r>
        <w:rPr>
          <w:lang w:eastAsia="ja-JP"/>
        </w:rPr>
        <w:t>(see paragraphs 5.1.5. and 5.3.5. of this Regulation)</w:t>
      </w:r>
    </w:p>
    <w:p w14:paraId="63CEB993" w14:textId="77777777" w:rsidR="001952F7" w:rsidRDefault="001952F7" w:rsidP="001952F7">
      <w:pPr>
        <w:tabs>
          <w:tab w:val="left" w:pos="2835"/>
        </w:tabs>
        <w:spacing w:before="120" w:after="120"/>
        <w:ind w:left="1134" w:right="1134"/>
        <w:rPr>
          <w:lang w:eastAsia="ja-JP"/>
        </w:rPr>
      </w:pPr>
      <w:r>
        <w:rPr>
          <w:noProof/>
          <w:lang w:val="en-US" w:eastAsia="ja-JP"/>
        </w:rPr>
        <mc:AlternateContent>
          <mc:Choice Requires="wps">
            <w:drawing>
              <wp:anchor distT="0" distB="0" distL="114300" distR="114300" simplePos="0" relativeHeight="251659264" behindDoc="0" locked="0" layoutInCell="1" allowOverlap="1" wp14:anchorId="0DD9C50C" wp14:editId="76691DDF">
                <wp:simplePos x="0" y="0"/>
                <wp:positionH relativeFrom="column">
                  <wp:posOffset>2691851</wp:posOffset>
                </wp:positionH>
                <wp:positionV relativeFrom="paragraph">
                  <wp:posOffset>38981</wp:posOffset>
                </wp:positionV>
                <wp:extent cx="907576" cy="267335"/>
                <wp:effectExtent l="0" t="0" r="698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576"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4AF80" w14:textId="77777777" w:rsidR="001952F7" w:rsidRDefault="001952F7" w:rsidP="001952F7">
                            <w:pPr>
                              <w:snapToGrid w:val="0"/>
                              <w:rPr>
                                <w:rFonts w:ascii="Arial" w:hAnsi="Arial" w:cs="Arial"/>
                                <w:sz w:val="40"/>
                                <w:szCs w:val="40"/>
                                <w:lang w:val="fr-CH"/>
                              </w:rPr>
                            </w:pPr>
                            <w:r>
                              <w:rPr>
                                <w:rFonts w:ascii="Arial" w:hAnsi="Arial" w:cs="Arial"/>
                                <w:sz w:val="40"/>
                                <w:szCs w:val="40"/>
                                <w:lang w:val="fr-CH"/>
                              </w:rPr>
                              <w:t>022439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D9C50C" id="テキスト ボックス 15" o:spid="_x0000_s1028" type="#_x0000_t202" style="position:absolute;left:0;text-align:left;margin-left:211.95pt;margin-top:3.05pt;width:71.4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r/7wEAAMIDAAAOAAAAZHJzL2Uyb0RvYy54bWysU9tu2zAMfR+wfxD0vjhJ0WQz4hRdigwD&#10;ugvQ7QNkWbaFyaJGKbGzrx8l2+kub8P8IJASechzSO/uhs6ws0KvwRZ8tVhypqyEStum4F+/HF+9&#10;5swHYSthwKqCX5Tnd/uXL3a9y9UaWjCVQkYg1ue9K3gbgsuzzMtWdcIvwClLjzVgJwK52GQVip7Q&#10;O5Otl8tN1gNWDkEq7+n2YXzk+4Rf10qGT3XtVWCm4NRbSCems4xntt+JvEHhWi2nNsQ/dNEJbano&#10;FepBBMFOqP+C6rRE8FCHhYQug7rWUiUOxGa1/IPNUyucSlxIHO+uMvn/Bys/np/cZ2RheAsDDTCR&#10;8O4R5DfPLBxaYRt1jwh9q0RFhVdRsqx3Pp9So9Q+9xGk7D9ARUMWpwAJaKixi6oQT0boNIDLVXQ1&#10;BCbp8s1ye7vdcCbpab3Z3tzcpgoin5Md+vBOQceiUXCkmSZwcX70ITYj8jkk1vJgdHXUxiQHm/Jg&#10;kJ0Fzf+Yvgn9tzBjY7CFmDYixpvEMhIbKYahHJiuqMsIEUmXUF2INsK4VvQbkNEC/uCsp5UquP9+&#10;Eqg4M+8tSRf3bzZwNsrZEFZSasFlQM5G5xDGTT051E1L2ON4LNyTwLVO5J/7mBqmRUmaTEsdN/FX&#10;P0U9/3r7nwAAAP//AwBQSwMEFAAGAAgAAAAhAPsNGoTdAAAACAEAAA8AAABkcnMvZG93bnJldi54&#10;bWxMj0FOwzAQRfdI3MEaJHbUaQpuCXEqVAESiy4oHGAST5yI2I5itw2cnmEFy9H7+vN+uZ3dIE40&#10;xT54DctFBoJ8E0zvrYaP9+ebDYiY0BscgicNXxRhW11elFiYcPZvdDokK7jExwI1dCmNhZSx6chh&#10;XISRPLM2TA4Tn5OVZsIzl7tB5lmmpMPe84cOR9p11Hwejk7D7rtFm9Xj/kU1K/uaaP3Ut2utr6/m&#10;xwcQieb0F4ZffVaHip3qcPQmikHDbb6656gGtQTB/E4pnlIz2OQgq1L+H1D9AAAA//8DAFBLAQIt&#10;ABQABgAIAAAAIQC2gziS/gAAAOEBAAATAAAAAAAAAAAAAAAAAAAAAABbQ29udGVudF9UeXBlc10u&#10;eG1sUEsBAi0AFAAGAAgAAAAhADj9If/WAAAAlAEAAAsAAAAAAAAAAAAAAAAALwEAAF9yZWxzLy5y&#10;ZWxzUEsBAi0AFAAGAAgAAAAhAHR32v/vAQAAwgMAAA4AAAAAAAAAAAAAAAAALgIAAGRycy9lMm9E&#10;b2MueG1sUEsBAi0AFAAGAAgAAAAhAPsNGoTdAAAACAEAAA8AAAAAAAAAAAAAAAAASQQAAGRycy9k&#10;b3ducmV2LnhtbFBLBQYAAAAABAAEAPMAAABTBQAAAAA=&#10;" stroked="f">
                <v:textbox inset="0,0,0,0">
                  <w:txbxContent>
                    <w:p w14:paraId="5834AF80" w14:textId="77777777" w:rsidR="001952F7" w:rsidRDefault="001952F7" w:rsidP="001952F7">
                      <w:pPr>
                        <w:snapToGrid w:val="0"/>
                        <w:rPr>
                          <w:rFonts w:ascii="Arial" w:hAnsi="Arial" w:cs="Arial"/>
                          <w:sz w:val="40"/>
                          <w:szCs w:val="40"/>
                          <w:lang w:val="fr-CH"/>
                        </w:rPr>
                      </w:pPr>
                      <w:r>
                        <w:rPr>
                          <w:rFonts w:ascii="Arial" w:hAnsi="Arial" w:cs="Arial"/>
                          <w:sz w:val="40"/>
                          <w:szCs w:val="40"/>
                          <w:lang w:val="fr-CH"/>
                        </w:rPr>
                        <w:t>022439</w:t>
                      </w:r>
                    </w:p>
                  </w:txbxContent>
                </v:textbox>
              </v:shape>
            </w:pict>
          </mc:Fallback>
        </mc:AlternateContent>
      </w:r>
      <w:r>
        <w:rPr>
          <w:noProof/>
          <w:lang w:val="en-US" w:eastAsia="ja-JP"/>
        </w:rPr>
        <mc:AlternateContent>
          <mc:Choice Requires="wps">
            <w:drawing>
              <wp:anchor distT="0" distB="0" distL="114300" distR="114300" simplePos="0" relativeHeight="251662336" behindDoc="0" locked="0" layoutInCell="1" allowOverlap="1" wp14:anchorId="39ABDCE9" wp14:editId="1146BBE0">
                <wp:simplePos x="0" y="0"/>
                <wp:positionH relativeFrom="column">
                  <wp:posOffset>2691765</wp:posOffset>
                </wp:positionH>
                <wp:positionV relativeFrom="paragraph">
                  <wp:posOffset>311150</wp:posOffset>
                </wp:positionV>
                <wp:extent cx="882015" cy="268605"/>
                <wp:effectExtent l="0" t="0" r="0" b="0"/>
                <wp:wrapNone/>
                <wp:docPr id="136127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D9B43" w14:textId="77777777" w:rsidR="001952F7" w:rsidRDefault="001952F7" w:rsidP="001952F7">
                            <w:pPr>
                              <w:snapToGrid w:val="0"/>
                              <w:jc w:val="center"/>
                              <w:rPr>
                                <w:rFonts w:ascii="Arial" w:hAnsi="Arial" w:cs="Arial"/>
                                <w:sz w:val="40"/>
                                <w:szCs w:val="40"/>
                                <w:lang w:val="fr-CH"/>
                              </w:rPr>
                            </w:pPr>
                            <w:r>
                              <w:rPr>
                                <w:rFonts w:ascii="Arial" w:hAnsi="Arial" w:cs="Arial"/>
                                <w:sz w:val="40"/>
                                <w:szCs w:val="40"/>
                                <w:lang w:val="fr-CH"/>
                              </w:rPr>
                              <w:t>021628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ABDCE9" id="テキスト ボックス 2" o:spid="_x0000_s1029" type="#_x0000_t202" style="position:absolute;left:0;text-align:left;margin-left:211.95pt;margin-top:24.5pt;width:69.4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S/7gEAAMIDAAAOAAAAZHJzL2Uyb0RvYy54bWysU9tu2zAMfR+wfxD0vjjJ0CAw4hRdigwD&#10;ugvQ7gNkWbaFyaJGKbGzrx8l2+nWvg3zg0BK5CHPIb27HTrDzgq9Blvw1WLJmbISKm2bgn9/Or7b&#10;cuaDsJUwYFXBL8rz2/3bN7ve5WoNLZhKISMQ6/PeFbwNweVZ5mWrOuEX4JSlxxqwE4FcbLIKRU/o&#10;ncnWy+Um6wErhyCV93R7Pz7yfcKvayXD17r2KjBTcOotpBPTWcYz2+9E3qBwrZZTG+IfuuiEtlT0&#10;CnUvgmAn1K+gOi0RPNRhIaHLoK61VIkDsVktX7B5bIVTiQuJ491VJv//YOWX86P7hiwMH2CgASYS&#10;3j2A/OGZhUMrbKPuEKFvlaio8CpKlvXO51NqlNrnPoKU/WeoaMjiFCABDTV2URXiyQidBnC5iq6G&#10;wCRdbrfE/IYzSU/rzXazvEkVRD4nO/Tho4KORaPgSDNN4OL84ENsRuRzSKzlwejqqI1JDjblwSA7&#10;C5r/MX0T+l9hxsZgCzFtRIw3iWUkNlIMQzkwXRX8fYSIpEuoLkQbYVwr+g3IaAF/cdbTShXc/zwJ&#10;VJyZT5aki/s3Gzgb5WwIKym14DIgZ6NzCOOmnhzqpiXscTwW7kjgWifyz31MDdOiJE2mpY6b+Kef&#10;op5/vf1vAAAA//8DAFBLAwQUAAYACAAAACEA5YUajd4AAAAJAQAADwAAAGRycy9kb3ducmV2Lnht&#10;bEyPwU7DMAyG70i8Q2QkbixdCx0tTSc0ARKHHRg8QNq4aUXjVE22FZ4ec4KbLX/6/f3VdnGjOOEc&#10;Bk8K1qsEBFLrzUBWwcf78809iBA1GT16QgVfGGBbX15UujT+TG94OkQrOIRCqRX0MU6llKHt0emw&#10;8hMS3zo/Ox15na00sz5zuBtlmiS5dHog/tDrCXc9tp+Ho1Ow++60TZpp/5K3mX2NuHkauo1S11fL&#10;4wOIiEv8g+FXn9WhZqfGH8kEMSq4TbOCUR4K7sTAXZ5yl0ZBsc5A1pX836D+AQAA//8DAFBLAQIt&#10;ABQABgAIAAAAIQC2gziS/gAAAOEBAAATAAAAAAAAAAAAAAAAAAAAAABbQ29udGVudF9UeXBlc10u&#10;eG1sUEsBAi0AFAAGAAgAAAAhADj9If/WAAAAlAEAAAsAAAAAAAAAAAAAAAAALwEAAF9yZWxzLy5y&#10;ZWxzUEsBAi0AFAAGAAgAAAAhABPBtL/uAQAAwgMAAA4AAAAAAAAAAAAAAAAALgIAAGRycy9lMm9E&#10;b2MueG1sUEsBAi0AFAAGAAgAAAAhAOWFGo3eAAAACQEAAA8AAAAAAAAAAAAAAAAASAQAAGRycy9k&#10;b3ducmV2LnhtbFBLBQYAAAAABAAEAPMAAABTBQAAAAA=&#10;" stroked="f">
                <v:textbox inset="0,0,0,0">
                  <w:txbxContent>
                    <w:p w14:paraId="783D9B43" w14:textId="77777777" w:rsidR="001952F7" w:rsidRDefault="001952F7" w:rsidP="001952F7">
                      <w:pPr>
                        <w:snapToGrid w:val="0"/>
                        <w:jc w:val="center"/>
                        <w:rPr>
                          <w:rFonts w:ascii="Arial" w:hAnsi="Arial" w:cs="Arial"/>
                          <w:sz w:val="40"/>
                          <w:szCs w:val="40"/>
                          <w:lang w:val="fr-CH"/>
                        </w:rPr>
                      </w:pPr>
                      <w:r>
                        <w:rPr>
                          <w:rFonts w:ascii="Arial" w:hAnsi="Arial" w:cs="Arial"/>
                          <w:sz w:val="40"/>
                          <w:szCs w:val="40"/>
                          <w:lang w:val="fr-CH"/>
                        </w:rPr>
                        <w:t>021628</w:t>
                      </w:r>
                    </w:p>
                  </w:txbxContent>
                </v:textbox>
              </v:shape>
            </w:pict>
          </mc:Fallback>
        </mc:AlternateContent>
      </w:r>
      <w:r>
        <w:rPr>
          <w:noProof/>
          <w:lang w:val="en-US" w:eastAsia="ja-JP"/>
        </w:rPr>
        <mc:AlternateContent>
          <mc:Choice Requires="wps">
            <w:drawing>
              <wp:anchor distT="0" distB="0" distL="114300" distR="114300" simplePos="0" relativeHeight="251660288" behindDoc="0" locked="0" layoutInCell="1" allowOverlap="1" wp14:anchorId="61A2430F" wp14:editId="28F3899E">
                <wp:simplePos x="0" y="0"/>
                <wp:positionH relativeFrom="column">
                  <wp:posOffset>2685415</wp:posOffset>
                </wp:positionH>
                <wp:positionV relativeFrom="paragraph">
                  <wp:posOffset>314325</wp:posOffset>
                </wp:positionV>
                <wp:extent cx="882015" cy="26860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A4A67" w14:textId="77777777" w:rsidR="001952F7" w:rsidRDefault="001952F7" w:rsidP="001952F7">
                            <w:pPr>
                              <w:snapToGrid w:val="0"/>
                              <w:jc w:val="center"/>
                              <w:rPr>
                                <w:rFonts w:ascii="Arial" w:hAnsi="Arial" w:cs="Arial"/>
                                <w:sz w:val="40"/>
                                <w:szCs w:val="40"/>
                                <w:lang w:val="fr-CH"/>
                              </w:rPr>
                            </w:pPr>
                            <w:r>
                              <w:rPr>
                                <w:rFonts w:ascii="Arial" w:hAnsi="Arial" w:cs="Arial"/>
                                <w:color w:val="FF0000"/>
                                <w:sz w:val="40"/>
                                <w:szCs w:val="40"/>
                                <w:lang w:val="fr-CH"/>
                              </w:rPr>
                              <w:t>02</w:t>
                            </w:r>
                            <w:r>
                              <w:rPr>
                                <w:rFonts w:ascii="Arial" w:hAnsi="Arial" w:cs="Arial"/>
                                <w:sz w:val="40"/>
                                <w:szCs w:val="40"/>
                                <w:lang w:val="fr-CH"/>
                              </w:rPr>
                              <w:t>1628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A2430F" id="テキスト ボックス 10" o:spid="_x0000_s1030" type="#_x0000_t202" style="position:absolute;left:0;text-align:left;margin-left:211.45pt;margin-top:24.75pt;width:69.4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fc7gEAAMIDAAAOAAAAZHJzL2Uyb0RvYy54bWysU9tu2zAMfR+wfxD0vjgJ1iAw4hRdigwD&#10;ugvQ7gNkWbaFyaJGKbGzrx8l2+nWvg3zg0BK5CHPIb27HTrDzgq9Blvw1WLJmbISKm2bgn9/Or7b&#10;cuaDsJUwYFXBL8rz2/3bN7ve5WoNLZhKISMQ6/PeFbwNweVZ5mWrOuEX4JSlxxqwE4FcbLIKRU/o&#10;ncnWy+Um6wErhyCV93R7Pz7yfcKvayXD17r2KjBTcOotpBPTWcYz2+9E3qBwrZZTG+IfuuiEtlT0&#10;CnUvgmAn1K+gOi0RPNRhIaHLoK61VIkDsVktX7B5bIVTiQuJ491VJv//YOWX86P7hiwMH2CgASYS&#10;3j2A/OGZhUMrbKPuEKFvlaio8CpKlvXO51NqlNrnPoKU/WeoaMjiFCABDTV2URXiyQidBnC5iq6G&#10;wCRdbrfE/IYzSU/rzXazvEkVRD4nO/Tho4KORaPgSDNN4OL84ENsRuRzSKzlwejqqI1JDjblwSA7&#10;C5r/MX0T+l9hxsZgCzFtRIw3iWUkNlIMQzkwXRX8fYSIpEuoLkQbYVwr+g3IaAF/cdbTShXc/zwJ&#10;VJyZT5aki/s3Gzgb5WwIKym14DIgZ6NzCOOmnhzqpiXscTwW7kjgWifyz31MDdOiJE2mpY6b+Kef&#10;op5/vf1vAAAA//8DAFBLAwQUAAYACAAAACEAoL2FK98AAAAJAQAADwAAAGRycy9kb3ducmV2Lnht&#10;bEyPwU7DMBBE70j8g7VI3KjTQFOSxqlQBUgceqDwAU68caLG6yh228DXs5zgtLua0eybcju7QZxx&#10;Cr0nBctFAgKp8aYnq+Dz4+XuEUSImowePKGCLwywra6vSl0Yf6F3PB+iFRxCodAKuhjHQsrQdOh0&#10;WPgRibXWT05HPicrzaQvHO4GmSZJJp3uiT90esRdh83xcHIKdt+ttkk97l+z5t6+RVw/9+1aqdub&#10;+WkDIuIc/8zwi8/oUDFT7U9kghgUPKRpzlZe8hUINqyyJXepFeQ8ZVXK/w2qHwAAAP//AwBQSwEC&#10;LQAUAAYACAAAACEAtoM4kv4AAADhAQAAEwAAAAAAAAAAAAAAAAAAAAAAW0NvbnRlbnRfVHlwZXNd&#10;LnhtbFBLAQItABQABgAIAAAAIQA4/SH/1gAAAJQBAAALAAAAAAAAAAAAAAAAAC8BAABfcmVscy8u&#10;cmVsc1BLAQItABQABgAIAAAAIQA2btfc7gEAAMIDAAAOAAAAAAAAAAAAAAAAAC4CAABkcnMvZTJv&#10;RG9jLnhtbFBLAQItABQABgAIAAAAIQCgvYUr3wAAAAkBAAAPAAAAAAAAAAAAAAAAAEgEAABkcnMv&#10;ZG93bnJldi54bWxQSwUGAAAAAAQABADzAAAAVAUAAAAA&#10;" stroked="f">
                <v:textbox inset="0,0,0,0">
                  <w:txbxContent>
                    <w:p w14:paraId="6E7A4A67" w14:textId="77777777" w:rsidR="001952F7" w:rsidRDefault="001952F7" w:rsidP="001952F7">
                      <w:pPr>
                        <w:snapToGrid w:val="0"/>
                        <w:jc w:val="center"/>
                        <w:rPr>
                          <w:rFonts w:ascii="Arial" w:hAnsi="Arial" w:cs="Arial"/>
                          <w:sz w:val="40"/>
                          <w:szCs w:val="40"/>
                          <w:lang w:val="fr-CH"/>
                        </w:rPr>
                      </w:pPr>
                      <w:r>
                        <w:rPr>
                          <w:rFonts w:ascii="Arial" w:hAnsi="Arial" w:cs="Arial"/>
                          <w:color w:val="FF0000"/>
                          <w:sz w:val="40"/>
                          <w:szCs w:val="40"/>
                          <w:lang w:val="fr-CH"/>
                        </w:rPr>
                        <w:t>02</w:t>
                      </w:r>
                      <w:r>
                        <w:rPr>
                          <w:rFonts w:ascii="Arial" w:hAnsi="Arial" w:cs="Arial"/>
                          <w:sz w:val="40"/>
                          <w:szCs w:val="40"/>
                          <w:lang w:val="fr-CH"/>
                        </w:rPr>
                        <w:t>1628</w:t>
                      </w:r>
                    </w:p>
                  </w:txbxContent>
                </v:textbox>
              </v:shape>
            </w:pict>
          </mc:Fallback>
        </mc:AlternateContent>
      </w:r>
      <w:r>
        <w:rPr>
          <w:noProof/>
          <w:lang w:val="en-US" w:eastAsia="ja-JP"/>
        </w:rPr>
        <w:drawing>
          <wp:inline distT="0" distB="0" distL="0" distR="0" wp14:anchorId="21F32CD8" wp14:editId="090C2806">
            <wp:extent cx="3232800" cy="738000"/>
            <wp:effectExtent l="0" t="0" r="5715" b="508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2800" cy="738000"/>
                    </a:xfrm>
                    <a:prstGeom prst="rect">
                      <a:avLst/>
                    </a:prstGeom>
                    <a:noFill/>
                    <a:ln>
                      <a:noFill/>
                    </a:ln>
                  </pic:spPr>
                </pic:pic>
              </a:graphicData>
            </a:graphic>
          </wp:inline>
        </w:drawing>
      </w:r>
    </w:p>
    <w:p w14:paraId="0CB2254E" w14:textId="7351E2FC" w:rsidR="001952F7" w:rsidRPr="004A2BF2" w:rsidRDefault="001952F7" w:rsidP="001952F7">
      <w:pPr>
        <w:tabs>
          <w:tab w:val="left" w:pos="1985"/>
        </w:tabs>
        <w:spacing w:before="120" w:after="120"/>
        <w:ind w:left="1134" w:right="1134"/>
        <w:jc w:val="both"/>
        <w:rPr>
          <w:lang w:eastAsia="ja-JP"/>
        </w:rPr>
      </w:pPr>
      <w:r>
        <w:rPr>
          <w:lang w:eastAsia="ja-JP"/>
        </w:rPr>
        <w:tab/>
        <w:t>The above approval mark affixed to a vehicle shows that the vehicle type concerned has been approved in the Netherlands (E 4) pursuant to Regulations Nos. 73 and 31</w:t>
      </w:r>
      <w:r>
        <w:rPr>
          <w:rStyle w:val="FootnoteReference"/>
          <w:lang w:eastAsia="ja-JP"/>
        </w:rPr>
        <w:footnoteReference w:id="3"/>
      </w:r>
      <w:r>
        <w:rPr>
          <w:lang w:eastAsia="ja-JP"/>
        </w:rPr>
        <w:t>. The first two digits of the approval numb</w:t>
      </w:r>
      <w:r w:rsidRPr="004A2BF2">
        <w:rPr>
          <w:lang w:eastAsia="ja-JP"/>
        </w:rPr>
        <w:t>ers indicate that, at the dates when the respective approvals were granted, Regulation No. 73 included the</w:t>
      </w:r>
      <w:r w:rsidRPr="004A2BF2">
        <w:rPr>
          <w:rFonts w:hint="eastAsia"/>
          <w:lang w:eastAsia="ja-JP"/>
        </w:rPr>
        <w:t xml:space="preserve"> </w:t>
      </w:r>
      <w:r w:rsidRPr="004A2BF2">
        <w:rPr>
          <w:lang w:eastAsia="ja-JP"/>
        </w:rPr>
        <w:t>02 series of amendments and the approval was granted for a completed vehicle, and Regulation No. 31 included the</w:t>
      </w:r>
      <w:r w:rsidRPr="004A2BF2">
        <w:rPr>
          <w:rFonts w:hint="eastAsia"/>
          <w:lang w:eastAsia="ja-JP"/>
        </w:rPr>
        <w:t xml:space="preserve"> </w:t>
      </w:r>
      <w:r w:rsidRPr="004A2BF2">
        <w:rPr>
          <w:lang w:eastAsia="ja-JP"/>
        </w:rPr>
        <w:t>02 series of amendments."</w:t>
      </w:r>
    </w:p>
    <w:p w14:paraId="4511D851" w14:textId="7C340C36" w:rsidR="001C6663" w:rsidRPr="00A3547A" w:rsidRDefault="00A3547A" w:rsidP="00A3547A">
      <w:pPr>
        <w:spacing w:before="240"/>
        <w:jc w:val="center"/>
        <w:rPr>
          <w:u w:val="single"/>
        </w:rPr>
      </w:pPr>
      <w:r>
        <w:rPr>
          <w:u w:val="single"/>
        </w:rPr>
        <w:tab/>
      </w:r>
      <w:r>
        <w:rPr>
          <w:u w:val="single"/>
        </w:rPr>
        <w:tab/>
      </w:r>
      <w:r>
        <w:rPr>
          <w:u w:val="single"/>
        </w:rPr>
        <w:tab/>
      </w:r>
    </w:p>
    <w:sectPr w:rsidR="001C6663" w:rsidRPr="00A3547A" w:rsidSect="00DD412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E77B" w14:textId="77777777" w:rsidR="00CA2000" w:rsidRDefault="00CA2000"/>
  </w:endnote>
  <w:endnote w:type="continuationSeparator" w:id="0">
    <w:p w14:paraId="547DA547" w14:textId="77777777" w:rsidR="00CA2000" w:rsidRDefault="00CA2000"/>
  </w:endnote>
  <w:endnote w:type="continuationNotice" w:id="1">
    <w:p w14:paraId="22E6F7B5" w14:textId="77777777" w:rsidR="00CA2000" w:rsidRDefault="00CA2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DDBD" w14:textId="3A54408E" w:rsidR="00DD412B" w:rsidRPr="00DD412B" w:rsidRDefault="00DD412B" w:rsidP="00DD412B">
    <w:pPr>
      <w:pStyle w:val="Footer"/>
      <w:tabs>
        <w:tab w:val="right" w:pos="9638"/>
      </w:tabs>
      <w:rPr>
        <w:sz w:val="18"/>
      </w:rPr>
    </w:pPr>
    <w:r w:rsidRPr="00DD412B">
      <w:rPr>
        <w:b/>
        <w:sz w:val="18"/>
      </w:rPr>
      <w:fldChar w:fldCharType="begin"/>
    </w:r>
    <w:r w:rsidRPr="00DD412B">
      <w:rPr>
        <w:b/>
        <w:sz w:val="18"/>
      </w:rPr>
      <w:instrText xml:space="preserve"> PAGE  \* MERGEFORMAT </w:instrText>
    </w:r>
    <w:r w:rsidRPr="00DD412B">
      <w:rPr>
        <w:b/>
        <w:sz w:val="18"/>
      </w:rPr>
      <w:fldChar w:fldCharType="separate"/>
    </w:r>
    <w:r w:rsidRPr="00DD412B">
      <w:rPr>
        <w:b/>
        <w:noProof/>
        <w:sz w:val="18"/>
      </w:rPr>
      <w:t>2</w:t>
    </w:r>
    <w:r w:rsidRPr="00DD412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6AA5" w14:textId="0FC973FE" w:rsidR="00DD412B" w:rsidRPr="00DD412B" w:rsidRDefault="00DD412B" w:rsidP="00DD412B">
    <w:pPr>
      <w:pStyle w:val="Footer"/>
      <w:tabs>
        <w:tab w:val="right" w:pos="9638"/>
      </w:tabs>
      <w:rPr>
        <w:b/>
        <w:sz w:val="18"/>
      </w:rPr>
    </w:pPr>
    <w:r>
      <w:tab/>
    </w:r>
    <w:r w:rsidRPr="00DD412B">
      <w:rPr>
        <w:b/>
        <w:sz w:val="18"/>
      </w:rPr>
      <w:fldChar w:fldCharType="begin"/>
    </w:r>
    <w:r w:rsidRPr="00DD412B">
      <w:rPr>
        <w:b/>
        <w:sz w:val="18"/>
      </w:rPr>
      <w:instrText xml:space="preserve"> PAGE  \* MERGEFORMAT </w:instrText>
    </w:r>
    <w:r w:rsidRPr="00DD412B">
      <w:rPr>
        <w:b/>
        <w:sz w:val="18"/>
      </w:rPr>
      <w:fldChar w:fldCharType="separate"/>
    </w:r>
    <w:r w:rsidRPr="00DD412B">
      <w:rPr>
        <w:b/>
        <w:noProof/>
        <w:sz w:val="18"/>
      </w:rPr>
      <w:t>3</w:t>
    </w:r>
    <w:r w:rsidRPr="00DD412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42E0" w14:textId="77777777" w:rsidR="006D1A6A" w:rsidRDefault="006D1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0C84" w14:textId="77777777" w:rsidR="00CA2000" w:rsidRPr="000B175B" w:rsidRDefault="00CA2000" w:rsidP="000B175B">
      <w:pPr>
        <w:tabs>
          <w:tab w:val="right" w:pos="2155"/>
        </w:tabs>
        <w:spacing w:after="80"/>
        <w:ind w:left="680"/>
        <w:rPr>
          <w:u w:val="single"/>
        </w:rPr>
      </w:pPr>
      <w:r>
        <w:rPr>
          <w:u w:val="single"/>
        </w:rPr>
        <w:tab/>
      </w:r>
    </w:p>
  </w:footnote>
  <w:footnote w:type="continuationSeparator" w:id="0">
    <w:p w14:paraId="7D299558" w14:textId="77777777" w:rsidR="00CA2000" w:rsidRPr="00FC68B7" w:rsidRDefault="00CA2000" w:rsidP="00FC68B7">
      <w:pPr>
        <w:tabs>
          <w:tab w:val="left" w:pos="2155"/>
        </w:tabs>
        <w:spacing w:after="80"/>
        <w:ind w:left="680"/>
        <w:rPr>
          <w:u w:val="single"/>
        </w:rPr>
      </w:pPr>
      <w:r>
        <w:rPr>
          <w:u w:val="single"/>
        </w:rPr>
        <w:tab/>
      </w:r>
    </w:p>
  </w:footnote>
  <w:footnote w:type="continuationNotice" w:id="1">
    <w:p w14:paraId="79442367" w14:textId="77777777" w:rsidR="00CA2000" w:rsidRDefault="00CA2000"/>
  </w:footnote>
  <w:footnote w:id="2">
    <w:p w14:paraId="3AD0F3FC" w14:textId="77777777" w:rsidR="00D23A0C" w:rsidRDefault="00D23A0C" w:rsidP="00D23A0C">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7D2CEB33" w14:textId="77777777" w:rsidR="00D23A0C" w:rsidRDefault="00D23A0C" w:rsidP="00D23A0C">
      <w:pPr>
        <w:pStyle w:val="FootnoteText"/>
        <w:jc w:val="both"/>
        <w:rPr>
          <w:lang w:val="en-US"/>
        </w:rPr>
      </w:pPr>
    </w:p>
  </w:footnote>
  <w:footnote w:id="3">
    <w:p w14:paraId="32682195" w14:textId="77777777" w:rsidR="001952F7" w:rsidRDefault="001952F7" w:rsidP="001952F7">
      <w:pPr>
        <w:pStyle w:val="FootnoteText"/>
        <w:rPr>
          <w:lang w:eastAsia="ja-JP"/>
        </w:rPr>
      </w:pPr>
      <w:r>
        <w:tab/>
      </w:r>
      <w:r>
        <w:rPr>
          <w:rStyle w:val="FootnoteReference"/>
        </w:rPr>
        <w:footnoteRef/>
      </w:r>
      <w:r>
        <w:t xml:space="preserve"> </w:t>
      </w:r>
      <w:r>
        <w:tab/>
        <w:t>This latter number is given as an example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BB8" w14:textId="3F6FD2D1" w:rsidR="00DD412B" w:rsidRPr="00DD412B" w:rsidRDefault="006D1A6A">
    <w:pPr>
      <w:pStyle w:val="Header"/>
    </w:pPr>
    <w:r w:rsidRPr="006D1A6A">
      <w:t>ECE/TRANS/WP.29/2025/104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BB4D" w14:textId="4D87023A" w:rsidR="00DD412B" w:rsidRPr="00DD412B" w:rsidRDefault="006D1A6A" w:rsidP="00DD412B">
    <w:pPr>
      <w:pStyle w:val="Header"/>
      <w:jc w:val="right"/>
    </w:pPr>
    <w:r w:rsidRPr="006D1A6A">
      <w:t>ECE/TRANS/WP.29/2025/104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6160" w14:textId="77777777" w:rsidR="006D1A6A" w:rsidRDefault="006D1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30930978">
    <w:abstractNumId w:val="1"/>
  </w:num>
  <w:num w:numId="2" w16cid:durableId="598026868">
    <w:abstractNumId w:val="0"/>
  </w:num>
  <w:num w:numId="3" w16cid:durableId="1518537272">
    <w:abstractNumId w:val="2"/>
  </w:num>
  <w:num w:numId="4" w16cid:durableId="58484780">
    <w:abstractNumId w:val="3"/>
  </w:num>
  <w:num w:numId="5" w16cid:durableId="2023899664">
    <w:abstractNumId w:val="8"/>
  </w:num>
  <w:num w:numId="6" w16cid:durableId="732507082">
    <w:abstractNumId w:val="9"/>
  </w:num>
  <w:num w:numId="7" w16cid:durableId="1833527796">
    <w:abstractNumId w:val="7"/>
  </w:num>
  <w:num w:numId="8" w16cid:durableId="1397824448">
    <w:abstractNumId w:val="6"/>
  </w:num>
  <w:num w:numId="9" w16cid:durableId="176120253">
    <w:abstractNumId w:val="5"/>
  </w:num>
  <w:num w:numId="10" w16cid:durableId="1597395770">
    <w:abstractNumId w:val="4"/>
  </w:num>
  <w:num w:numId="11" w16cid:durableId="1028603033">
    <w:abstractNumId w:val="15"/>
  </w:num>
  <w:num w:numId="12" w16cid:durableId="1723863061">
    <w:abstractNumId w:val="14"/>
  </w:num>
  <w:num w:numId="13" w16cid:durableId="328604124">
    <w:abstractNumId w:val="10"/>
  </w:num>
  <w:num w:numId="14" w16cid:durableId="1403404925">
    <w:abstractNumId w:val="12"/>
  </w:num>
  <w:num w:numId="15" w16cid:durableId="1206675958">
    <w:abstractNumId w:val="16"/>
  </w:num>
  <w:num w:numId="16" w16cid:durableId="173761732">
    <w:abstractNumId w:val="13"/>
  </w:num>
  <w:num w:numId="17" w16cid:durableId="95758516">
    <w:abstractNumId w:val="17"/>
  </w:num>
  <w:num w:numId="18" w16cid:durableId="251478052">
    <w:abstractNumId w:val="18"/>
  </w:num>
  <w:num w:numId="19" w16cid:durableId="91274394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2B"/>
    <w:rsid w:val="00002811"/>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A4B56"/>
    <w:rsid w:val="000B175B"/>
    <w:rsid w:val="000B3A0F"/>
    <w:rsid w:val="000B6688"/>
    <w:rsid w:val="000D2222"/>
    <w:rsid w:val="000E0415"/>
    <w:rsid w:val="000F7715"/>
    <w:rsid w:val="00153A7B"/>
    <w:rsid w:val="00153C7A"/>
    <w:rsid w:val="00156B99"/>
    <w:rsid w:val="00166124"/>
    <w:rsid w:val="00184DDA"/>
    <w:rsid w:val="001900CD"/>
    <w:rsid w:val="001952F7"/>
    <w:rsid w:val="001A0452"/>
    <w:rsid w:val="001B4B04"/>
    <w:rsid w:val="001B5875"/>
    <w:rsid w:val="001B5E58"/>
    <w:rsid w:val="001C4B9C"/>
    <w:rsid w:val="001C6663"/>
    <w:rsid w:val="001C7895"/>
    <w:rsid w:val="001D26DF"/>
    <w:rsid w:val="001E3D0A"/>
    <w:rsid w:val="001F1599"/>
    <w:rsid w:val="001F19C4"/>
    <w:rsid w:val="002043F0"/>
    <w:rsid w:val="00211E0B"/>
    <w:rsid w:val="00232575"/>
    <w:rsid w:val="00247258"/>
    <w:rsid w:val="00257CAC"/>
    <w:rsid w:val="00264E84"/>
    <w:rsid w:val="00264FE0"/>
    <w:rsid w:val="0027237A"/>
    <w:rsid w:val="002974E9"/>
    <w:rsid w:val="002A306B"/>
    <w:rsid w:val="002A7F94"/>
    <w:rsid w:val="002B109A"/>
    <w:rsid w:val="002C6D45"/>
    <w:rsid w:val="002D6E53"/>
    <w:rsid w:val="002F046D"/>
    <w:rsid w:val="002F3023"/>
    <w:rsid w:val="00301764"/>
    <w:rsid w:val="003229D8"/>
    <w:rsid w:val="0033398D"/>
    <w:rsid w:val="00336C97"/>
    <w:rsid w:val="00337F88"/>
    <w:rsid w:val="00342432"/>
    <w:rsid w:val="0035223F"/>
    <w:rsid w:val="00352D4B"/>
    <w:rsid w:val="0035638C"/>
    <w:rsid w:val="003A46BB"/>
    <w:rsid w:val="003A4EC7"/>
    <w:rsid w:val="003A7295"/>
    <w:rsid w:val="003B1F60"/>
    <w:rsid w:val="003C1E5B"/>
    <w:rsid w:val="003C2CC4"/>
    <w:rsid w:val="003D4B23"/>
    <w:rsid w:val="003E278A"/>
    <w:rsid w:val="003F1B1B"/>
    <w:rsid w:val="00413520"/>
    <w:rsid w:val="004325CB"/>
    <w:rsid w:val="0043709A"/>
    <w:rsid w:val="00440A07"/>
    <w:rsid w:val="00460393"/>
    <w:rsid w:val="00460C2A"/>
    <w:rsid w:val="00462183"/>
    <w:rsid w:val="00462880"/>
    <w:rsid w:val="004732CA"/>
    <w:rsid w:val="00476F24"/>
    <w:rsid w:val="004A2BF2"/>
    <w:rsid w:val="004A5D33"/>
    <w:rsid w:val="004A67EF"/>
    <w:rsid w:val="004C55B0"/>
    <w:rsid w:val="004D001D"/>
    <w:rsid w:val="004D7DF1"/>
    <w:rsid w:val="004F6BA0"/>
    <w:rsid w:val="00503BEA"/>
    <w:rsid w:val="00504205"/>
    <w:rsid w:val="00515296"/>
    <w:rsid w:val="00533616"/>
    <w:rsid w:val="00535ABA"/>
    <w:rsid w:val="0053768B"/>
    <w:rsid w:val="005420F2"/>
    <w:rsid w:val="0054285C"/>
    <w:rsid w:val="00553B88"/>
    <w:rsid w:val="00584173"/>
    <w:rsid w:val="00595520"/>
    <w:rsid w:val="005A44B9"/>
    <w:rsid w:val="005B1BA0"/>
    <w:rsid w:val="005B3DB3"/>
    <w:rsid w:val="005C0268"/>
    <w:rsid w:val="005D15CA"/>
    <w:rsid w:val="005D2A6D"/>
    <w:rsid w:val="005F08DF"/>
    <w:rsid w:val="005F3066"/>
    <w:rsid w:val="005F3E61"/>
    <w:rsid w:val="00603BB2"/>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D1A6A"/>
    <w:rsid w:val="006D2CB6"/>
    <w:rsid w:val="006E564B"/>
    <w:rsid w:val="006E7154"/>
    <w:rsid w:val="006F467B"/>
    <w:rsid w:val="006F5FFE"/>
    <w:rsid w:val="007003CD"/>
    <w:rsid w:val="0070701E"/>
    <w:rsid w:val="00720D83"/>
    <w:rsid w:val="0072632A"/>
    <w:rsid w:val="007358E8"/>
    <w:rsid w:val="00736ECE"/>
    <w:rsid w:val="0074533B"/>
    <w:rsid w:val="00763EAF"/>
    <w:rsid w:val="007643BC"/>
    <w:rsid w:val="00780C68"/>
    <w:rsid w:val="00794F5B"/>
    <w:rsid w:val="007959FE"/>
    <w:rsid w:val="007A0CF1"/>
    <w:rsid w:val="007B6BA5"/>
    <w:rsid w:val="007C3390"/>
    <w:rsid w:val="007C42D8"/>
    <w:rsid w:val="007C4F4B"/>
    <w:rsid w:val="007D6F65"/>
    <w:rsid w:val="007D7362"/>
    <w:rsid w:val="007E4DF7"/>
    <w:rsid w:val="007F5CE2"/>
    <w:rsid w:val="007F6611"/>
    <w:rsid w:val="007F6895"/>
    <w:rsid w:val="00810BAC"/>
    <w:rsid w:val="00814C29"/>
    <w:rsid w:val="008175E9"/>
    <w:rsid w:val="00817EE4"/>
    <w:rsid w:val="008242D7"/>
    <w:rsid w:val="0082577B"/>
    <w:rsid w:val="00825CB5"/>
    <w:rsid w:val="00847D33"/>
    <w:rsid w:val="0086145A"/>
    <w:rsid w:val="00866893"/>
    <w:rsid w:val="00866F02"/>
    <w:rsid w:val="00867D18"/>
    <w:rsid w:val="00871F9A"/>
    <w:rsid w:val="00871FD5"/>
    <w:rsid w:val="0088172E"/>
    <w:rsid w:val="00881EFA"/>
    <w:rsid w:val="008879CB"/>
    <w:rsid w:val="008905D9"/>
    <w:rsid w:val="008979B1"/>
    <w:rsid w:val="008A6B25"/>
    <w:rsid w:val="008A6C4F"/>
    <w:rsid w:val="008B389E"/>
    <w:rsid w:val="008B4B3F"/>
    <w:rsid w:val="008D045E"/>
    <w:rsid w:val="008D3F25"/>
    <w:rsid w:val="008D4D82"/>
    <w:rsid w:val="008E0E46"/>
    <w:rsid w:val="008E1CF0"/>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C1BE3"/>
    <w:rsid w:val="009D01C0"/>
    <w:rsid w:val="009D6A08"/>
    <w:rsid w:val="009E0A16"/>
    <w:rsid w:val="009E6CB7"/>
    <w:rsid w:val="009E7970"/>
    <w:rsid w:val="009F2EAC"/>
    <w:rsid w:val="009F57E3"/>
    <w:rsid w:val="00A077A2"/>
    <w:rsid w:val="00A10F4F"/>
    <w:rsid w:val="00A11067"/>
    <w:rsid w:val="00A1704A"/>
    <w:rsid w:val="00A3547A"/>
    <w:rsid w:val="00A36AC2"/>
    <w:rsid w:val="00A425EB"/>
    <w:rsid w:val="00A72F22"/>
    <w:rsid w:val="00A733BC"/>
    <w:rsid w:val="00A748A6"/>
    <w:rsid w:val="00A76A69"/>
    <w:rsid w:val="00A879A4"/>
    <w:rsid w:val="00AA06CD"/>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5635C"/>
    <w:rsid w:val="00B65F7E"/>
    <w:rsid w:val="00B70B63"/>
    <w:rsid w:val="00B72A1E"/>
    <w:rsid w:val="00B77082"/>
    <w:rsid w:val="00B81E12"/>
    <w:rsid w:val="00B925C1"/>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80793"/>
    <w:rsid w:val="00C877A3"/>
    <w:rsid w:val="00C94BBD"/>
    <w:rsid w:val="00C978F5"/>
    <w:rsid w:val="00CA2000"/>
    <w:rsid w:val="00CA24A4"/>
    <w:rsid w:val="00CB348D"/>
    <w:rsid w:val="00CD46F5"/>
    <w:rsid w:val="00CE4A8F"/>
    <w:rsid w:val="00CF071D"/>
    <w:rsid w:val="00D0123D"/>
    <w:rsid w:val="00D04AE7"/>
    <w:rsid w:val="00D07467"/>
    <w:rsid w:val="00D15B04"/>
    <w:rsid w:val="00D2031B"/>
    <w:rsid w:val="00D23A0C"/>
    <w:rsid w:val="00D25FE2"/>
    <w:rsid w:val="00D31164"/>
    <w:rsid w:val="00D37DA9"/>
    <w:rsid w:val="00D406A7"/>
    <w:rsid w:val="00D41AE9"/>
    <w:rsid w:val="00D43252"/>
    <w:rsid w:val="00D44D86"/>
    <w:rsid w:val="00D50B7D"/>
    <w:rsid w:val="00D52012"/>
    <w:rsid w:val="00D704E5"/>
    <w:rsid w:val="00D72727"/>
    <w:rsid w:val="00D911B6"/>
    <w:rsid w:val="00D92FC2"/>
    <w:rsid w:val="00D978C6"/>
    <w:rsid w:val="00DA0956"/>
    <w:rsid w:val="00DA357F"/>
    <w:rsid w:val="00DA3E12"/>
    <w:rsid w:val="00DB50C4"/>
    <w:rsid w:val="00DC18AD"/>
    <w:rsid w:val="00DC5CD9"/>
    <w:rsid w:val="00DD412B"/>
    <w:rsid w:val="00DF7CAE"/>
    <w:rsid w:val="00E043DE"/>
    <w:rsid w:val="00E27723"/>
    <w:rsid w:val="00E423C0"/>
    <w:rsid w:val="00E6414C"/>
    <w:rsid w:val="00E714E0"/>
    <w:rsid w:val="00E7260F"/>
    <w:rsid w:val="00E8702D"/>
    <w:rsid w:val="00E905F4"/>
    <w:rsid w:val="00E91047"/>
    <w:rsid w:val="00E916A9"/>
    <w:rsid w:val="00E916DE"/>
    <w:rsid w:val="00E925AD"/>
    <w:rsid w:val="00E96630"/>
    <w:rsid w:val="00EA73A2"/>
    <w:rsid w:val="00EC1095"/>
    <w:rsid w:val="00ED18DC"/>
    <w:rsid w:val="00ED6201"/>
    <w:rsid w:val="00ED7A2A"/>
    <w:rsid w:val="00EF1D7F"/>
    <w:rsid w:val="00EF2E6D"/>
    <w:rsid w:val="00EF7EAB"/>
    <w:rsid w:val="00F0137E"/>
    <w:rsid w:val="00F04E44"/>
    <w:rsid w:val="00F21786"/>
    <w:rsid w:val="00F25D06"/>
    <w:rsid w:val="00F30577"/>
    <w:rsid w:val="00F31CFF"/>
    <w:rsid w:val="00F3742B"/>
    <w:rsid w:val="00F41FDB"/>
    <w:rsid w:val="00F50597"/>
    <w:rsid w:val="00F56D63"/>
    <w:rsid w:val="00F609A9"/>
    <w:rsid w:val="00F80C99"/>
    <w:rsid w:val="00F82118"/>
    <w:rsid w:val="00F867EC"/>
    <w:rsid w:val="00F91B2B"/>
    <w:rsid w:val="00F9551B"/>
    <w:rsid w:val="00FC03CD"/>
    <w:rsid w:val="00FC0646"/>
    <w:rsid w:val="00FC68B7"/>
    <w:rsid w:val="00FE6985"/>
    <w:rsid w:val="00FF57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1FE0E"/>
  <w15:docId w15:val="{7BD0AB9D-DAB2-4D8E-A71B-A940034E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23A0C"/>
    <w:rPr>
      <w:lang w:val="en-GB"/>
    </w:rPr>
  </w:style>
  <w:style w:type="character" w:customStyle="1" w:styleId="HChGChar">
    <w:name w:val="_ H _Ch_G Char"/>
    <w:link w:val="HChG"/>
    <w:qFormat/>
    <w:locked/>
    <w:rsid w:val="00D23A0C"/>
    <w:rPr>
      <w:b/>
      <w:sz w:val="28"/>
      <w:lang w:val="en-GB"/>
    </w:rPr>
  </w:style>
  <w:style w:type="character" w:customStyle="1" w:styleId="H1GChar">
    <w:name w:val="_ H_1_G Char"/>
    <w:link w:val="H1G"/>
    <w:locked/>
    <w:rsid w:val="00D23A0C"/>
    <w:rPr>
      <w:b/>
      <w:sz w:val="24"/>
      <w:lang w:val="en-GB"/>
    </w:rPr>
  </w:style>
  <w:style w:type="paragraph" w:customStyle="1" w:styleId="para">
    <w:name w:val="para"/>
    <w:basedOn w:val="Normal"/>
    <w:link w:val="paraChar"/>
    <w:qFormat/>
    <w:rsid w:val="00002811"/>
    <w:pPr>
      <w:spacing w:after="120"/>
      <w:ind w:left="2268" w:right="1134" w:hanging="1134"/>
      <w:jc w:val="both"/>
    </w:pPr>
    <w:rPr>
      <w:rFonts w:eastAsia="Yu Mincho"/>
      <w:snapToGrid w:val="0"/>
      <w:lang w:val="fr-FR" w:eastAsia="en-US"/>
    </w:rPr>
  </w:style>
  <w:style w:type="character" w:customStyle="1" w:styleId="paraChar">
    <w:name w:val="para Char"/>
    <w:link w:val="para"/>
    <w:rsid w:val="00002811"/>
    <w:rPr>
      <w:rFonts w:eastAsia="Yu Mincho"/>
      <w:snapToGrid w:val="0"/>
      <w:lang w:eastAsia="en-US"/>
    </w:rPr>
  </w:style>
  <w:style w:type="paragraph" w:styleId="PlainText">
    <w:name w:val="Plain Text"/>
    <w:basedOn w:val="Normal"/>
    <w:link w:val="PlainTextChar"/>
    <w:uiPriority w:val="99"/>
    <w:semiHidden/>
    <w:rsid w:val="001E3D0A"/>
    <w:pPr>
      <w:suppressAutoHyphens/>
    </w:pPr>
    <w:rPr>
      <w:rFonts w:eastAsia="SimSun" w:cs="Courier New"/>
      <w:lang w:eastAsia="en-US"/>
    </w:rPr>
  </w:style>
  <w:style w:type="character" w:customStyle="1" w:styleId="PlainTextChar">
    <w:name w:val="Plain Text Char"/>
    <w:basedOn w:val="DefaultParagraphFont"/>
    <w:link w:val="PlainText"/>
    <w:uiPriority w:val="99"/>
    <w:semiHidden/>
    <w:rsid w:val="001E3D0A"/>
    <w:rPr>
      <w:rFonts w:eastAsia="SimSun" w:cs="Courier New"/>
      <w:lang w:val="en-GB" w:eastAsia="en-US"/>
    </w:rPr>
  </w:style>
  <w:style w:type="paragraph" w:styleId="NormalWeb">
    <w:name w:val="Normal (Web)"/>
    <w:basedOn w:val="Normal"/>
    <w:link w:val="NormalWebChar"/>
    <w:uiPriority w:val="99"/>
    <w:rsid w:val="001E3D0A"/>
    <w:pPr>
      <w:suppressAutoHyphens/>
    </w:pPr>
    <w:rPr>
      <w:rFonts w:eastAsia="SimSun"/>
      <w:sz w:val="24"/>
      <w:szCs w:val="24"/>
      <w:lang w:eastAsia="en-US"/>
    </w:rPr>
  </w:style>
  <w:style w:type="paragraph" w:styleId="ListParagraph">
    <w:name w:val="List Paragraph"/>
    <w:basedOn w:val="Normal"/>
    <w:uiPriority w:val="34"/>
    <w:qFormat/>
    <w:rsid w:val="001E3D0A"/>
    <w:pPr>
      <w:suppressAutoHyphens/>
      <w:ind w:left="720"/>
      <w:contextualSpacing/>
    </w:pPr>
    <w:rPr>
      <w:rFonts w:eastAsia="SimSun"/>
      <w:lang w:val="fr-CH" w:eastAsia="en-US"/>
    </w:rPr>
  </w:style>
  <w:style w:type="character" w:customStyle="1" w:styleId="NormalWebChar">
    <w:name w:val="Normal (Web) Char"/>
    <w:link w:val="NormalWeb"/>
    <w:uiPriority w:val="99"/>
    <w:rsid w:val="001E3D0A"/>
    <w:rPr>
      <w:rFonts w:eastAsia="SimSun"/>
      <w:sz w:val="24"/>
      <w:szCs w:val="24"/>
      <w:lang w:val="en-GB" w:eastAsia="en-US"/>
    </w:rPr>
  </w:style>
  <w:style w:type="character" w:customStyle="1" w:styleId="Flietext">
    <w:name w:val="Fließtext_"/>
    <w:basedOn w:val="DefaultParagraphFont"/>
    <w:link w:val="Flietext0"/>
    <w:locked/>
    <w:rsid w:val="001E3D0A"/>
    <w:rPr>
      <w:b/>
      <w:bCs/>
    </w:rPr>
  </w:style>
  <w:style w:type="paragraph" w:customStyle="1" w:styleId="Flietext0">
    <w:name w:val="Fließtext"/>
    <w:basedOn w:val="Normal"/>
    <w:link w:val="Flietext"/>
    <w:rsid w:val="001E3D0A"/>
    <w:pPr>
      <w:widowControl w:val="0"/>
      <w:spacing w:after="120" w:line="240" w:lineRule="auto"/>
    </w:pPr>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transport/vehicle-regulations/wp29/resolu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F0E8C-CC58-4298-8DD2-70DC103B9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purl.org/dc/dcmitype/"/>
    <ds:schemaRef ds:uri="http://schemas.microsoft.com/office/infopath/2007/PartnerControls"/>
    <ds:schemaRef ds:uri="http://purl.org/dc/elements/1.1/"/>
    <ds:schemaRef ds:uri="http://schemas.microsoft.com/office/2006/metadata/properties"/>
    <ds:schemaRef ds:uri="4b4a1c0d-4a69-4996-a84a-fc699b9f49de"/>
    <ds:schemaRef ds:uri="http://schemas.microsoft.com/office/2006/documentManagement/types"/>
    <ds:schemaRef ds:uri="http://purl.org/dc/terms/"/>
    <ds:schemaRef ds:uri="http://schemas.openxmlformats.org/package/2006/metadata/core-properties"/>
    <ds:schemaRef ds:uri="985ec44e-1bab-4c0b-9df0-6ba128686fc9"/>
    <ds:schemaRef ds:uri="acccb6d4-dbe5-46d2-b4d3-5733603d8cc6"/>
    <ds:schemaRef ds:uri="http://www.w3.org/XML/1998/namespace"/>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4</Pages>
  <Words>1056</Words>
  <Characters>6024</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ECE/TRANS/WP.29/2025/120</dc:title>
  <dc:creator>Add.16/Rev.8/Amend.1(2025/46)</dc:creator>
  <cp:lastModifiedBy>Benedicte Boudol</cp:lastModifiedBy>
  <cp:revision>2</cp:revision>
  <cp:lastPrinted>2009-02-18T09:36:00Z</cp:lastPrinted>
  <dcterms:created xsi:type="dcterms:W3CDTF">2025-08-26T12:59:00Z</dcterms:created>
  <dcterms:modified xsi:type="dcterms:W3CDTF">2025-08-26T12:59:00Z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