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F464F5E" w14:textId="77777777" w:rsidTr="00B20551">
        <w:trPr>
          <w:cantSplit/>
          <w:trHeight w:hRule="exact" w:val="851"/>
        </w:trPr>
        <w:tc>
          <w:tcPr>
            <w:tcW w:w="1276" w:type="dxa"/>
            <w:tcBorders>
              <w:bottom w:val="single" w:sz="4" w:space="0" w:color="auto"/>
            </w:tcBorders>
            <w:vAlign w:val="bottom"/>
          </w:tcPr>
          <w:p w14:paraId="497521EE" w14:textId="77777777" w:rsidR="009E6CB7" w:rsidRDefault="009E6CB7" w:rsidP="00B20551">
            <w:pPr>
              <w:spacing w:after="80"/>
            </w:pPr>
          </w:p>
        </w:tc>
        <w:tc>
          <w:tcPr>
            <w:tcW w:w="2268" w:type="dxa"/>
            <w:tcBorders>
              <w:bottom w:val="single" w:sz="4" w:space="0" w:color="auto"/>
            </w:tcBorders>
            <w:vAlign w:val="bottom"/>
          </w:tcPr>
          <w:p w14:paraId="2DA38C3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647E5C3" w14:textId="03838379" w:rsidR="009E6CB7" w:rsidRPr="00D47EEA" w:rsidRDefault="006217CA" w:rsidP="006217CA">
            <w:pPr>
              <w:jc w:val="right"/>
            </w:pPr>
            <w:r w:rsidRPr="006217CA">
              <w:rPr>
                <w:sz w:val="40"/>
              </w:rPr>
              <w:t>ECE</w:t>
            </w:r>
            <w:r>
              <w:t>/TRANS/WP.29/2024/99</w:t>
            </w:r>
          </w:p>
        </w:tc>
      </w:tr>
      <w:tr w:rsidR="009E6CB7" w14:paraId="37FC1F98" w14:textId="77777777" w:rsidTr="00B20551">
        <w:trPr>
          <w:cantSplit/>
          <w:trHeight w:hRule="exact" w:val="2835"/>
        </w:trPr>
        <w:tc>
          <w:tcPr>
            <w:tcW w:w="1276" w:type="dxa"/>
            <w:tcBorders>
              <w:top w:val="single" w:sz="4" w:space="0" w:color="auto"/>
              <w:bottom w:val="single" w:sz="12" w:space="0" w:color="auto"/>
            </w:tcBorders>
          </w:tcPr>
          <w:p w14:paraId="075FA7C9" w14:textId="77777777" w:rsidR="009E6CB7" w:rsidRDefault="00686A48" w:rsidP="00B20551">
            <w:pPr>
              <w:spacing w:before="120"/>
            </w:pPr>
            <w:r>
              <w:rPr>
                <w:noProof/>
                <w:lang w:val="fr-CH" w:eastAsia="fr-CH"/>
              </w:rPr>
              <w:drawing>
                <wp:inline distT="0" distB="0" distL="0" distR="0" wp14:anchorId="7964C921" wp14:editId="2A84DD0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B48D4D"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4CFC9B7" w14:textId="77777777" w:rsidR="009E6CB7" w:rsidRDefault="006217CA" w:rsidP="006217CA">
            <w:pPr>
              <w:spacing w:before="240" w:line="240" w:lineRule="exact"/>
            </w:pPr>
            <w:r>
              <w:t>Distr.: General</w:t>
            </w:r>
          </w:p>
          <w:p w14:paraId="3A601768" w14:textId="10D6A7C3" w:rsidR="006217CA" w:rsidRDefault="006217CA" w:rsidP="00B70B4B">
            <w:pPr>
              <w:spacing w:line="240" w:lineRule="exact"/>
            </w:pPr>
            <w:r>
              <w:t>2</w:t>
            </w:r>
            <w:r w:rsidR="00B70B4B">
              <w:t>2</w:t>
            </w:r>
            <w:r>
              <w:t xml:space="preserve"> </w:t>
            </w:r>
            <w:r w:rsidR="00B70B4B">
              <w:t>August</w:t>
            </w:r>
            <w:r>
              <w:t xml:space="preserve"> 2024</w:t>
            </w:r>
          </w:p>
          <w:p w14:paraId="19384BC7" w14:textId="77777777" w:rsidR="006217CA" w:rsidRDefault="006217CA" w:rsidP="006217CA">
            <w:pPr>
              <w:spacing w:line="240" w:lineRule="exact"/>
            </w:pPr>
          </w:p>
          <w:p w14:paraId="589DC785" w14:textId="1FBFCB71" w:rsidR="006217CA" w:rsidRDefault="006217CA" w:rsidP="006217CA">
            <w:pPr>
              <w:spacing w:line="240" w:lineRule="exact"/>
            </w:pPr>
            <w:r>
              <w:t>Original: English</w:t>
            </w:r>
          </w:p>
        </w:tc>
      </w:tr>
    </w:tbl>
    <w:p w14:paraId="22B2DB3F" w14:textId="77777777" w:rsidR="006217CA" w:rsidRDefault="006217CA" w:rsidP="006217CA">
      <w:pPr>
        <w:spacing w:before="120"/>
        <w:rPr>
          <w:b/>
          <w:sz w:val="28"/>
          <w:szCs w:val="28"/>
        </w:rPr>
      </w:pPr>
      <w:r>
        <w:rPr>
          <w:b/>
          <w:sz w:val="28"/>
          <w:szCs w:val="28"/>
        </w:rPr>
        <w:t>Economic Commission for Europe</w:t>
      </w:r>
    </w:p>
    <w:p w14:paraId="4291D528" w14:textId="77777777" w:rsidR="006217CA" w:rsidRDefault="006217CA" w:rsidP="006217CA">
      <w:pPr>
        <w:spacing w:before="120"/>
        <w:rPr>
          <w:sz w:val="28"/>
          <w:szCs w:val="28"/>
        </w:rPr>
      </w:pPr>
      <w:r>
        <w:rPr>
          <w:sz w:val="28"/>
          <w:szCs w:val="28"/>
        </w:rPr>
        <w:t>Inland Transport Committee</w:t>
      </w:r>
    </w:p>
    <w:p w14:paraId="6FAB2E21" w14:textId="77777777" w:rsidR="006217CA" w:rsidRDefault="006217CA" w:rsidP="006217CA">
      <w:pPr>
        <w:spacing w:before="120"/>
        <w:rPr>
          <w:b/>
          <w:sz w:val="24"/>
          <w:szCs w:val="24"/>
        </w:rPr>
      </w:pPr>
      <w:r>
        <w:rPr>
          <w:b/>
          <w:sz w:val="24"/>
          <w:szCs w:val="24"/>
        </w:rPr>
        <w:t>World Forum for Harmonization of Vehicle Regulations</w:t>
      </w:r>
    </w:p>
    <w:p w14:paraId="15159696" w14:textId="77777777" w:rsidR="006217CA" w:rsidRDefault="006217CA" w:rsidP="006217CA">
      <w:pPr>
        <w:spacing w:before="120"/>
        <w:rPr>
          <w:b/>
          <w:lang w:val="en-US"/>
        </w:rPr>
      </w:pPr>
      <w:r>
        <w:rPr>
          <w:b/>
          <w:lang w:val="en-US"/>
        </w:rPr>
        <w:t>194th session</w:t>
      </w:r>
    </w:p>
    <w:p w14:paraId="783EAFDC" w14:textId="15EEAB40" w:rsidR="006217CA" w:rsidRDefault="006217CA" w:rsidP="006217CA">
      <w:pPr>
        <w:tabs>
          <w:tab w:val="left" w:pos="5560"/>
        </w:tabs>
      </w:pPr>
      <w:r>
        <w:t>Geneva, 12–15 November 2024</w:t>
      </w:r>
    </w:p>
    <w:p w14:paraId="17ED940B" w14:textId="0B882093" w:rsidR="006217CA" w:rsidRDefault="006217CA" w:rsidP="006217CA">
      <w:r>
        <w:t>Item 4.7.3 of the provisional agenda</w:t>
      </w:r>
    </w:p>
    <w:p w14:paraId="10552D0F" w14:textId="77777777" w:rsidR="006217CA" w:rsidRDefault="006217CA" w:rsidP="006217CA">
      <w:pPr>
        <w:rPr>
          <w:b/>
        </w:rPr>
      </w:pPr>
      <w:r>
        <w:rPr>
          <w:b/>
        </w:rPr>
        <w:t>1958 Agreement:</w:t>
      </w:r>
    </w:p>
    <w:p w14:paraId="2EAE61BB" w14:textId="77777777" w:rsidR="006217CA" w:rsidRDefault="006217CA" w:rsidP="006217CA">
      <w:pPr>
        <w:rPr>
          <w:b/>
        </w:rPr>
      </w:pPr>
      <w:r>
        <w:rPr>
          <w:b/>
        </w:rPr>
        <w:t>Consideration of draft amendments to existing</w:t>
      </w:r>
    </w:p>
    <w:p w14:paraId="72E80F22" w14:textId="77777777" w:rsidR="006217CA" w:rsidRDefault="006217CA" w:rsidP="006217CA">
      <w:pPr>
        <w:rPr>
          <w:b/>
          <w:bCs/>
        </w:rPr>
      </w:pPr>
      <w:r>
        <w:rPr>
          <w:b/>
        </w:rPr>
        <w:t xml:space="preserve">UN Regulations submitted by </w:t>
      </w:r>
      <w:proofErr w:type="gramStart"/>
      <w:r>
        <w:rPr>
          <w:b/>
        </w:rPr>
        <w:t>GRSG</w:t>
      </w:r>
      <w:proofErr w:type="gramEnd"/>
    </w:p>
    <w:p w14:paraId="4B998123" w14:textId="0DCAF814" w:rsidR="006217CA" w:rsidRDefault="006217CA" w:rsidP="006217CA">
      <w:pPr>
        <w:pStyle w:val="HChG"/>
        <w:ind w:left="1124" w:right="1138" w:firstLine="0"/>
      </w:pPr>
      <w:r>
        <w:rPr>
          <w:lang w:eastAsia="en-GB"/>
        </w:rPr>
        <w:t xml:space="preserve">Proposal for 01 Series of </w:t>
      </w:r>
      <w:r w:rsidR="008E0A4F">
        <w:rPr>
          <w:lang w:eastAsia="en-GB"/>
        </w:rPr>
        <w:t>A</w:t>
      </w:r>
      <w:r>
        <w:rPr>
          <w:lang w:eastAsia="en-GB"/>
        </w:rPr>
        <w:t>mendments to UN Regulation No</w:t>
      </w:r>
      <w:r w:rsidR="00CA1C9E">
        <w:rPr>
          <w:lang w:eastAsia="en-GB"/>
        </w:rPr>
        <w:t>.</w:t>
      </w:r>
      <w:r>
        <w:rPr>
          <w:lang w:eastAsia="en-GB"/>
        </w:rPr>
        <w:t> 167 (Vulnerable Road Users Direct Vision)</w:t>
      </w:r>
      <w:r>
        <w:t xml:space="preserve"> </w:t>
      </w:r>
    </w:p>
    <w:p w14:paraId="5AFC0A3C" w14:textId="77777777" w:rsidR="006217CA" w:rsidRDefault="006217CA" w:rsidP="006217CA">
      <w:pPr>
        <w:pStyle w:val="H1G"/>
        <w:rPr>
          <w:szCs w:val="24"/>
        </w:rPr>
      </w:pPr>
      <w:r>
        <w:tab/>
      </w:r>
      <w:r>
        <w:tab/>
      </w:r>
      <w:r>
        <w:rPr>
          <w:szCs w:val="24"/>
        </w:rPr>
        <w:t>Submitted by the Working Party on General Safety Provisions</w:t>
      </w:r>
      <w:r>
        <w:footnoteReference w:customMarkFollows="1" w:id="2"/>
        <w:t>*</w:t>
      </w:r>
    </w:p>
    <w:p w14:paraId="12217691" w14:textId="51F010CD" w:rsidR="006217CA" w:rsidRDefault="00464807" w:rsidP="00464807">
      <w:pPr>
        <w:pStyle w:val="SingleTxtG"/>
        <w:ind w:left="1134"/>
        <w:rPr>
          <w:sz w:val="24"/>
          <w:szCs w:val="24"/>
          <w:lang w:eastAsia="zh-CN"/>
        </w:rPr>
      </w:pPr>
      <w:r>
        <w:rPr>
          <w:lang w:val="en-US"/>
        </w:rPr>
        <w:tab/>
      </w:r>
      <w:r w:rsidR="006217CA">
        <w:rPr>
          <w:lang w:val="en-US"/>
        </w:rPr>
        <w:tab/>
        <w:t>The text reproduced below was adopted by the Working Party on General Safety Provisions (GRSG) at its 127</w:t>
      </w:r>
      <w:r w:rsidR="006217CA">
        <w:rPr>
          <w:vertAlign w:val="superscript"/>
          <w:lang w:val="en-US"/>
        </w:rPr>
        <w:t>th</w:t>
      </w:r>
      <w:r w:rsidR="006217CA">
        <w:rPr>
          <w:lang w:val="en-US"/>
        </w:rPr>
        <w:t xml:space="preserve"> session (ECE/TRANS/WP.29/GRSG/106, para. 18).</w:t>
      </w:r>
      <w:r w:rsidR="006217CA">
        <w:rPr>
          <w:lang w:val="en-US" w:eastAsia="en-GB"/>
        </w:rPr>
        <w:t xml:space="preserve"> </w:t>
      </w:r>
      <w:r w:rsidR="006217CA">
        <w:rPr>
          <w:lang w:eastAsia="en-GB"/>
        </w:rPr>
        <w:t>It is based on ECE/TRANS/WP.29/GRSG/2024/6</w:t>
      </w:r>
      <w:r w:rsidR="006217CA">
        <w:t xml:space="preserve">, as amended by annex V to the report </w:t>
      </w:r>
      <w:r w:rsidR="006217CA">
        <w:rPr>
          <w:lang w:eastAsia="en-GB"/>
        </w:rPr>
        <w:t>and on ECE/TRANS/WP.29/GRSG/2024/26 not amended</w:t>
      </w:r>
      <w:r w:rsidR="006217CA">
        <w:rPr>
          <w:lang w:val="en-US"/>
        </w:rPr>
        <w:t xml:space="preserve">. It is submitted to the World Forum for Harmonization of Vehicle Regulations (WP.29) and to the Administrative Committee (AC.1) for consideration at their </w:t>
      </w:r>
      <w:r w:rsidR="006922E4">
        <w:rPr>
          <w:lang w:val="en-US"/>
        </w:rPr>
        <w:t>November</w:t>
      </w:r>
      <w:r w:rsidR="006217CA">
        <w:rPr>
          <w:lang w:val="en-US"/>
        </w:rPr>
        <w:t xml:space="preserve"> 2024 sessions. </w:t>
      </w:r>
      <w:r w:rsidR="006217CA">
        <w:rPr>
          <w:sz w:val="24"/>
          <w:szCs w:val="24"/>
          <w:lang w:val="en-US" w:eastAsia="zh-CN"/>
        </w:rPr>
        <w:t xml:space="preserve"> </w:t>
      </w:r>
    </w:p>
    <w:p w14:paraId="28CE5931" w14:textId="77777777" w:rsidR="006217CA" w:rsidRDefault="006217CA" w:rsidP="006217CA">
      <w:pPr>
        <w:pStyle w:val="SingleTxtG"/>
        <w:rPr>
          <w:sz w:val="24"/>
          <w:szCs w:val="24"/>
          <w:lang w:eastAsia="zh-CN"/>
        </w:rPr>
      </w:pPr>
      <w:r>
        <w:rPr>
          <w:sz w:val="24"/>
          <w:szCs w:val="24"/>
          <w:lang w:eastAsia="zh-CN"/>
        </w:rPr>
        <w:br w:type="page"/>
      </w:r>
    </w:p>
    <w:p w14:paraId="331E2481" w14:textId="0449C60B" w:rsidR="00C00DEB" w:rsidRPr="00C00DEB" w:rsidRDefault="00C00DEB" w:rsidP="00C00DEB">
      <w:pPr>
        <w:spacing w:before="120" w:after="120"/>
        <w:ind w:left="1138" w:right="994"/>
      </w:pPr>
      <w:r>
        <w:rPr>
          <w:i/>
          <w:iCs/>
        </w:rPr>
        <w:lastRenderedPageBreak/>
        <w:t>Insert new paragraph 2.9.4.</w:t>
      </w:r>
      <w:r w:rsidRPr="00C00DEB">
        <w:t>, to read:</w:t>
      </w:r>
    </w:p>
    <w:p w14:paraId="266B2F5F" w14:textId="5CB40CDE" w:rsidR="00C00DEB" w:rsidRDefault="002B6BA7" w:rsidP="00C00DEB">
      <w:pPr>
        <w:pStyle w:val="SingleTxtG"/>
        <w:ind w:left="2250" w:hanging="1116"/>
      </w:pPr>
      <w:r>
        <w:t>"</w:t>
      </w:r>
      <w:r w:rsidR="00C00DEB" w:rsidRPr="00877067">
        <w:t>2.9.4.</w:t>
      </w:r>
      <w:r w:rsidR="00C00DEB" w:rsidRPr="00877067">
        <w:tab/>
      </w:r>
      <w:r w:rsidRPr="00877067">
        <w:t>"</w:t>
      </w:r>
      <w:r w:rsidR="00C00DEB" w:rsidRPr="00877067">
        <w:rPr>
          <w:i/>
          <w:iCs/>
        </w:rPr>
        <w:t>Subsection Frontal Visible Volume (SFVV)</w:t>
      </w:r>
      <w:r w:rsidRPr="00877067">
        <w:t>"</w:t>
      </w:r>
      <w:r w:rsidR="00C00DEB" w:rsidRPr="00877067">
        <w:t xml:space="preserve"> is defined as a portion of the assessment volume that includes the volume directly in front of the vehicle, between the offside and nearside planes.</w:t>
      </w:r>
      <w:r w:rsidRPr="00877067">
        <w:t>"</w:t>
      </w:r>
    </w:p>
    <w:p w14:paraId="4D4D7BAC" w14:textId="77777777" w:rsidR="00C0133C" w:rsidRPr="00B033A8" w:rsidRDefault="00C0133C" w:rsidP="00C0133C">
      <w:pPr>
        <w:pStyle w:val="Para"/>
        <w:rPr>
          <w:bCs/>
        </w:rPr>
      </w:pPr>
      <w:r w:rsidRPr="00B033A8">
        <w:rPr>
          <w:bCs/>
          <w:i/>
          <w:iCs/>
        </w:rPr>
        <w:t>Paragraphs 2.13. to 2.15.,</w:t>
      </w:r>
      <w:r w:rsidRPr="00B033A8">
        <w:rPr>
          <w:bCs/>
        </w:rPr>
        <w:t xml:space="preserve"> amend to read:</w:t>
      </w:r>
    </w:p>
    <w:p w14:paraId="308E47E8" w14:textId="3F79B6CC" w:rsidR="00C0133C" w:rsidRPr="00A04B9D" w:rsidRDefault="00C0133C" w:rsidP="00C0133C">
      <w:pPr>
        <w:pStyle w:val="Para"/>
        <w:rPr>
          <w:bCs/>
        </w:rPr>
      </w:pPr>
      <w:r w:rsidRPr="00B033A8">
        <w:rPr>
          <w:bCs/>
        </w:rPr>
        <w:t>"2.13.</w:t>
      </w:r>
      <w:r w:rsidRPr="00B033A8">
        <w:rPr>
          <w:bCs/>
        </w:rPr>
        <w:tab/>
      </w:r>
      <w:r w:rsidRPr="00B033A8">
        <w:rPr>
          <w:bCs/>
          <w:i/>
          <w:iCs/>
        </w:rPr>
        <w:t>"Three-dimensional reference system"</w:t>
      </w:r>
      <w:r w:rsidRPr="00B033A8">
        <w:rPr>
          <w:bCs/>
        </w:rPr>
        <w:t xml:space="preserve"> means a coordinate system as defined </w:t>
      </w:r>
      <w:r w:rsidR="000A7BDB" w:rsidRPr="00A04B9D">
        <w:rPr>
          <w:bCs/>
        </w:rPr>
        <w:t xml:space="preserve">by </w:t>
      </w:r>
      <w:r w:rsidRPr="00A04B9D">
        <w:rPr>
          <w:bCs/>
          <w:sz w:val="18"/>
          <w:szCs w:val="18"/>
        </w:rPr>
        <w:t>Addendum 6 of Mutual Resolution No. 1 (M.R.1)</w:t>
      </w:r>
      <w:r w:rsidRPr="00A04B9D">
        <w:rPr>
          <w:bCs/>
          <w:sz w:val="18"/>
          <w:szCs w:val="18"/>
          <w:vertAlign w:val="superscript"/>
        </w:rPr>
        <w:t>1</w:t>
      </w:r>
      <w:r w:rsidRPr="00A04B9D">
        <w:rPr>
          <w:bCs/>
        </w:rPr>
        <w:t xml:space="preserve">. In this framework the longitudinal axis of the vehicle is designated the X axis, the lateral axis is the Y </w:t>
      </w:r>
      <w:proofErr w:type="gramStart"/>
      <w:r w:rsidRPr="00A04B9D">
        <w:rPr>
          <w:bCs/>
        </w:rPr>
        <w:t>axis</w:t>
      </w:r>
      <w:proofErr w:type="gramEnd"/>
      <w:r w:rsidRPr="00A04B9D">
        <w:rPr>
          <w:bCs/>
        </w:rPr>
        <w:t xml:space="preserve"> and the vertical axis is the Z axis.</w:t>
      </w:r>
    </w:p>
    <w:p w14:paraId="5D6961A0" w14:textId="15A2594E" w:rsidR="00C0133C" w:rsidRPr="00A04B9D" w:rsidRDefault="00C0133C" w:rsidP="00C0133C">
      <w:pPr>
        <w:pStyle w:val="Para"/>
        <w:rPr>
          <w:bCs/>
        </w:rPr>
      </w:pPr>
      <w:r w:rsidRPr="00A04B9D">
        <w:rPr>
          <w:bCs/>
        </w:rPr>
        <w:t>2.14.</w:t>
      </w:r>
      <w:r w:rsidRPr="00A04B9D">
        <w:rPr>
          <w:bCs/>
        </w:rPr>
        <w:tab/>
      </w:r>
      <w:r w:rsidRPr="00A04B9D">
        <w:rPr>
          <w:bCs/>
          <w:i/>
          <w:iCs/>
        </w:rPr>
        <w:t>"H-point Manikin"</w:t>
      </w:r>
      <w:r w:rsidRPr="00A04B9D">
        <w:rPr>
          <w:bCs/>
        </w:rPr>
        <w:t xml:space="preserve"> means a three-dimensional H-Point Machine as defined in </w:t>
      </w:r>
      <w:r w:rsidRPr="00A04B9D">
        <w:rPr>
          <w:bCs/>
          <w:sz w:val="18"/>
          <w:szCs w:val="18"/>
        </w:rPr>
        <w:t>Addendum 6 of Mutual Resolution No. 1 (M.R.1)</w:t>
      </w:r>
      <w:r w:rsidRPr="00A04B9D">
        <w:rPr>
          <w:bCs/>
          <w:sz w:val="18"/>
          <w:szCs w:val="18"/>
          <w:vertAlign w:val="superscript"/>
        </w:rPr>
        <w:t>1</w:t>
      </w:r>
      <w:r w:rsidRPr="00A04B9D">
        <w:rPr>
          <w:bCs/>
          <w:sz w:val="18"/>
          <w:szCs w:val="18"/>
        </w:rPr>
        <w:t>.</w:t>
      </w:r>
    </w:p>
    <w:p w14:paraId="2ED328DE" w14:textId="1048CBFF" w:rsidR="00C0133C" w:rsidRPr="00A04B9D" w:rsidRDefault="00C0133C" w:rsidP="00C0133C">
      <w:pPr>
        <w:pStyle w:val="Para"/>
        <w:spacing w:after="0"/>
        <w:jc w:val="left"/>
        <w:rPr>
          <w:bCs/>
        </w:rPr>
      </w:pPr>
      <w:r w:rsidRPr="00A04B9D">
        <w:rPr>
          <w:bCs/>
        </w:rPr>
        <w:t>2.15.</w:t>
      </w:r>
      <w:r w:rsidRPr="00A04B9D">
        <w:rPr>
          <w:bCs/>
        </w:rPr>
        <w:tab/>
      </w:r>
      <w:r w:rsidRPr="00A04B9D">
        <w:rPr>
          <w:bCs/>
          <w:i/>
          <w:iCs/>
        </w:rPr>
        <w:t>"R-Point"</w:t>
      </w:r>
      <w:r w:rsidRPr="00A04B9D">
        <w:rPr>
          <w:bCs/>
        </w:rPr>
        <w:t xml:space="preserve"> means the seating reference point as defined in </w:t>
      </w:r>
      <w:r w:rsidRPr="00A04B9D">
        <w:rPr>
          <w:bCs/>
          <w:sz w:val="18"/>
          <w:szCs w:val="18"/>
        </w:rPr>
        <w:t>Addendum 6 of Mutual Resolution No. 1 (M.R.1)</w:t>
      </w:r>
      <w:r w:rsidRPr="00A04B9D">
        <w:rPr>
          <w:bCs/>
        </w:rPr>
        <w:t>.</w:t>
      </w:r>
      <w:r w:rsidRPr="00A04B9D">
        <w:rPr>
          <w:rStyle w:val="FootnoteReference"/>
          <w:bCs/>
        </w:rPr>
        <w:footnoteReference w:id="3"/>
      </w:r>
    </w:p>
    <w:p w14:paraId="75D39C25" w14:textId="7B40B726" w:rsidR="00C0133C" w:rsidRPr="00B033A8" w:rsidRDefault="00C0133C" w:rsidP="00C0133C">
      <w:pPr>
        <w:pStyle w:val="Para"/>
        <w:spacing w:before="120" w:after="0"/>
        <w:ind w:left="2276" w:right="1138" w:hanging="1138"/>
        <w:jc w:val="left"/>
        <w:rPr>
          <w:bCs/>
        </w:rPr>
      </w:pPr>
      <w:r w:rsidRPr="00B033A8">
        <w:rPr>
          <w:bCs/>
          <w:i/>
          <w:iCs/>
        </w:rPr>
        <w:t xml:space="preserve">Paragraph 4.5.1.(a), footnote </w:t>
      </w:r>
      <w:r w:rsidRPr="0077276E">
        <w:rPr>
          <w:bCs/>
          <w:i/>
          <w:iCs/>
          <w:vertAlign w:val="superscript"/>
        </w:rPr>
        <w:t>1</w:t>
      </w:r>
      <w:r w:rsidRPr="00B033A8">
        <w:rPr>
          <w:bCs/>
        </w:rPr>
        <w:t xml:space="preserve">, </w:t>
      </w:r>
      <w:r w:rsidR="005F3224">
        <w:rPr>
          <w:bCs/>
        </w:rPr>
        <w:t xml:space="preserve">renumber as footnote </w:t>
      </w:r>
      <w:r w:rsidR="0077276E" w:rsidRPr="0077276E">
        <w:rPr>
          <w:bCs/>
          <w:vertAlign w:val="superscript"/>
        </w:rPr>
        <w:t>2</w:t>
      </w:r>
      <w:r w:rsidR="0077276E">
        <w:rPr>
          <w:bCs/>
        </w:rPr>
        <w:t xml:space="preserve"> and </w:t>
      </w:r>
      <w:r w:rsidRPr="00B033A8">
        <w:rPr>
          <w:bCs/>
        </w:rPr>
        <w:t>amend to read:</w:t>
      </w:r>
    </w:p>
    <w:p w14:paraId="0E682B30" w14:textId="045277B5" w:rsidR="00C0133C" w:rsidRPr="00C0133C" w:rsidRDefault="00C0133C" w:rsidP="00E92B61">
      <w:pPr>
        <w:pStyle w:val="Para"/>
        <w:spacing w:before="120"/>
        <w:ind w:left="1426" w:right="1089" w:hanging="288"/>
        <w:jc w:val="left"/>
        <w:rPr>
          <w:b/>
          <w:sz w:val="18"/>
          <w:szCs w:val="18"/>
        </w:rPr>
      </w:pPr>
      <w:r w:rsidRPr="00B033A8">
        <w:rPr>
          <w:bCs/>
          <w:sz w:val="18"/>
          <w:szCs w:val="18"/>
          <w:vertAlign w:val="superscript"/>
        </w:rPr>
        <w:t>"</w:t>
      </w:r>
      <w:r w:rsidR="0077276E">
        <w:rPr>
          <w:bCs/>
          <w:sz w:val="18"/>
          <w:szCs w:val="18"/>
          <w:vertAlign w:val="superscript"/>
        </w:rPr>
        <w:t>2</w:t>
      </w:r>
      <w:r w:rsidRPr="00B033A8">
        <w:rPr>
          <w:bCs/>
          <w:sz w:val="18"/>
          <w:szCs w:val="18"/>
        </w:rPr>
        <w:tab/>
        <w:t>The distinguishing numbers of the Contracting Parties to the 1958 Agreement are reproduced in Annex 3 to the Consolidated Resolution on the Construction of Vehicles (R.E.3), document ECE/TRANS/WP.29/78/Rev.</w:t>
      </w:r>
      <w:r w:rsidR="0077276E" w:rsidRPr="00B033A8">
        <w:rPr>
          <w:b/>
          <w:sz w:val="18"/>
          <w:szCs w:val="18"/>
        </w:rPr>
        <w:t xml:space="preserve"> </w:t>
      </w:r>
      <w:r w:rsidRPr="00B033A8">
        <w:rPr>
          <w:b/>
          <w:sz w:val="18"/>
          <w:szCs w:val="18"/>
        </w:rPr>
        <w:t>7</w:t>
      </w:r>
      <w:r w:rsidRPr="00B033A8">
        <w:rPr>
          <w:bCs/>
          <w:sz w:val="18"/>
          <w:szCs w:val="18"/>
        </w:rPr>
        <w:t xml:space="preserve"> - </w:t>
      </w:r>
      <w:bookmarkStart w:id="0" w:name="_Hlk156421770"/>
      <w:r>
        <w:fldChar w:fldCharType="begin"/>
      </w:r>
      <w:r>
        <w:instrText>HYPERLINK "https://unece.org/transport/vehicle-regulations/wp29/resolutions"</w:instrText>
      </w:r>
      <w:r>
        <w:fldChar w:fldCharType="separate"/>
      </w:r>
      <w:r w:rsidRPr="00B033A8">
        <w:rPr>
          <w:rStyle w:val="Hyperlink"/>
          <w:b/>
          <w:sz w:val="18"/>
          <w:szCs w:val="18"/>
        </w:rPr>
        <w:t>https://unece.org/transport/vehicle-regulations/wp29/resolutions</w:t>
      </w:r>
      <w:r>
        <w:rPr>
          <w:rStyle w:val="Hyperlink"/>
          <w:b/>
          <w:sz w:val="18"/>
          <w:szCs w:val="18"/>
        </w:rPr>
        <w:fldChar w:fldCharType="end"/>
      </w:r>
      <w:r w:rsidRPr="00B033A8">
        <w:rPr>
          <w:rStyle w:val="Hyperlink"/>
          <w:bCs/>
          <w:color w:val="auto"/>
          <w:sz w:val="18"/>
          <w:szCs w:val="18"/>
        </w:rPr>
        <w:t>"</w:t>
      </w:r>
      <w:bookmarkEnd w:id="0"/>
    </w:p>
    <w:p w14:paraId="7905266D" w14:textId="6D1ECAEA" w:rsidR="00C00DEB" w:rsidRPr="00196902" w:rsidRDefault="00B0265B" w:rsidP="00C00DEB">
      <w:pPr>
        <w:ind w:left="1134"/>
      </w:pPr>
      <w:r>
        <w:rPr>
          <w:i/>
          <w:iCs/>
        </w:rPr>
        <w:t xml:space="preserve">Paragraph 5.2.2.1., </w:t>
      </w:r>
      <w:r w:rsidR="00C00DEB" w:rsidRPr="00196902">
        <w:rPr>
          <w:i/>
          <w:iCs/>
        </w:rPr>
        <w:t xml:space="preserve">Table 1, </w:t>
      </w:r>
      <w:r w:rsidR="00C00DEB" w:rsidRPr="00196902">
        <w:t>amend to read:</w:t>
      </w:r>
    </w:p>
    <w:p w14:paraId="79D554E0" w14:textId="205840DD" w:rsidR="00C00DEB" w:rsidRPr="00877067" w:rsidRDefault="002B6BA7" w:rsidP="00877067">
      <w:pPr>
        <w:pStyle w:val="SingleTxtG"/>
        <w:spacing w:before="120" w:after="0"/>
        <w:ind w:left="1138" w:right="1138"/>
        <w:jc w:val="left"/>
      </w:pPr>
      <w:bookmarkStart w:id="1" w:name="_Ref82094650"/>
      <w:r>
        <w:t>"</w:t>
      </w:r>
      <w:r w:rsidR="00C00DEB" w:rsidRPr="00196902">
        <w:t xml:space="preserve">Table </w:t>
      </w:r>
      <w:r w:rsidR="00C00DEB" w:rsidRPr="00196902">
        <w:rPr>
          <w:b/>
          <w:bCs/>
        </w:rPr>
        <w:fldChar w:fldCharType="begin"/>
      </w:r>
      <w:r w:rsidR="00C00DEB" w:rsidRPr="00196902">
        <w:instrText xml:space="preserve"> SEQ Table \* ARABIC </w:instrText>
      </w:r>
      <w:r w:rsidR="00C00DEB" w:rsidRPr="00196902">
        <w:rPr>
          <w:b/>
          <w:bCs/>
        </w:rPr>
        <w:fldChar w:fldCharType="separate"/>
      </w:r>
      <w:r w:rsidR="00C00DEB">
        <w:rPr>
          <w:noProof/>
        </w:rPr>
        <w:t>1</w:t>
      </w:r>
      <w:r w:rsidR="00C00DEB" w:rsidRPr="00196902">
        <w:rPr>
          <w:b/>
          <w:bCs/>
        </w:rPr>
        <w:fldChar w:fldCharType="end"/>
      </w:r>
      <w:bookmarkEnd w:id="1"/>
      <w:r w:rsidR="00877067">
        <w:br/>
      </w:r>
      <w:r w:rsidR="00C00DEB" w:rsidRPr="00196902">
        <w:rPr>
          <w:b/>
          <w:bCs/>
        </w:rPr>
        <w:t>Minimum Values of Visible Volume</w:t>
      </w:r>
    </w:p>
    <w:tbl>
      <w:tblPr>
        <w:tblStyle w:val="TableGrid"/>
        <w:tblW w:w="83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993"/>
        <w:gridCol w:w="1417"/>
        <w:gridCol w:w="992"/>
        <w:gridCol w:w="1418"/>
        <w:gridCol w:w="1422"/>
      </w:tblGrid>
      <w:tr w:rsidR="00C00DEB" w:rsidRPr="00196902" w14:paraId="05B3972A" w14:textId="77777777" w:rsidTr="009108C9">
        <w:trPr>
          <w:tblHeader/>
        </w:trPr>
        <w:tc>
          <w:tcPr>
            <w:tcW w:w="2126" w:type="dxa"/>
            <w:vMerge w:val="restart"/>
            <w:tcBorders>
              <w:top w:val="single" w:sz="6" w:space="0" w:color="auto"/>
              <w:bottom w:val="single" w:sz="4" w:space="0" w:color="auto"/>
            </w:tcBorders>
            <w:shd w:val="clear" w:color="auto" w:fill="auto"/>
            <w:vAlign w:val="bottom"/>
          </w:tcPr>
          <w:p w14:paraId="08260253" w14:textId="77777777" w:rsidR="00C00DEB" w:rsidRPr="00196902" w:rsidRDefault="00C00DEB" w:rsidP="009108C9">
            <w:pPr>
              <w:spacing w:before="80" w:after="80" w:line="200" w:lineRule="exact"/>
              <w:ind w:right="113"/>
              <w:rPr>
                <w:i/>
                <w:sz w:val="16"/>
                <w:lang w:eastAsia="ar-SA"/>
              </w:rPr>
            </w:pPr>
          </w:p>
        </w:tc>
        <w:tc>
          <w:tcPr>
            <w:tcW w:w="993" w:type="dxa"/>
            <w:tcBorders>
              <w:top w:val="single" w:sz="6" w:space="0" w:color="auto"/>
              <w:left w:val="nil"/>
            </w:tcBorders>
          </w:tcPr>
          <w:p w14:paraId="3533E1D3" w14:textId="77777777" w:rsidR="00C00DEB" w:rsidRPr="00196902" w:rsidRDefault="00C00DEB" w:rsidP="009108C9">
            <w:pPr>
              <w:spacing w:before="80" w:after="80" w:line="200" w:lineRule="exact"/>
              <w:ind w:right="113"/>
              <w:rPr>
                <w:i/>
                <w:sz w:val="16"/>
                <w:lang w:eastAsia="ar-SA"/>
              </w:rPr>
            </w:pPr>
          </w:p>
        </w:tc>
        <w:tc>
          <w:tcPr>
            <w:tcW w:w="5249" w:type="dxa"/>
            <w:gridSpan w:val="4"/>
            <w:tcBorders>
              <w:top w:val="single" w:sz="6" w:space="0" w:color="auto"/>
              <w:bottom w:val="single" w:sz="12" w:space="0" w:color="auto"/>
            </w:tcBorders>
          </w:tcPr>
          <w:p w14:paraId="226B33EC" w14:textId="77777777" w:rsidR="00C00DEB" w:rsidRPr="00196902" w:rsidRDefault="00C00DEB" w:rsidP="009108C9">
            <w:pPr>
              <w:spacing w:before="80" w:after="80" w:line="200" w:lineRule="exact"/>
              <w:ind w:right="113"/>
              <w:jc w:val="center"/>
              <w:rPr>
                <w:i/>
                <w:sz w:val="16"/>
                <w:lang w:eastAsia="ar-SA"/>
              </w:rPr>
            </w:pPr>
            <w:r w:rsidRPr="00196902">
              <w:rPr>
                <w:i/>
                <w:sz w:val="16"/>
                <w:lang w:eastAsia="ar-SA"/>
              </w:rPr>
              <w:t>Minimum Volume (m</w:t>
            </w:r>
            <w:r w:rsidRPr="00196902">
              <w:rPr>
                <w:i/>
                <w:sz w:val="16"/>
                <w:vertAlign w:val="superscript"/>
                <w:lang w:eastAsia="ar-SA"/>
              </w:rPr>
              <w:t>3</w:t>
            </w:r>
            <w:r w:rsidRPr="00196902">
              <w:rPr>
                <w:i/>
                <w:sz w:val="16"/>
                <w:lang w:eastAsia="ar-SA"/>
              </w:rPr>
              <w:t>) of Direct Vision</w:t>
            </w:r>
          </w:p>
        </w:tc>
      </w:tr>
      <w:tr w:rsidR="00C00DEB" w:rsidRPr="00196902" w14:paraId="3D899E0C" w14:textId="77777777" w:rsidTr="009108C9">
        <w:trPr>
          <w:gridAfter w:val="2"/>
          <w:wAfter w:w="2840" w:type="dxa"/>
          <w:trHeight w:hRule="exact" w:val="113"/>
          <w:tblHeader/>
        </w:trPr>
        <w:tc>
          <w:tcPr>
            <w:tcW w:w="2126" w:type="dxa"/>
            <w:vMerge/>
            <w:tcBorders>
              <w:top w:val="single" w:sz="12" w:space="0" w:color="auto"/>
              <w:bottom w:val="single" w:sz="4" w:space="0" w:color="auto"/>
            </w:tcBorders>
            <w:shd w:val="clear" w:color="auto" w:fill="auto"/>
          </w:tcPr>
          <w:p w14:paraId="55BAE319" w14:textId="77777777" w:rsidR="00C00DEB" w:rsidRPr="00196902" w:rsidRDefault="00C00DEB" w:rsidP="009108C9">
            <w:pPr>
              <w:spacing w:before="40" w:after="120"/>
              <w:ind w:right="113"/>
              <w:rPr>
                <w:lang w:eastAsia="ar-SA"/>
              </w:rPr>
            </w:pPr>
          </w:p>
        </w:tc>
        <w:tc>
          <w:tcPr>
            <w:tcW w:w="993" w:type="dxa"/>
            <w:tcBorders>
              <w:left w:val="nil"/>
            </w:tcBorders>
          </w:tcPr>
          <w:p w14:paraId="7DA722CD" w14:textId="77777777" w:rsidR="00C00DEB" w:rsidRPr="00196902" w:rsidRDefault="00C00DEB" w:rsidP="009108C9">
            <w:pPr>
              <w:spacing w:before="40" w:after="120"/>
              <w:ind w:right="113"/>
              <w:rPr>
                <w:lang w:eastAsia="ar-SA"/>
              </w:rPr>
            </w:pPr>
          </w:p>
        </w:tc>
        <w:tc>
          <w:tcPr>
            <w:tcW w:w="1417" w:type="dxa"/>
            <w:tcBorders>
              <w:top w:val="single" w:sz="12" w:space="0" w:color="auto"/>
            </w:tcBorders>
            <w:shd w:val="clear" w:color="auto" w:fill="auto"/>
          </w:tcPr>
          <w:p w14:paraId="0FEF01D2" w14:textId="77777777" w:rsidR="00C00DEB" w:rsidRPr="00196902" w:rsidRDefault="00C00DEB" w:rsidP="009108C9">
            <w:pPr>
              <w:spacing w:before="40" w:after="120"/>
              <w:ind w:right="113"/>
              <w:rPr>
                <w:lang w:eastAsia="ar-SA"/>
              </w:rPr>
            </w:pPr>
          </w:p>
        </w:tc>
        <w:tc>
          <w:tcPr>
            <w:tcW w:w="992" w:type="dxa"/>
            <w:tcBorders>
              <w:top w:val="single" w:sz="12" w:space="0" w:color="auto"/>
            </w:tcBorders>
          </w:tcPr>
          <w:p w14:paraId="5F2585C4" w14:textId="77777777" w:rsidR="00C00DEB" w:rsidRPr="00196902" w:rsidRDefault="00C00DEB" w:rsidP="009108C9">
            <w:pPr>
              <w:spacing w:before="40" w:after="120"/>
              <w:ind w:right="113"/>
              <w:rPr>
                <w:lang w:eastAsia="ar-SA"/>
              </w:rPr>
            </w:pPr>
          </w:p>
        </w:tc>
      </w:tr>
      <w:tr w:rsidR="00C00DEB" w:rsidRPr="00877067" w14:paraId="69AE1FB8" w14:textId="77777777" w:rsidTr="009108C9">
        <w:trPr>
          <w:tblHeader/>
        </w:trPr>
        <w:tc>
          <w:tcPr>
            <w:tcW w:w="2126" w:type="dxa"/>
            <w:vMerge/>
            <w:tcBorders>
              <w:bottom w:val="single" w:sz="4" w:space="0" w:color="auto"/>
            </w:tcBorders>
            <w:shd w:val="clear" w:color="auto" w:fill="auto"/>
          </w:tcPr>
          <w:p w14:paraId="63811723" w14:textId="77777777" w:rsidR="00C00DEB" w:rsidRPr="00196902" w:rsidRDefault="00C00DEB" w:rsidP="009108C9">
            <w:pPr>
              <w:spacing w:before="40" w:after="120"/>
              <w:ind w:right="113"/>
              <w:rPr>
                <w:lang w:eastAsia="ar-SA"/>
              </w:rPr>
            </w:pPr>
          </w:p>
        </w:tc>
        <w:tc>
          <w:tcPr>
            <w:tcW w:w="993" w:type="dxa"/>
            <w:tcBorders>
              <w:left w:val="nil"/>
              <w:bottom w:val="single" w:sz="4" w:space="0" w:color="auto"/>
              <w:right w:val="single" w:sz="4" w:space="0" w:color="auto"/>
            </w:tcBorders>
          </w:tcPr>
          <w:p w14:paraId="6A617F51" w14:textId="77777777" w:rsidR="00C00DEB" w:rsidRPr="00877067" w:rsidRDefault="00C00DEB" w:rsidP="009108C9">
            <w:pPr>
              <w:spacing w:before="40" w:after="120"/>
              <w:jc w:val="center"/>
              <w:rPr>
                <w:lang w:eastAsia="ar-SA"/>
              </w:rPr>
            </w:pPr>
          </w:p>
        </w:tc>
        <w:tc>
          <w:tcPr>
            <w:tcW w:w="1417" w:type="dxa"/>
            <w:tcBorders>
              <w:left w:val="single" w:sz="4" w:space="0" w:color="auto"/>
              <w:bottom w:val="single" w:sz="4" w:space="0" w:color="auto"/>
              <w:right w:val="single" w:sz="4" w:space="0" w:color="auto"/>
            </w:tcBorders>
            <w:shd w:val="clear" w:color="auto" w:fill="auto"/>
          </w:tcPr>
          <w:p w14:paraId="395E2BF4" w14:textId="77777777" w:rsidR="00C00DEB" w:rsidRPr="00877067" w:rsidRDefault="00C00DEB" w:rsidP="009108C9">
            <w:pPr>
              <w:spacing w:before="40" w:after="120"/>
              <w:jc w:val="center"/>
              <w:rPr>
                <w:lang w:eastAsia="ar-SA"/>
              </w:rPr>
            </w:pPr>
            <w:r w:rsidRPr="00877067">
              <w:rPr>
                <w:lang w:eastAsia="ar-SA"/>
              </w:rPr>
              <w:t>Level 1</w:t>
            </w:r>
          </w:p>
        </w:tc>
        <w:tc>
          <w:tcPr>
            <w:tcW w:w="992" w:type="dxa"/>
            <w:tcBorders>
              <w:left w:val="single" w:sz="4" w:space="0" w:color="auto"/>
              <w:right w:val="single" w:sz="4" w:space="0" w:color="auto"/>
            </w:tcBorders>
          </w:tcPr>
          <w:p w14:paraId="6CC90E33" w14:textId="77777777" w:rsidR="00C00DEB" w:rsidRPr="00877067" w:rsidRDefault="00C00DEB" w:rsidP="009108C9">
            <w:pPr>
              <w:spacing w:before="40" w:after="120"/>
              <w:ind w:right="-5"/>
              <w:jc w:val="center"/>
              <w:rPr>
                <w:lang w:eastAsia="ar-SA"/>
              </w:rPr>
            </w:pPr>
          </w:p>
        </w:tc>
        <w:tc>
          <w:tcPr>
            <w:tcW w:w="1418" w:type="dxa"/>
            <w:tcBorders>
              <w:left w:val="single" w:sz="4" w:space="0" w:color="auto"/>
              <w:bottom w:val="single" w:sz="4" w:space="0" w:color="auto"/>
              <w:right w:val="single" w:sz="4" w:space="0" w:color="auto"/>
            </w:tcBorders>
            <w:shd w:val="clear" w:color="auto" w:fill="auto"/>
          </w:tcPr>
          <w:p w14:paraId="78329D34" w14:textId="77777777" w:rsidR="00C00DEB" w:rsidRPr="00877067" w:rsidRDefault="00C00DEB" w:rsidP="009108C9">
            <w:pPr>
              <w:spacing w:before="40" w:after="120"/>
              <w:ind w:right="-5"/>
              <w:jc w:val="center"/>
              <w:rPr>
                <w:lang w:eastAsia="ar-SA"/>
              </w:rPr>
            </w:pPr>
            <w:r w:rsidRPr="00877067">
              <w:rPr>
                <w:lang w:eastAsia="ar-SA"/>
              </w:rPr>
              <w:t>Level 2</w:t>
            </w:r>
          </w:p>
        </w:tc>
        <w:tc>
          <w:tcPr>
            <w:tcW w:w="1422" w:type="dxa"/>
            <w:tcBorders>
              <w:left w:val="single" w:sz="4" w:space="0" w:color="auto"/>
              <w:bottom w:val="single" w:sz="4" w:space="0" w:color="auto"/>
            </w:tcBorders>
            <w:shd w:val="clear" w:color="auto" w:fill="auto"/>
          </w:tcPr>
          <w:p w14:paraId="48C5DCA2" w14:textId="77777777" w:rsidR="00C00DEB" w:rsidRPr="00877067" w:rsidRDefault="00C00DEB" w:rsidP="009108C9">
            <w:pPr>
              <w:spacing w:before="40" w:after="120"/>
              <w:ind w:right="2"/>
              <w:jc w:val="center"/>
              <w:rPr>
                <w:lang w:eastAsia="ar-SA"/>
              </w:rPr>
            </w:pPr>
            <w:r w:rsidRPr="00877067">
              <w:rPr>
                <w:lang w:eastAsia="ar-SA"/>
              </w:rPr>
              <w:t>Level 3</w:t>
            </w:r>
          </w:p>
        </w:tc>
      </w:tr>
      <w:tr w:rsidR="00C00DEB" w:rsidRPr="00877067" w14:paraId="2AADBCC4" w14:textId="77777777" w:rsidTr="009108C9">
        <w:tc>
          <w:tcPr>
            <w:tcW w:w="3119" w:type="dxa"/>
            <w:gridSpan w:val="2"/>
            <w:tcBorders>
              <w:top w:val="single" w:sz="4" w:space="0" w:color="auto"/>
              <w:bottom w:val="single" w:sz="4" w:space="0" w:color="auto"/>
              <w:right w:val="single" w:sz="4" w:space="0" w:color="auto"/>
            </w:tcBorders>
            <w:shd w:val="clear" w:color="auto" w:fill="auto"/>
          </w:tcPr>
          <w:p w14:paraId="5803D31F" w14:textId="77777777" w:rsidR="00C00DEB" w:rsidRPr="00877067" w:rsidRDefault="00C00DEB" w:rsidP="009108C9">
            <w:pPr>
              <w:spacing w:before="40" w:after="120"/>
              <w:rPr>
                <w:lang w:eastAsia="ar-SA"/>
              </w:rPr>
            </w:pPr>
            <w:r w:rsidRPr="00877067">
              <w:rPr>
                <w:lang w:eastAsia="ar-SA"/>
              </w:rPr>
              <w:t xml:space="preserve">Nearside Visible Volume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74114" w14:textId="77777777" w:rsidR="00C00DEB" w:rsidRPr="00877067" w:rsidRDefault="00C00DEB" w:rsidP="009108C9">
            <w:pPr>
              <w:spacing w:before="40" w:after="120"/>
              <w:jc w:val="center"/>
              <w:rPr>
                <w:lang w:eastAsia="ar-SA"/>
              </w:rPr>
            </w:pPr>
            <w:r w:rsidRPr="00877067">
              <w:rPr>
                <w:lang w:eastAsia="ar-SA"/>
              </w:rPr>
              <w:t>3.4</w:t>
            </w:r>
          </w:p>
        </w:tc>
        <w:tc>
          <w:tcPr>
            <w:tcW w:w="992" w:type="dxa"/>
            <w:tcBorders>
              <w:left w:val="single" w:sz="4" w:space="0" w:color="auto"/>
              <w:bottom w:val="single" w:sz="4" w:space="0" w:color="auto"/>
              <w:right w:val="single" w:sz="4" w:space="0" w:color="auto"/>
            </w:tcBorders>
          </w:tcPr>
          <w:p w14:paraId="6818568F" w14:textId="77777777" w:rsidR="00C00DEB" w:rsidRPr="00877067" w:rsidRDefault="00C00DEB" w:rsidP="009108C9">
            <w:pPr>
              <w:spacing w:before="40" w:after="120"/>
              <w:ind w:right="-5"/>
              <w:jc w:val="center"/>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BD91EE" w14:textId="77777777" w:rsidR="00C00DEB" w:rsidRPr="00877067" w:rsidRDefault="00C00DEB" w:rsidP="009108C9">
            <w:pPr>
              <w:spacing w:before="40" w:after="120"/>
              <w:ind w:right="-5"/>
              <w:jc w:val="center"/>
              <w:rPr>
                <w:lang w:eastAsia="ar-SA"/>
              </w:rPr>
            </w:pPr>
            <w:r w:rsidRPr="00877067">
              <w:rPr>
                <w:lang w:eastAsia="ar-SA"/>
              </w:rPr>
              <w:t>Not Specified</w:t>
            </w:r>
          </w:p>
        </w:tc>
        <w:tc>
          <w:tcPr>
            <w:tcW w:w="1422" w:type="dxa"/>
            <w:tcBorders>
              <w:top w:val="single" w:sz="4" w:space="0" w:color="auto"/>
              <w:left w:val="single" w:sz="4" w:space="0" w:color="auto"/>
              <w:bottom w:val="single" w:sz="4" w:space="0" w:color="auto"/>
            </w:tcBorders>
            <w:shd w:val="clear" w:color="auto" w:fill="auto"/>
          </w:tcPr>
          <w:p w14:paraId="6B94131A" w14:textId="77777777" w:rsidR="00C00DEB" w:rsidRPr="00877067" w:rsidRDefault="00C00DEB" w:rsidP="009108C9">
            <w:pPr>
              <w:spacing w:before="40" w:after="120"/>
              <w:ind w:right="2"/>
              <w:jc w:val="center"/>
              <w:rPr>
                <w:lang w:eastAsia="ar-SA"/>
              </w:rPr>
            </w:pPr>
            <w:r w:rsidRPr="00877067">
              <w:rPr>
                <w:lang w:eastAsia="ar-SA"/>
              </w:rPr>
              <w:t>Not Specified</w:t>
            </w:r>
          </w:p>
        </w:tc>
      </w:tr>
      <w:tr w:rsidR="00C00DEB" w:rsidRPr="00877067" w14:paraId="5A7779BE" w14:textId="77777777" w:rsidTr="009108C9">
        <w:tc>
          <w:tcPr>
            <w:tcW w:w="2126" w:type="dxa"/>
            <w:tcBorders>
              <w:top w:val="single" w:sz="4" w:space="0" w:color="auto"/>
              <w:right w:val="single" w:sz="4" w:space="0" w:color="auto"/>
            </w:tcBorders>
            <w:shd w:val="clear" w:color="auto" w:fill="auto"/>
          </w:tcPr>
          <w:p w14:paraId="662F6977" w14:textId="77777777" w:rsidR="00C00DEB" w:rsidRPr="00196902" w:rsidRDefault="00C00DEB" w:rsidP="009108C9">
            <w:pPr>
              <w:spacing w:before="40" w:after="120"/>
              <w:ind w:right="113"/>
              <w:rPr>
                <w:lang w:eastAsia="ar-SA"/>
              </w:rPr>
            </w:pPr>
            <w:r w:rsidRPr="00196902">
              <w:rPr>
                <w:lang w:eastAsia="ar-SA"/>
              </w:rPr>
              <w:t xml:space="preserve">Front Visible Volume </w:t>
            </w:r>
          </w:p>
        </w:tc>
        <w:tc>
          <w:tcPr>
            <w:tcW w:w="993" w:type="dxa"/>
            <w:tcBorders>
              <w:top w:val="single" w:sz="4" w:space="0" w:color="auto"/>
              <w:left w:val="single" w:sz="4" w:space="0" w:color="auto"/>
              <w:bottom w:val="single" w:sz="4" w:space="0" w:color="auto"/>
              <w:right w:val="single" w:sz="4" w:space="0" w:color="auto"/>
            </w:tcBorders>
          </w:tcPr>
          <w:p w14:paraId="43EDF843" w14:textId="77777777" w:rsidR="00C00DEB" w:rsidRPr="00877067" w:rsidRDefault="00C00DEB" w:rsidP="009108C9">
            <w:pPr>
              <w:spacing w:before="40" w:after="120"/>
              <w:ind w:right="113"/>
              <w:jc w:val="center"/>
              <w:rPr>
                <w:lang w:eastAsia="ar-SA"/>
              </w:rPr>
            </w:pPr>
            <w:r w:rsidRPr="00877067">
              <w:rPr>
                <w:lang w:eastAsia="ar-SA"/>
              </w:rPr>
              <w:t>IAPD ≥</w:t>
            </w:r>
          </w:p>
          <w:p w14:paraId="1B59E9C0" w14:textId="4486AA5C" w:rsidR="00C00DEB" w:rsidRPr="00877067" w:rsidRDefault="00C00DEB" w:rsidP="009108C9">
            <w:pPr>
              <w:spacing w:before="40" w:after="120"/>
              <w:jc w:val="center"/>
              <w:rPr>
                <w:lang w:eastAsia="ar-SA"/>
              </w:rPr>
            </w:pPr>
            <w:r w:rsidRPr="00877067">
              <w:rPr>
                <w:lang w:eastAsia="ar-SA"/>
              </w:rPr>
              <w:t>2156</w:t>
            </w:r>
            <w:r w:rsidR="00EF6210">
              <w:rPr>
                <w:lang w:eastAsia="ar-SA"/>
              </w:rPr>
              <w:t xml:space="preserve"> </w:t>
            </w:r>
            <w:r w:rsidRPr="00877067">
              <w:rPr>
                <w:lang w:eastAsia="ar-SA"/>
              </w:rPr>
              <w:t>mm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92232" w14:textId="77777777" w:rsidR="00C00DEB" w:rsidRPr="00877067" w:rsidRDefault="00C00DEB" w:rsidP="009108C9">
            <w:pPr>
              <w:spacing w:before="40" w:after="120"/>
              <w:ind w:right="-2"/>
              <w:jc w:val="center"/>
              <w:rPr>
                <w:lang w:eastAsia="ar-SA"/>
              </w:rPr>
            </w:pPr>
            <w:r w:rsidRPr="00877067">
              <w:rPr>
                <w:lang w:eastAsia="ar-SA"/>
              </w:rPr>
              <w:t>1.8</w:t>
            </w:r>
          </w:p>
        </w:tc>
        <w:tc>
          <w:tcPr>
            <w:tcW w:w="992" w:type="dxa"/>
            <w:tcBorders>
              <w:top w:val="single" w:sz="4" w:space="0" w:color="auto"/>
              <w:left w:val="single" w:sz="4" w:space="0" w:color="auto"/>
              <w:bottom w:val="single" w:sz="4" w:space="0" w:color="auto"/>
              <w:right w:val="single" w:sz="4" w:space="0" w:color="auto"/>
            </w:tcBorders>
          </w:tcPr>
          <w:p w14:paraId="5351C1E3" w14:textId="77777777" w:rsidR="00C00DEB" w:rsidRPr="00877067" w:rsidRDefault="00C00DEB" w:rsidP="009108C9">
            <w:pPr>
              <w:spacing w:before="40" w:after="120"/>
              <w:ind w:right="-5"/>
              <w:jc w:val="center"/>
              <w:rPr>
                <w:lang w:eastAsia="ar-SA"/>
              </w:rPr>
            </w:pPr>
            <w:r w:rsidRPr="00877067">
              <w:rPr>
                <w:lang w:eastAsia="ar-SA"/>
              </w:rPr>
              <w:t>IAPD ≥</w:t>
            </w:r>
          </w:p>
          <w:p w14:paraId="0288069F" w14:textId="4FE7E78B" w:rsidR="00C00DEB" w:rsidRPr="00877067" w:rsidRDefault="00C00DEB" w:rsidP="009108C9">
            <w:pPr>
              <w:spacing w:before="40" w:after="120"/>
              <w:ind w:right="-5"/>
              <w:jc w:val="center"/>
              <w:rPr>
                <w:lang w:eastAsia="ar-SA"/>
              </w:rPr>
            </w:pPr>
            <w:r w:rsidRPr="00877067">
              <w:rPr>
                <w:lang w:eastAsia="ar-SA"/>
              </w:rPr>
              <w:t>2154</w:t>
            </w:r>
            <w:r w:rsidR="00EF6210">
              <w:rPr>
                <w:lang w:eastAsia="ar-SA"/>
              </w:rPr>
              <w:t xml:space="preserve"> </w:t>
            </w:r>
            <w:r w:rsidRPr="00877067">
              <w:rPr>
                <w:lang w:eastAsia="ar-SA"/>
              </w:rPr>
              <w:t>mm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72BD7B" w14:textId="77777777" w:rsidR="00C00DEB" w:rsidRPr="00877067" w:rsidRDefault="00C00DEB" w:rsidP="009108C9">
            <w:pPr>
              <w:spacing w:before="40" w:after="120"/>
              <w:ind w:right="-5"/>
              <w:jc w:val="center"/>
              <w:rPr>
                <w:lang w:eastAsia="ar-SA"/>
              </w:rPr>
            </w:pPr>
            <w:r w:rsidRPr="00877067">
              <w:rPr>
                <w:lang w:eastAsia="ar-SA"/>
              </w:rPr>
              <w:t>1.0</w:t>
            </w:r>
          </w:p>
        </w:tc>
        <w:tc>
          <w:tcPr>
            <w:tcW w:w="1422" w:type="dxa"/>
            <w:tcBorders>
              <w:top w:val="single" w:sz="4" w:space="0" w:color="auto"/>
              <w:left w:val="single" w:sz="4" w:space="0" w:color="auto"/>
              <w:bottom w:val="single" w:sz="4" w:space="0" w:color="auto"/>
            </w:tcBorders>
            <w:shd w:val="clear" w:color="auto" w:fill="auto"/>
          </w:tcPr>
          <w:p w14:paraId="47DBE89C" w14:textId="77777777" w:rsidR="00C00DEB" w:rsidRPr="00877067" w:rsidRDefault="00C00DEB" w:rsidP="009108C9">
            <w:pPr>
              <w:spacing w:before="40" w:after="120"/>
              <w:ind w:right="2"/>
              <w:jc w:val="center"/>
              <w:rPr>
                <w:lang w:eastAsia="ar-SA"/>
              </w:rPr>
            </w:pPr>
            <w:r w:rsidRPr="00877067">
              <w:rPr>
                <w:lang w:eastAsia="ar-SA"/>
              </w:rPr>
              <w:t>1.0</w:t>
            </w:r>
          </w:p>
        </w:tc>
      </w:tr>
      <w:tr w:rsidR="00C00DEB" w:rsidRPr="00877067" w14:paraId="15636305" w14:textId="77777777" w:rsidTr="009108C9">
        <w:tc>
          <w:tcPr>
            <w:tcW w:w="2126" w:type="dxa"/>
            <w:tcBorders>
              <w:bottom w:val="single" w:sz="4" w:space="0" w:color="auto"/>
              <w:right w:val="single" w:sz="4" w:space="0" w:color="auto"/>
            </w:tcBorders>
            <w:shd w:val="clear" w:color="auto" w:fill="auto"/>
          </w:tcPr>
          <w:p w14:paraId="34865C65" w14:textId="77777777" w:rsidR="00C00DEB" w:rsidRPr="00196902" w:rsidRDefault="00C00DEB" w:rsidP="009108C9">
            <w:pPr>
              <w:spacing w:before="40" w:after="120"/>
              <w:ind w:right="113"/>
              <w:rPr>
                <w:lang w:eastAsia="ar-SA"/>
              </w:rPr>
            </w:pPr>
          </w:p>
        </w:tc>
        <w:tc>
          <w:tcPr>
            <w:tcW w:w="993" w:type="dxa"/>
            <w:tcBorders>
              <w:top w:val="single" w:sz="4" w:space="0" w:color="auto"/>
              <w:left w:val="single" w:sz="4" w:space="0" w:color="auto"/>
              <w:bottom w:val="single" w:sz="4" w:space="0" w:color="auto"/>
              <w:right w:val="single" w:sz="4" w:space="0" w:color="auto"/>
            </w:tcBorders>
          </w:tcPr>
          <w:p w14:paraId="21935786" w14:textId="77777777" w:rsidR="00C00DEB" w:rsidRPr="00877067" w:rsidRDefault="00C00DEB" w:rsidP="009108C9">
            <w:pPr>
              <w:spacing w:before="40" w:after="120"/>
              <w:ind w:right="113"/>
              <w:jc w:val="center"/>
              <w:rPr>
                <w:lang w:eastAsia="ar-SA"/>
              </w:rPr>
            </w:pPr>
            <w:r w:rsidRPr="00877067">
              <w:rPr>
                <w:lang w:eastAsia="ar-SA"/>
              </w:rPr>
              <w:t>IAPD &lt;</w:t>
            </w:r>
          </w:p>
          <w:p w14:paraId="2C917870" w14:textId="7D425CB7" w:rsidR="00C00DEB" w:rsidRPr="00877067" w:rsidRDefault="00C00DEB" w:rsidP="009108C9">
            <w:pPr>
              <w:spacing w:before="40" w:after="120"/>
              <w:ind w:right="-8"/>
              <w:jc w:val="center"/>
              <w:rPr>
                <w:lang w:eastAsia="ar-SA"/>
              </w:rPr>
            </w:pPr>
            <w:r w:rsidRPr="00877067">
              <w:rPr>
                <w:lang w:eastAsia="ar-SA"/>
              </w:rPr>
              <w:t>2156</w:t>
            </w:r>
            <w:r w:rsidR="00EF6210">
              <w:rPr>
                <w:lang w:eastAsia="ar-SA"/>
              </w:rPr>
              <w:t xml:space="preserve"> </w:t>
            </w:r>
            <w:r w:rsidRPr="00877067">
              <w:rPr>
                <w:lang w:eastAsia="ar-SA"/>
              </w:rPr>
              <w:t>mm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C62279" w14:textId="77777777" w:rsidR="00C00DEB" w:rsidRPr="00877067" w:rsidRDefault="00C00DEB" w:rsidP="009108C9">
            <w:pPr>
              <w:spacing w:before="40" w:after="120"/>
              <w:ind w:right="-2"/>
              <w:jc w:val="center"/>
              <w:rPr>
                <w:lang w:eastAsia="ar-SA"/>
              </w:rPr>
            </w:pPr>
            <w:r w:rsidRPr="00877067">
              <w:rPr>
                <w:lang w:eastAsia="ar-SA"/>
              </w:rPr>
              <w:t>See paragraph 5.3</w:t>
            </w:r>
          </w:p>
        </w:tc>
        <w:tc>
          <w:tcPr>
            <w:tcW w:w="992" w:type="dxa"/>
            <w:tcBorders>
              <w:top w:val="single" w:sz="4" w:space="0" w:color="auto"/>
              <w:left w:val="single" w:sz="4" w:space="0" w:color="auto"/>
              <w:bottom w:val="single" w:sz="4" w:space="0" w:color="auto"/>
              <w:right w:val="single" w:sz="4" w:space="0" w:color="auto"/>
            </w:tcBorders>
          </w:tcPr>
          <w:p w14:paraId="4325683B" w14:textId="77777777" w:rsidR="00C00DEB" w:rsidRPr="00877067" w:rsidRDefault="00C00DEB" w:rsidP="009108C9">
            <w:pPr>
              <w:spacing w:before="40" w:after="120"/>
              <w:ind w:right="-5"/>
              <w:jc w:val="center"/>
              <w:rPr>
                <w:lang w:eastAsia="ar-SA"/>
              </w:rPr>
            </w:pPr>
            <w:r w:rsidRPr="00877067">
              <w:rPr>
                <w:lang w:eastAsia="ar-SA"/>
              </w:rPr>
              <w:t>IAPD &lt;</w:t>
            </w:r>
          </w:p>
          <w:p w14:paraId="0D1C64F8" w14:textId="0EAAAB9F" w:rsidR="00C00DEB" w:rsidRPr="00877067" w:rsidRDefault="00C00DEB" w:rsidP="009108C9">
            <w:pPr>
              <w:spacing w:before="40" w:after="120"/>
              <w:ind w:right="-5"/>
              <w:jc w:val="center"/>
              <w:rPr>
                <w:lang w:eastAsia="ar-SA"/>
              </w:rPr>
            </w:pPr>
            <w:r w:rsidRPr="00877067">
              <w:rPr>
                <w:lang w:eastAsia="ar-SA"/>
              </w:rPr>
              <w:t>2154</w:t>
            </w:r>
            <w:r w:rsidR="00EF6210">
              <w:rPr>
                <w:lang w:eastAsia="ar-SA"/>
              </w:rPr>
              <w:t xml:space="preserve"> </w:t>
            </w:r>
            <w:r w:rsidRPr="00877067">
              <w:rPr>
                <w:lang w:eastAsia="ar-SA"/>
              </w:rPr>
              <w:t>mm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5A4727" w14:textId="77777777" w:rsidR="00C00DEB" w:rsidRPr="00877067" w:rsidRDefault="00C00DEB" w:rsidP="009108C9">
            <w:pPr>
              <w:spacing w:before="40" w:after="120"/>
              <w:ind w:right="-5"/>
              <w:jc w:val="center"/>
              <w:rPr>
                <w:lang w:eastAsia="ar-SA"/>
              </w:rPr>
            </w:pPr>
            <w:r w:rsidRPr="00877067">
              <w:rPr>
                <w:lang w:eastAsia="ar-SA"/>
              </w:rPr>
              <w:t>See paragraph 5.3</w:t>
            </w:r>
          </w:p>
        </w:tc>
        <w:tc>
          <w:tcPr>
            <w:tcW w:w="1422" w:type="dxa"/>
            <w:tcBorders>
              <w:top w:val="single" w:sz="4" w:space="0" w:color="auto"/>
              <w:left w:val="single" w:sz="4" w:space="0" w:color="auto"/>
              <w:bottom w:val="single" w:sz="4" w:space="0" w:color="auto"/>
            </w:tcBorders>
            <w:shd w:val="clear" w:color="auto" w:fill="auto"/>
          </w:tcPr>
          <w:p w14:paraId="43685A77" w14:textId="77777777" w:rsidR="00C00DEB" w:rsidRPr="00877067" w:rsidRDefault="00C00DEB" w:rsidP="009108C9">
            <w:pPr>
              <w:spacing w:before="40" w:after="120"/>
              <w:ind w:right="2"/>
              <w:jc w:val="center"/>
              <w:rPr>
                <w:lang w:eastAsia="ar-SA"/>
              </w:rPr>
            </w:pPr>
            <w:r w:rsidRPr="00877067">
              <w:rPr>
                <w:lang w:eastAsia="ar-SA"/>
              </w:rPr>
              <w:t>See paragraph 5.3</w:t>
            </w:r>
          </w:p>
        </w:tc>
      </w:tr>
      <w:tr w:rsidR="00C00DEB" w:rsidRPr="00877067" w14:paraId="51ACB4A3" w14:textId="77777777" w:rsidTr="009108C9">
        <w:tc>
          <w:tcPr>
            <w:tcW w:w="3119" w:type="dxa"/>
            <w:gridSpan w:val="2"/>
            <w:tcBorders>
              <w:top w:val="single" w:sz="4" w:space="0" w:color="auto"/>
              <w:bottom w:val="single" w:sz="4" w:space="0" w:color="auto"/>
              <w:right w:val="single" w:sz="4" w:space="0" w:color="auto"/>
            </w:tcBorders>
            <w:shd w:val="clear" w:color="auto" w:fill="auto"/>
          </w:tcPr>
          <w:p w14:paraId="20DA7DDA" w14:textId="77777777" w:rsidR="00C00DEB" w:rsidRPr="00877067" w:rsidRDefault="00C00DEB" w:rsidP="009108C9">
            <w:pPr>
              <w:spacing w:before="40" w:after="120"/>
              <w:ind w:right="113"/>
              <w:rPr>
                <w:lang w:eastAsia="ar-SA"/>
              </w:rPr>
            </w:pPr>
            <w:r w:rsidRPr="00877067">
              <w:t>Subsection Frontal Visible Volume</w:t>
            </w:r>
          </w:p>
        </w:tc>
        <w:tc>
          <w:tcPr>
            <w:tcW w:w="1417" w:type="dxa"/>
            <w:tcBorders>
              <w:top w:val="single" w:sz="4" w:space="0" w:color="auto"/>
              <w:left w:val="single" w:sz="4" w:space="0" w:color="auto"/>
              <w:bottom w:val="single" w:sz="4" w:space="0" w:color="auto"/>
            </w:tcBorders>
            <w:shd w:val="clear" w:color="auto" w:fill="auto"/>
          </w:tcPr>
          <w:p w14:paraId="148A563A" w14:textId="77777777" w:rsidR="00C00DEB" w:rsidRPr="00877067" w:rsidRDefault="00C00DEB" w:rsidP="009108C9">
            <w:pPr>
              <w:spacing w:before="40" w:after="120"/>
              <w:jc w:val="center"/>
              <w:rPr>
                <w:lang w:eastAsia="ar-SA"/>
              </w:rPr>
            </w:pPr>
            <w:r w:rsidRPr="00877067">
              <w:rPr>
                <w:lang w:eastAsia="ar-SA"/>
              </w:rPr>
              <w:t>See Paragraph 5.4</w:t>
            </w:r>
          </w:p>
        </w:tc>
        <w:tc>
          <w:tcPr>
            <w:tcW w:w="992" w:type="dxa"/>
            <w:tcBorders>
              <w:top w:val="single" w:sz="4" w:space="0" w:color="auto"/>
              <w:left w:val="single" w:sz="4" w:space="0" w:color="auto"/>
            </w:tcBorders>
          </w:tcPr>
          <w:p w14:paraId="1A1AAC24" w14:textId="77777777" w:rsidR="00C00DEB" w:rsidRPr="00877067" w:rsidRDefault="00C00DEB" w:rsidP="009108C9">
            <w:pPr>
              <w:spacing w:before="40" w:after="120"/>
              <w:ind w:left="2" w:right="-5"/>
              <w:jc w:val="center"/>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687ACD" w14:textId="77777777" w:rsidR="00C00DEB" w:rsidRPr="00877067" w:rsidRDefault="00C00DEB" w:rsidP="009108C9">
            <w:pPr>
              <w:spacing w:before="40" w:after="120"/>
              <w:ind w:left="2" w:right="-5"/>
              <w:jc w:val="center"/>
              <w:rPr>
                <w:lang w:eastAsia="ar-SA"/>
              </w:rPr>
            </w:pPr>
            <w:r w:rsidRPr="00877067">
              <w:rPr>
                <w:lang w:eastAsia="ar-SA"/>
              </w:rPr>
              <w:t>See Paragraph 5.4</w:t>
            </w:r>
          </w:p>
        </w:tc>
        <w:tc>
          <w:tcPr>
            <w:tcW w:w="1422" w:type="dxa"/>
            <w:tcBorders>
              <w:top w:val="single" w:sz="4" w:space="0" w:color="auto"/>
              <w:left w:val="single" w:sz="4" w:space="0" w:color="auto"/>
              <w:bottom w:val="single" w:sz="4" w:space="0" w:color="auto"/>
            </w:tcBorders>
            <w:shd w:val="clear" w:color="auto" w:fill="auto"/>
          </w:tcPr>
          <w:p w14:paraId="2F65063A" w14:textId="77777777" w:rsidR="00C00DEB" w:rsidRPr="00877067" w:rsidRDefault="00C00DEB" w:rsidP="009108C9">
            <w:pPr>
              <w:spacing w:before="40" w:after="120"/>
              <w:ind w:right="2"/>
              <w:jc w:val="center"/>
              <w:rPr>
                <w:lang w:eastAsia="ar-SA"/>
              </w:rPr>
            </w:pPr>
            <w:r w:rsidRPr="00877067">
              <w:rPr>
                <w:lang w:eastAsia="ar-SA"/>
              </w:rPr>
              <w:t>See Paragraph 5.4</w:t>
            </w:r>
          </w:p>
        </w:tc>
      </w:tr>
      <w:tr w:rsidR="00C00DEB" w:rsidRPr="00877067" w14:paraId="3FA5E7F5" w14:textId="77777777" w:rsidTr="009108C9">
        <w:tc>
          <w:tcPr>
            <w:tcW w:w="3119" w:type="dxa"/>
            <w:gridSpan w:val="2"/>
            <w:tcBorders>
              <w:top w:val="single" w:sz="4" w:space="0" w:color="auto"/>
              <w:bottom w:val="single" w:sz="4" w:space="0" w:color="auto"/>
              <w:right w:val="single" w:sz="4" w:space="0" w:color="auto"/>
            </w:tcBorders>
            <w:shd w:val="clear" w:color="auto" w:fill="auto"/>
          </w:tcPr>
          <w:p w14:paraId="699ABBB0" w14:textId="77777777" w:rsidR="00C00DEB" w:rsidRPr="00877067" w:rsidRDefault="00C00DEB" w:rsidP="009108C9">
            <w:pPr>
              <w:spacing w:before="40" w:after="120"/>
              <w:ind w:right="113"/>
              <w:rPr>
                <w:lang w:eastAsia="ar-SA"/>
              </w:rPr>
            </w:pPr>
            <w:r w:rsidRPr="00877067">
              <w:rPr>
                <w:lang w:eastAsia="ar-SA"/>
              </w:rPr>
              <w:t xml:space="preserve">Offside Visible Volume </w:t>
            </w:r>
          </w:p>
        </w:tc>
        <w:tc>
          <w:tcPr>
            <w:tcW w:w="1417" w:type="dxa"/>
            <w:tcBorders>
              <w:top w:val="single" w:sz="4" w:space="0" w:color="auto"/>
              <w:left w:val="single" w:sz="4" w:space="0" w:color="auto"/>
              <w:bottom w:val="single" w:sz="4" w:space="0" w:color="auto"/>
            </w:tcBorders>
            <w:shd w:val="clear" w:color="auto" w:fill="auto"/>
          </w:tcPr>
          <w:p w14:paraId="701F2D0B" w14:textId="77777777" w:rsidR="00C00DEB" w:rsidRPr="00877067" w:rsidRDefault="00C00DEB" w:rsidP="009108C9">
            <w:pPr>
              <w:spacing w:before="40" w:after="120"/>
              <w:jc w:val="center"/>
              <w:rPr>
                <w:lang w:eastAsia="ar-SA"/>
              </w:rPr>
            </w:pPr>
            <w:r w:rsidRPr="00877067">
              <w:rPr>
                <w:lang w:eastAsia="ar-SA"/>
              </w:rPr>
              <w:t>2.8</w:t>
            </w:r>
          </w:p>
        </w:tc>
        <w:tc>
          <w:tcPr>
            <w:tcW w:w="992" w:type="dxa"/>
            <w:tcBorders>
              <w:top w:val="single" w:sz="4" w:space="0" w:color="auto"/>
              <w:left w:val="single" w:sz="4" w:space="0" w:color="auto"/>
            </w:tcBorders>
          </w:tcPr>
          <w:p w14:paraId="77100497" w14:textId="77777777" w:rsidR="00C00DEB" w:rsidRPr="00877067" w:rsidRDefault="00C00DEB" w:rsidP="009108C9">
            <w:pPr>
              <w:spacing w:before="40" w:after="120"/>
              <w:ind w:left="2" w:right="-5"/>
              <w:jc w:val="center"/>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8D0FF7" w14:textId="77777777" w:rsidR="00C00DEB" w:rsidRPr="00877067" w:rsidRDefault="00C00DEB" w:rsidP="009108C9">
            <w:pPr>
              <w:spacing w:before="40" w:after="120"/>
              <w:ind w:left="2" w:right="-5"/>
              <w:jc w:val="center"/>
              <w:rPr>
                <w:lang w:eastAsia="ar-SA"/>
              </w:rPr>
            </w:pPr>
            <w:r w:rsidRPr="00877067">
              <w:rPr>
                <w:lang w:eastAsia="ar-SA"/>
              </w:rPr>
              <w:t>Not Specified</w:t>
            </w:r>
          </w:p>
        </w:tc>
        <w:tc>
          <w:tcPr>
            <w:tcW w:w="1422" w:type="dxa"/>
            <w:tcBorders>
              <w:top w:val="single" w:sz="4" w:space="0" w:color="auto"/>
              <w:left w:val="single" w:sz="4" w:space="0" w:color="auto"/>
              <w:bottom w:val="single" w:sz="4" w:space="0" w:color="auto"/>
            </w:tcBorders>
            <w:shd w:val="clear" w:color="auto" w:fill="auto"/>
          </w:tcPr>
          <w:p w14:paraId="0AAA3AFE" w14:textId="77777777" w:rsidR="00C00DEB" w:rsidRPr="00877067" w:rsidRDefault="00C00DEB" w:rsidP="009108C9">
            <w:pPr>
              <w:spacing w:before="40" w:after="120"/>
              <w:ind w:right="2"/>
              <w:jc w:val="center"/>
              <w:rPr>
                <w:lang w:eastAsia="ar-SA"/>
              </w:rPr>
            </w:pPr>
            <w:r w:rsidRPr="00877067">
              <w:rPr>
                <w:lang w:eastAsia="ar-SA"/>
              </w:rPr>
              <w:t>Not Specified</w:t>
            </w:r>
          </w:p>
        </w:tc>
      </w:tr>
      <w:tr w:rsidR="00C00DEB" w:rsidRPr="00877067" w14:paraId="02290D46" w14:textId="77777777" w:rsidTr="009108C9">
        <w:tc>
          <w:tcPr>
            <w:tcW w:w="3119" w:type="dxa"/>
            <w:gridSpan w:val="2"/>
            <w:tcBorders>
              <w:top w:val="single" w:sz="4" w:space="0" w:color="auto"/>
              <w:bottom w:val="single" w:sz="12" w:space="0" w:color="auto"/>
              <w:right w:val="single" w:sz="4" w:space="0" w:color="auto"/>
            </w:tcBorders>
            <w:shd w:val="clear" w:color="auto" w:fill="auto"/>
          </w:tcPr>
          <w:p w14:paraId="5AC078FF" w14:textId="77777777" w:rsidR="00C00DEB" w:rsidRPr="00877067" w:rsidRDefault="00C00DEB" w:rsidP="009108C9">
            <w:pPr>
              <w:spacing w:before="40" w:after="120"/>
              <w:ind w:right="113"/>
              <w:rPr>
                <w:lang w:eastAsia="ar-SA"/>
              </w:rPr>
            </w:pPr>
            <w:r w:rsidRPr="00877067">
              <w:rPr>
                <w:lang w:eastAsia="ar-SA"/>
              </w:rPr>
              <w:t>Total Visible Volume</w:t>
            </w:r>
          </w:p>
        </w:tc>
        <w:tc>
          <w:tcPr>
            <w:tcW w:w="1417" w:type="dxa"/>
            <w:tcBorders>
              <w:top w:val="single" w:sz="4" w:space="0" w:color="auto"/>
              <w:left w:val="single" w:sz="4" w:space="0" w:color="auto"/>
              <w:bottom w:val="single" w:sz="12" w:space="0" w:color="auto"/>
            </w:tcBorders>
            <w:shd w:val="clear" w:color="auto" w:fill="auto"/>
          </w:tcPr>
          <w:p w14:paraId="24EEA40F" w14:textId="77777777" w:rsidR="00C00DEB" w:rsidRPr="00877067" w:rsidRDefault="00C00DEB" w:rsidP="009108C9">
            <w:pPr>
              <w:spacing w:before="40" w:after="120"/>
              <w:jc w:val="center"/>
              <w:rPr>
                <w:lang w:eastAsia="ar-SA"/>
              </w:rPr>
            </w:pPr>
            <w:r w:rsidRPr="00877067">
              <w:rPr>
                <w:lang w:eastAsia="ar-SA"/>
              </w:rPr>
              <w:t>11.2</w:t>
            </w:r>
          </w:p>
        </w:tc>
        <w:tc>
          <w:tcPr>
            <w:tcW w:w="992" w:type="dxa"/>
            <w:tcBorders>
              <w:left w:val="single" w:sz="4" w:space="0" w:color="auto"/>
              <w:bottom w:val="single" w:sz="12" w:space="0" w:color="auto"/>
            </w:tcBorders>
          </w:tcPr>
          <w:p w14:paraId="7218899F" w14:textId="77777777" w:rsidR="00C00DEB" w:rsidRPr="00877067" w:rsidRDefault="00C00DEB" w:rsidP="009108C9">
            <w:pPr>
              <w:spacing w:before="40" w:after="120"/>
              <w:ind w:right="-5"/>
              <w:jc w:val="center"/>
              <w:rPr>
                <w:lang w:eastAsia="ar-SA"/>
              </w:rPr>
            </w:pP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2647F1D" w14:textId="77777777" w:rsidR="00C00DEB" w:rsidRPr="00877067" w:rsidRDefault="00C00DEB" w:rsidP="009108C9">
            <w:pPr>
              <w:spacing w:before="40" w:after="120"/>
              <w:ind w:right="-5"/>
              <w:jc w:val="center"/>
              <w:rPr>
                <w:lang w:eastAsia="ar-SA"/>
              </w:rPr>
            </w:pPr>
            <w:r w:rsidRPr="00877067">
              <w:rPr>
                <w:lang w:eastAsia="ar-SA"/>
              </w:rPr>
              <w:t>8.0</w:t>
            </w:r>
          </w:p>
        </w:tc>
        <w:tc>
          <w:tcPr>
            <w:tcW w:w="1422" w:type="dxa"/>
            <w:tcBorders>
              <w:top w:val="single" w:sz="4" w:space="0" w:color="auto"/>
              <w:left w:val="single" w:sz="4" w:space="0" w:color="auto"/>
              <w:bottom w:val="single" w:sz="12" w:space="0" w:color="auto"/>
            </w:tcBorders>
            <w:shd w:val="clear" w:color="auto" w:fill="auto"/>
          </w:tcPr>
          <w:p w14:paraId="546D5A2B" w14:textId="77777777" w:rsidR="00C00DEB" w:rsidRPr="00877067" w:rsidRDefault="00C00DEB" w:rsidP="009108C9">
            <w:pPr>
              <w:spacing w:before="40" w:after="120"/>
              <w:ind w:right="2"/>
              <w:jc w:val="center"/>
              <w:rPr>
                <w:lang w:eastAsia="ar-SA"/>
              </w:rPr>
            </w:pPr>
            <w:r w:rsidRPr="00877067">
              <w:rPr>
                <w:lang w:eastAsia="ar-SA"/>
              </w:rPr>
              <w:t>7.0</w:t>
            </w:r>
          </w:p>
        </w:tc>
      </w:tr>
    </w:tbl>
    <w:p w14:paraId="7BEEEE3F" w14:textId="2EBFACEB" w:rsidR="00C00DEB" w:rsidRDefault="002B6BA7" w:rsidP="00C00DEB">
      <w:pPr>
        <w:ind w:firstLine="708"/>
      </w:pPr>
      <w:r>
        <w:t>"</w:t>
      </w:r>
    </w:p>
    <w:p w14:paraId="0F2690C5" w14:textId="36A5E3F3" w:rsidR="00C00DEB" w:rsidRPr="00956DB7" w:rsidRDefault="009A718E" w:rsidP="00C00DEB">
      <w:pPr>
        <w:spacing w:before="120" w:after="120"/>
        <w:ind w:left="1138" w:right="994"/>
        <w:rPr>
          <w:i/>
          <w:iCs/>
        </w:rPr>
      </w:pPr>
      <w:r>
        <w:rPr>
          <w:i/>
          <w:iCs/>
        </w:rPr>
        <w:t>P</w:t>
      </w:r>
      <w:r w:rsidR="00C00DEB" w:rsidRPr="00956DB7">
        <w:rPr>
          <w:i/>
          <w:iCs/>
        </w:rPr>
        <w:t>aragraph 5.2.2.2.,</w:t>
      </w:r>
      <w:r w:rsidR="006C5918">
        <w:rPr>
          <w:i/>
          <w:iCs/>
        </w:rPr>
        <w:t xml:space="preserve"> </w:t>
      </w:r>
      <w:r w:rsidRPr="006C5918">
        <w:t>amend to read</w:t>
      </w:r>
      <w:r w:rsidR="00C00DEB" w:rsidRPr="006C5918">
        <w:t>:</w:t>
      </w:r>
    </w:p>
    <w:p w14:paraId="0CA5CED5" w14:textId="26E1B56E" w:rsidR="00C00DEB" w:rsidRPr="00956DB7" w:rsidRDefault="002B6BA7" w:rsidP="00C00DEB">
      <w:pPr>
        <w:pStyle w:val="SingleTxtG"/>
        <w:ind w:left="2268" w:hanging="1134"/>
        <w:rPr>
          <w:strike/>
          <w:lang w:val="en-US"/>
        </w:rPr>
      </w:pPr>
      <w:r>
        <w:rPr>
          <w:lang w:val="en-US"/>
        </w:rPr>
        <w:t>"</w:t>
      </w:r>
      <w:r w:rsidR="00C00DEB" w:rsidRPr="00956DB7">
        <w:rPr>
          <w:lang w:val="en-US"/>
        </w:rPr>
        <w:t>5.2.2.2.</w:t>
      </w:r>
      <w:r w:rsidR="006C5918">
        <w:rPr>
          <w:lang w:val="en-US"/>
        </w:rPr>
        <w:tab/>
      </w:r>
      <w:proofErr w:type="gramStart"/>
      <w:r w:rsidR="00C00DEB" w:rsidRPr="00956DB7">
        <w:rPr>
          <w:lang w:val="en-US"/>
        </w:rPr>
        <w:t>High capacity</w:t>
      </w:r>
      <w:proofErr w:type="gramEnd"/>
      <w:r w:rsidR="00C00DEB" w:rsidRPr="00956DB7">
        <w:rPr>
          <w:lang w:val="en-US"/>
        </w:rPr>
        <w:t xml:space="preserve"> vehicles and vehicles with competing objectives</w:t>
      </w:r>
    </w:p>
    <w:p w14:paraId="4FFC87D0" w14:textId="77777777" w:rsidR="00C00DEB" w:rsidRPr="00956DB7" w:rsidRDefault="00C00DEB" w:rsidP="00C00DEB">
      <w:pPr>
        <w:pStyle w:val="SingleTxtG"/>
        <w:ind w:left="2268"/>
        <w:rPr>
          <w:lang w:val="en-US" w:eastAsia="en-GB"/>
        </w:rPr>
      </w:pPr>
      <w:r w:rsidRPr="00956DB7">
        <w:rPr>
          <w:lang w:val="en-US"/>
        </w:rPr>
        <w:t>N</w:t>
      </w:r>
      <w:r w:rsidRPr="00956DB7">
        <w:rPr>
          <w:vertAlign w:val="subscript"/>
          <w:lang w:val="en-US"/>
        </w:rPr>
        <w:t>3</w:t>
      </w:r>
      <w:r w:rsidRPr="00956DB7">
        <w:rPr>
          <w:lang w:val="en-US"/>
        </w:rPr>
        <w:t xml:space="preserve"> vehicles in Level 3 meeting the design and construction criteria as follows:</w:t>
      </w:r>
    </w:p>
    <w:p w14:paraId="25F30683" w14:textId="77777777" w:rsidR="00C00DEB" w:rsidRPr="00956DB7" w:rsidRDefault="00C00DEB" w:rsidP="00C00DEB">
      <w:pPr>
        <w:pStyle w:val="SingleTxtG"/>
        <w:numPr>
          <w:ilvl w:val="0"/>
          <w:numId w:val="20"/>
        </w:numPr>
        <w:rPr>
          <w:lang w:val="en-US"/>
        </w:rPr>
      </w:pPr>
      <w:r w:rsidRPr="00956DB7">
        <w:rPr>
          <w:lang w:val="en-US"/>
        </w:rPr>
        <w:t xml:space="preserve">equipped with a coupling device, </w:t>
      </w:r>
      <w:proofErr w:type="gramStart"/>
      <w:r w:rsidRPr="00956DB7">
        <w:rPr>
          <w:lang w:val="en-US"/>
        </w:rPr>
        <w:t>and;</w:t>
      </w:r>
      <w:proofErr w:type="gramEnd"/>
    </w:p>
    <w:p w14:paraId="774DA228" w14:textId="77777777" w:rsidR="00C00DEB" w:rsidRPr="00956DB7" w:rsidRDefault="00C00DEB" w:rsidP="00C00DEB">
      <w:pPr>
        <w:pStyle w:val="SingleTxtG"/>
        <w:numPr>
          <w:ilvl w:val="0"/>
          <w:numId w:val="20"/>
        </w:numPr>
        <w:rPr>
          <w:lang w:val="en-US"/>
        </w:rPr>
      </w:pPr>
      <w:r w:rsidRPr="00956DB7">
        <w:rPr>
          <w:lang w:val="en-US"/>
        </w:rPr>
        <w:t xml:space="preserve">having 3 axles or more, </w:t>
      </w:r>
      <w:proofErr w:type="gramStart"/>
      <w:r w:rsidRPr="00956DB7">
        <w:rPr>
          <w:lang w:val="en-US"/>
        </w:rPr>
        <w:t>and;</w:t>
      </w:r>
      <w:proofErr w:type="gramEnd"/>
    </w:p>
    <w:p w14:paraId="7852DF2D" w14:textId="77777777" w:rsidR="00C00DEB" w:rsidRPr="00956DB7" w:rsidRDefault="00C00DEB" w:rsidP="00C00DEB">
      <w:pPr>
        <w:pStyle w:val="SingleTxtG"/>
        <w:numPr>
          <w:ilvl w:val="0"/>
          <w:numId w:val="20"/>
        </w:numPr>
        <w:rPr>
          <w:lang w:val="en-US"/>
        </w:rPr>
      </w:pPr>
      <w:r w:rsidRPr="00956DB7">
        <w:rPr>
          <w:lang w:val="en-US" w:eastAsia="ja-JP"/>
        </w:rPr>
        <w:t xml:space="preserve">with a maximum engine power of 320 kW or more, </w:t>
      </w:r>
      <w:proofErr w:type="gramStart"/>
      <w:r w:rsidRPr="00956DB7">
        <w:rPr>
          <w:lang w:val="en-US" w:eastAsia="ja-JP"/>
        </w:rPr>
        <w:t>and;</w:t>
      </w:r>
      <w:proofErr w:type="gramEnd"/>
    </w:p>
    <w:p w14:paraId="37EC4A3A" w14:textId="03A2CFA6" w:rsidR="009C40D1" w:rsidRDefault="00C00DEB" w:rsidP="009C40D1">
      <w:pPr>
        <w:pStyle w:val="SingleTxtG"/>
        <w:numPr>
          <w:ilvl w:val="0"/>
          <w:numId w:val="20"/>
        </w:numPr>
      </w:pPr>
      <w:r w:rsidRPr="006C5918">
        <w:rPr>
          <w:lang w:val="en-US" w:eastAsia="ja-JP"/>
        </w:rPr>
        <w:lastRenderedPageBreak/>
        <w:t xml:space="preserve">designed with a permissible maximum gross combination weight (GCW) mass exceeding 60 tons, </w:t>
      </w:r>
      <w:r w:rsidRPr="006C5918">
        <w:t>do not need to meet the required Front Visible Volume and Subsection Frontal Visible Volume.</w:t>
      </w:r>
      <w:r w:rsidR="002B6BA7">
        <w:t>"</w:t>
      </w:r>
    </w:p>
    <w:p w14:paraId="72196021" w14:textId="40ACA950" w:rsidR="009C40D1" w:rsidRPr="009C40D1" w:rsidRDefault="009C40D1" w:rsidP="009C40D1">
      <w:pPr>
        <w:ind w:left="1134"/>
      </w:pPr>
      <w:r w:rsidRPr="00DD286F">
        <w:rPr>
          <w:i/>
          <w:iCs/>
        </w:rPr>
        <w:t>Insert new paragraph</w:t>
      </w:r>
      <w:r>
        <w:rPr>
          <w:i/>
          <w:iCs/>
        </w:rPr>
        <w:t>s</w:t>
      </w:r>
      <w:r w:rsidRPr="00DD286F">
        <w:rPr>
          <w:i/>
          <w:iCs/>
        </w:rPr>
        <w:t xml:space="preserve"> 5.4</w:t>
      </w:r>
      <w:r w:rsidRPr="009C40D1">
        <w:t>.</w:t>
      </w:r>
      <w:r>
        <w:t xml:space="preserve"> </w:t>
      </w:r>
      <w:r w:rsidRPr="005F4D87">
        <w:rPr>
          <w:i/>
          <w:iCs/>
        </w:rPr>
        <w:t>to 5.</w:t>
      </w:r>
      <w:r w:rsidR="005F4D87" w:rsidRPr="005F4D87">
        <w:rPr>
          <w:i/>
          <w:iCs/>
        </w:rPr>
        <w:t>4.2.</w:t>
      </w:r>
      <w:r w:rsidRPr="005F4D87">
        <w:rPr>
          <w:i/>
          <w:iCs/>
        </w:rPr>
        <w:t>,</w:t>
      </w:r>
      <w:r w:rsidRPr="009C40D1">
        <w:t xml:space="preserve"> to read:</w:t>
      </w:r>
    </w:p>
    <w:p w14:paraId="5289C8D3" w14:textId="0B8CA9D9" w:rsidR="009C40D1" w:rsidRPr="00877067" w:rsidRDefault="002B6BA7" w:rsidP="006E1228">
      <w:pPr>
        <w:spacing w:before="120" w:after="120"/>
        <w:ind w:left="2121" w:right="1134" w:hanging="981"/>
        <w:jc w:val="lowKashida"/>
      </w:pPr>
      <w:r w:rsidRPr="00877067">
        <w:t>"</w:t>
      </w:r>
      <w:r w:rsidR="009C40D1" w:rsidRPr="00877067">
        <w:t>5.4</w:t>
      </w:r>
      <w:r w:rsidR="009C40D1" w:rsidRPr="00877067">
        <w:tab/>
        <w:t xml:space="preserve">The IAPD shall be </w:t>
      </w:r>
      <w:proofErr w:type="gramStart"/>
      <w:r w:rsidR="009C40D1" w:rsidRPr="00877067">
        <w:t>measured</w:t>
      </w:r>
      <w:proofErr w:type="gramEnd"/>
      <w:r w:rsidR="009C40D1" w:rsidRPr="00877067">
        <w:t xml:space="preserve"> and the frontal volume calculated using the appropriate IAPD equation for the vehicle level being assessed:</w:t>
      </w:r>
    </w:p>
    <w:p w14:paraId="536BCDC1" w14:textId="763C3724" w:rsidR="009C40D1" w:rsidRPr="00877067" w:rsidRDefault="009C40D1" w:rsidP="005F4D87">
      <w:pPr>
        <w:spacing w:before="120" w:after="120"/>
        <w:ind w:left="2121" w:hanging="981"/>
      </w:pPr>
      <w:r w:rsidRPr="00877067">
        <w:t>5.4.1</w:t>
      </w:r>
      <w:r w:rsidRPr="00877067">
        <w:tab/>
        <w:t>For Level 1 vehicles the SFVV is 26.1 per cent of the result calculated; and</w:t>
      </w:r>
    </w:p>
    <w:p w14:paraId="7EF08BCC" w14:textId="31CC7438" w:rsidR="009C40D1" w:rsidRPr="00877067" w:rsidRDefault="009C40D1" w:rsidP="005F4D87">
      <w:pPr>
        <w:spacing w:before="120" w:after="120"/>
        <w:ind w:left="2121" w:hanging="981"/>
      </w:pPr>
      <w:r w:rsidRPr="00877067">
        <w:t>5.4.2</w:t>
      </w:r>
      <w:r w:rsidRPr="00877067">
        <w:tab/>
        <w:t>For Level 2 and 3 vehicles the SFVV is 16.3 per cent of the result calculated.</w:t>
      </w:r>
      <w:r w:rsidR="002B6BA7" w:rsidRPr="00877067">
        <w:t>"</w:t>
      </w:r>
    </w:p>
    <w:p w14:paraId="6D301189" w14:textId="79A41B63" w:rsidR="009C40D1" w:rsidRPr="00464807" w:rsidRDefault="009C40D1" w:rsidP="00464807">
      <w:pPr>
        <w:spacing w:before="120" w:after="120"/>
        <w:ind w:left="1138" w:right="994"/>
      </w:pPr>
      <w:r w:rsidRPr="00956DB7">
        <w:rPr>
          <w:i/>
          <w:iCs/>
        </w:rPr>
        <w:t>Insert new paragraphs 12 to 12.</w:t>
      </w:r>
      <w:r>
        <w:rPr>
          <w:i/>
          <w:iCs/>
        </w:rPr>
        <w:t>5</w:t>
      </w:r>
      <w:r w:rsidRPr="00956DB7">
        <w:rPr>
          <w:i/>
          <w:iCs/>
        </w:rPr>
        <w:t>.,</w:t>
      </w:r>
      <w:r w:rsidRPr="00464807">
        <w:t xml:space="preserve"> to read:</w:t>
      </w:r>
    </w:p>
    <w:p w14:paraId="681D9B7E" w14:textId="2C7021AF" w:rsidR="009C40D1" w:rsidRPr="00B12DA7" w:rsidRDefault="009C40D1" w:rsidP="00464807">
      <w:pPr>
        <w:pStyle w:val="HChG"/>
        <w:spacing w:before="120" w:after="120"/>
        <w:rPr>
          <w:b w:val="0"/>
          <w:bCs/>
          <w:sz w:val="20"/>
          <w:lang w:val="en-US"/>
        </w:rPr>
      </w:pPr>
      <w:bookmarkStart w:id="2" w:name="_Toc441498661"/>
      <w:bookmarkStart w:id="3" w:name="_Toc441498799"/>
      <w:r w:rsidRPr="00956DB7">
        <w:rPr>
          <w:lang w:val="en-US"/>
        </w:rPr>
        <w:tab/>
      </w:r>
      <w:r w:rsidRPr="00956DB7">
        <w:rPr>
          <w:lang w:val="en-US"/>
        </w:rPr>
        <w:tab/>
      </w:r>
      <w:r w:rsidR="002B6BA7" w:rsidRPr="00B12DA7">
        <w:rPr>
          <w:b w:val="0"/>
          <w:bCs/>
          <w:sz w:val="20"/>
          <w:lang w:val="en-US"/>
        </w:rPr>
        <w:t>"</w:t>
      </w:r>
      <w:r w:rsidRPr="00B12DA7">
        <w:rPr>
          <w:b w:val="0"/>
          <w:bCs/>
          <w:sz w:val="20"/>
          <w:lang w:val="en-US"/>
        </w:rPr>
        <w:t>12.</w:t>
      </w:r>
      <w:r w:rsidRPr="00B12DA7">
        <w:rPr>
          <w:b w:val="0"/>
          <w:bCs/>
          <w:sz w:val="20"/>
          <w:lang w:val="en-US"/>
        </w:rPr>
        <w:tab/>
      </w:r>
      <w:bookmarkEnd w:id="2"/>
      <w:bookmarkEnd w:id="3"/>
      <w:r w:rsidRPr="00B12DA7">
        <w:rPr>
          <w:b w:val="0"/>
          <w:bCs/>
          <w:sz w:val="20"/>
          <w:lang w:val="en-US"/>
        </w:rPr>
        <w:t>Transitional Provisions</w:t>
      </w:r>
    </w:p>
    <w:p w14:paraId="52E3322C" w14:textId="77777777" w:rsidR="009C40D1" w:rsidRPr="00B12DA7" w:rsidRDefault="009C40D1" w:rsidP="009C40D1">
      <w:pPr>
        <w:pStyle w:val="SingleTxtG"/>
        <w:ind w:left="2250" w:hanging="1116"/>
        <w:rPr>
          <w:bCs/>
        </w:rPr>
      </w:pPr>
      <w:r w:rsidRPr="00B12DA7">
        <w:rPr>
          <w:bCs/>
        </w:rPr>
        <w:t xml:space="preserve">12.1. </w:t>
      </w:r>
      <w:r w:rsidRPr="00B12DA7">
        <w:rPr>
          <w:bCs/>
        </w:rPr>
        <w:tab/>
        <w:t>As from the official date of entry into force of the 01 series of amendments, no Contracting Party applying this Regulation shall refuse to grant or refuse to accept type-approvals under this Regulation as amended by the 01 series of amendments.</w:t>
      </w:r>
    </w:p>
    <w:p w14:paraId="7108B66C" w14:textId="77777777" w:rsidR="009C40D1" w:rsidRPr="00B12DA7" w:rsidRDefault="009C40D1" w:rsidP="009C40D1">
      <w:pPr>
        <w:pStyle w:val="SingleTxtG"/>
        <w:ind w:left="2250" w:hanging="1116"/>
        <w:rPr>
          <w:bCs/>
        </w:rPr>
      </w:pPr>
      <w:r w:rsidRPr="00B12DA7">
        <w:rPr>
          <w:bCs/>
        </w:rPr>
        <w:t>12.2.</w:t>
      </w:r>
      <w:r w:rsidRPr="00B12DA7">
        <w:rPr>
          <w:bCs/>
        </w:rPr>
        <w:tab/>
        <w:t>As from 1 September 2031, Contracting Parties applying this Regulation shall not be obliged to accept type-approvals to the preceding series of amendments, first issued after 1 September 2031.</w:t>
      </w:r>
    </w:p>
    <w:p w14:paraId="764B3169" w14:textId="77777777" w:rsidR="009C40D1" w:rsidRPr="00B12DA7" w:rsidRDefault="009C40D1" w:rsidP="009C40D1">
      <w:pPr>
        <w:pStyle w:val="SingleTxtG"/>
        <w:ind w:left="2250" w:hanging="1116"/>
        <w:rPr>
          <w:bCs/>
        </w:rPr>
      </w:pPr>
      <w:r w:rsidRPr="00B12DA7">
        <w:rPr>
          <w:bCs/>
        </w:rPr>
        <w:t xml:space="preserve">12.3. </w:t>
      </w:r>
      <w:r w:rsidRPr="00B12DA7">
        <w:rPr>
          <w:bCs/>
        </w:rPr>
        <w:tab/>
        <w:t>Until 1 September 2036, Contracting Parties applying this Regulation shall accept type-approvals to the preceding series of amendments, first issued before 1 September 2031.</w:t>
      </w:r>
    </w:p>
    <w:p w14:paraId="3DB383CD" w14:textId="0CD82E54" w:rsidR="009C40D1" w:rsidRPr="00B12DA7" w:rsidRDefault="009C40D1" w:rsidP="009C40D1">
      <w:pPr>
        <w:pStyle w:val="SingleTxtG"/>
        <w:ind w:left="2250" w:hanging="1116"/>
        <w:rPr>
          <w:bCs/>
        </w:rPr>
      </w:pPr>
      <w:r w:rsidRPr="00B12DA7">
        <w:rPr>
          <w:bCs/>
        </w:rPr>
        <w:t xml:space="preserve">12.4. </w:t>
      </w:r>
      <w:r w:rsidRPr="00B12DA7">
        <w:rPr>
          <w:bCs/>
        </w:rPr>
        <w:tab/>
        <w:t>As from 1 September 2036, Contracting Parties applying this Regulation shall not be obliged to accept type-approvals issued to the preceding series of amendments to this Regulation.</w:t>
      </w:r>
    </w:p>
    <w:p w14:paraId="2AD436A7" w14:textId="173B9995" w:rsidR="009C40D1" w:rsidRPr="00B12DA7" w:rsidRDefault="009C40D1" w:rsidP="009C40D1">
      <w:pPr>
        <w:pStyle w:val="SingleTxtG"/>
        <w:ind w:left="2250" w:hanging="1116"/>
        <w:rPr>
          <w:bCs/>
        </w:rPr>
      </w:pPr>
      <w:r w:rsidRPr="00B12DA7">
        <w:rPr>
          <w:bCs/>
        </w:rPr>
        <w:t xml:space="preserve">12.5. </w:t>
      </w:r>
      <w:r w:rsidRPr="00B12DA7">
        <w:rPr>
          <w:bCs/>
        </w:rPr>
        <w:tab/>
        <w:t>Notwithstanding paragraphs 12.2. and 12.4., Contracting Parties applying this Regulation shall continue to accept type approvals issued according to the original version of this Regulation, for vehicles which are not affected by the changes introduced by the 01 Series of amendments.</w:t>
      </w:r>
      <w:r w:rsidR="002B6BA7" w:rsidRPr="00B12DA7">
        <w:rPr>
          <w:bCs/>
        </w:rPr>
        <w:t>"</w:t>
      </w:r>
    </w:p>
    <w:p w14:paraId="117356C7" w14:textId="77777777" w:rsidR="00EB36B7" w:rsidRPr="00196902" w:rsidRDefault="00EB36B7" w:rsidP="00EB36B7">
      <w:pPr>
        <w:pStyle w:val="SingleTxtG"/>
        <w:spacing w:before="120"/>
        <w:ind w:left="1138" w:right="1138"/>
      </w:pPr>
      <w:r w:rsidRPr="00196902">
        <w:rPr>
          <w:i/>
          <w:iCs/>
        </w:rPr>
        <w:t>Annex 3,</w:t>
      </w:r>
      <w:r w:rsidRPr="00196902">
        <w:t xml:space="preserve"> amend to read:</w:t>
      </w:r>
    </w:p>
    <w:p w14:paraId="10D4D6E1" w14:textId="0E7F79CB" w:rsidR="00EB36B7" w:rsidRPr="00196902" w:rsidRDefault="002B6BA7" w:rsidP="00EB36B7">
      <w:pPr>
        <w:keepNext/>
        <w:keepLines/>
        <w:spacing w:before="360" w:after="240" w:line="300" w:lineRule="exact"/>
        <w:ind w:left="1134" w:right="1134" w:hanging="1134"/>
        <w:rPr>
          <w:b/>
          <w:sz w:val="28"/>
        </w:rPr>
      </w:pPr>
      <w:bookmarkStart w:id="4" w:name="_Toc354410601"/>
      <w:r>
        <w:rPr>
          <w:b/>
          <w:sz w:val="28"/>
        </w:rPr>
        <w:t>"</w:t>
      </w:r>
      <w:r w:rsidR="00EB36B7" w:rsidRPr="00196902">
        <w:rPr>
          <w:b/>
          <w:sz w:val="28"/>
        </w:rPr>
        <w:t xml:space="preserve">Annex </w:t>
      </w:r>
      <w:bookmarkEnd w:id="4"/>
      <w:r w:rsidR="00EB36B7" w:rsidRPr="00196902">
        <w:rPr>
          <w:b/>
          <w:sz w:val="28"/>
        </w:rPr>
        <w:t>3</w:t>
      </w:r>
    </w:p>
    <w:p w14:paraId="50442D42" w14:textId="77777777" w:rsidR="00EB36B7" w:rsidRPr="00196902" w:rsidRDefault="00EB36B7" w:rsidP="00EB36B7">
      <w:pPr>
        <w:pStyle w:val="HChG"/>
        <w:ind w:firstLine="0"/>
        <w:rPr>
          <w:b w:val="0"/>
          <w:bCs/>
        </w:rPr>
      </w:pPr>
      <w:bookmarkStart w:id="5" w:name="_Toc108926533"/>
      <w:bookmarkStart w:id="6" w:name="_Toc354410602"/>
      <w:r w:rsidRPr="00196902">
        <w:tab/>
        <w:t>Arrangements of Approval Marks</w:t>
      </w:r>
      <w:bookmarkEnd w:id="5"/>
      <w:bookmarkEnd w:id="6"/>
    </w:p>
    <w:p w14:paraId="62892DAB" w14:textId="77777777" w:rsidR="00EB36B7" w:rsidRPr="00196902" w:rsidRDefault="00EB36B7" w:rsidP="00EB36B7">
      <w:pPr>
        <w:spacing w:after="120"/>
        <w:ind w:left="1134" w:right="1134"/>
        <w:jc w:val="both"/>
      </w:pPr>
      <w:r w:rsidRPr="00196902">
        <w:t>(</w:t>
      </w:r>
      <w:proofErr w:type="gramStart"/>
      <w:r w:rsidRPr="00196902">
        <w:t>see</w:t>
      </w:r>
      <w:proofErr w:type="gramEnd"/>
      <w:r w:rsidRPr="00196902">
        <w:t xml:space="preserve"> paragraphs 4.5. of this Regulation)</w:t>
      </w:r>
    </w:p>
    <w:p w14:paraId="43A9DA27" w14:textId="77777777" w:rsidR="00EB36B7" w:rsidRPr="00196902" w:rsidRDefault="00EB36B7" w:rsidP="00EB36B7">
      <w:pPr>
        <w:spacing w:after="120"/>
        <w:ind w:left="1134" w:right="1134"/>
        <w:jc w:val="both"/>
      </w:pPr>
      <w:r w:rsidRPr="00196902">
        <w:rPr>
          <w:noProof/>
        </w:rPr>
        <mc:AlternateContent>
          <mc:Choice Requires="wpg">
            <w:drawing>
              <wp:anchor distT="0" distB="0" distL="114300" distR="114300" simplePos="0" relativeHeight="251659264" behindDoc="0" locked="0" layoutInCell="1" allowOverlap="1" wp14:anchorId="21180267" wp14:editId="3120FFE3">
                <wp:simplePos x="0" y="0"/>
                <wp:positionH relativeFrom="column">
                  <wp:posOffset>2175510</wp:posOffset>
                </wp:positionH>
                <wp:positionV relativeFrom="paragraph">
                  <wp:posOffset>311785</wp:posOffset>
                </wp:positionV>
                <wp:extent cx="1872615" cy="491490"/>
                <wp:effectExtent l="0" t="0" r="0" b="3810"/>
                <wp:wrapNone/>
                <wp:docPr id="91" name="Group 91"/>
                <wp:cNvGraphicFramePr/>
                <a:graphic xmlns:a="http://schemas.openxmlformats.org/drawingml/2006/main">
                  <a:graphicData uri="http://schemas.microsoft.com/office/word/2010/wordprocessingGroup">
                    <wpg:wgp>
                      <wpg:cNvGrpSpPr/>
                      <wpg:grpSpPr bwMode="auto">
                        <a:xfrm>
                          <a:off x="0" y="0"/>
                          <a:ext cx="1872615" cy="491490"/>
                          <a:chOff x="0" y="0"/>
                          <a:chExt cx="2949" cy="774"/>
                        </a:xfrm>
                      </wpg:grpSpPr>
                      <wpg:grpSp>
                        <wpg:cNvPr id="904" name="Group 904"/>
                        <wpg:cNvGrpSpPr>
                          <a:grpSpLocks/>
                        </wpg:cNvGrpSpPr>
                        <wpg:grpSpPr bwMode="auto">
                          <a:xfrm>
                            <a:off x="609" y="0"/>
                            <a:ext cx="2340" cy="774"/>
                            <a:chOff x="609" y="0"/>
                            <a:chExt cx="2340" cy="774"/>
                          </a:xfrm>
                        </wpg:grpSpPr>
                        <wps:wsp>
                          <wps:cNvPr id="906" name="Text Box 20"/>
                          <wps:cNvSpPr txBox="1">
                            <a:spLocks noChangeArrowheads="1"/>
                          </wps:cNvSpPr>
                          <wps:spPr bwMode="auto">
                            <a:xfrm>
                              <a:off x="2002" y="474"/>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966869" w14:textId="77777777" w:rsidR="00EB36B7" w:rsidRDefault="00EB36B7" w:rsidP="00EB36B7"/>
                            </w:txbxContent>
                          </wps:txbx>
                          <wps:bodyPr rot="0" vert="horz" wrap="square" lIns="91440" tIns="45720" rIns="91440" bIns="45720" anchor="t" anchorCtr="0" upright="1">
                            <a:noAutofit/>
                          </wps:bodyPr>
                        </wps:wsp>
                        <wps:wsp>
                          <wps:cNvPr id="907" name="Text Box 21"/>
                          <wps:cNvSpPr txBox="1">
                            <a:spLocks noChangeArrowheads="1"/>
                          </wps:cNvSpPr>
                          <wps:spPr bwMode="auto">
                            <a:xfrm>
                              <a:off x="609" y="0"/>
                              <a:ext cx="23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A0512" w14:textId="77777777" w:rsidR="00EB36B7" w:rsidRDefault="00EB36B7" w:rsidP="00EB36B7">
                                <w:pPr>
                                  <w:rPr>
                                    <w:sz w:val="32"/>
                                  </w:rPr>
                                </w:pPr>
                                <w:r>
                                  <w:rPr>
                                    <w:sz w:val="32"/>
                                  </w:rPr>
                                  <w:t>167R - 01185</w:t>
                                </w:r>
                              </w:p>
                            </w:txbxContent>
                          </wps:txbx>
                          <wps:bodyPr rot="0" vert="horz" wrap="square" lIns="91440" tIns="45720" rIns="91440" bIns="45720" anchor="t" anchorCtr="0" upright="1">
                            <a:noAutofit/>
                          </wps:bodyPr>
                        </wps:wsp>
                      </wpg:grpSp>
                      <wps:wsp>
                        <wps:cNvPr id="905" name="Line 22"/>
                        <wps:cNvCnPr/>
                        <wps:spPr bwMode="auto">
                          <a:xfrm>
                            <a:off x="0" y="48"/>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180267" id="Group 91" o:spid="_x0000_s1026" style="position:absolute;left:0;text-align:left;margin-left:171.3pt;margin-top:24.55pt;width:147.45pt;height:38.7pt;z-index:251659264"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">
                <v:group id="Group 904" o:spid="_x0000_s1027" style="position:absolute;left:609;width:2340;height:774" coordorigin="609" coordsize="234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type id="_x0000_t202" coordsize="21600,21600" o:spt="202" path="m,l,21600r21600,l21600,xe">
                    <v:stroke joinstyle="miter"/>
                    <v:path gradientshapeok="t" o:connecttype="rect"/>
                  </v:shapetype>
                  <v:shape id="Text Box 20" o:spid="_x0000_s1028" type="#_x0000_t202" style="position:absolute;left:2002;top:474;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" filled="f" stroked="f">
                    <v:textbox>
                      <w:txbxContent>
                        <w:p w14:paraId="20966869" w14:textId="77777777" w:rsidR="00EB36B7" w:rsidRDefault="00EB36B7" w:rsidP="00EB36B7"/>
                      </w:txbxContent>
                    </v:textbox>
                  </v:shape>
                  <v:shape id="Text Box 21" o:spid="_x0000_s1029" type="#_x0000_t202" style="position:absolute;left:609;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" stroked="f">
                    <v:textbox>
                      <w:txbxContent>
                        <w:p w14:paraId="6AFA0512" w14:textId="77777777" w:rsidR="00EB36B7" w:rsidRDefault="00EB36B7" w:rsidP="00EB36B7">
                          <w:pPr>
                            <w:rPr>
                              <w:sz w:val="32"/>
                            </w:rPr>
                          </w:pPr>
                          <w:r>
                            <w:rPr>
                              <w:sz w:val="32"/>
                            </w:rPr>
                            <w:t>167R - 01185</w:t>
                          </w:r>
                        </w:p>
                      </w:txbxContent>
                    </v:textbox>
                  </v:shape>
                </v:group>
                <v:line id="Line 22" o:spid="_x0000_s1030" style="position:absolute;visibility:visible;mso-wrap-style:square" from="0,48" to="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"/>
              </v:group>
            </w:pict>
          </mc:Fallback>
        </mc:AlternateContent>
      </w:r>
      <w:r w:rsidRPr="00196902">
        <w:object w:dxaOrig="6300" w:dyaOrig="1335" w14:anchorId="6238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3pt;height:66.9pt" o:ole="">
            <v:imagedata r:id="rId12" o:title=""/>
          </v:shape>
          <o:OLEObject Type="Embed" ProgID="Word.Picture.8" ShapeID="_x0000_i1025" DrawAspect="Content" ObjectID="_1785822772" r:id="rId13"/>
        </w:object>
      </w:r>
    </w:p>
    <w:p w14:paraId="6622EC9F" w14:textId="77777777" w:rsidR="00EB36B7" w:rsidRPr="00196902" w:rsidRDefault="00EB36B7" w:rsidP="00EB36B7">
      <w:pPr>
        <w:spacing w:after="120"/>
        <w:ind w:left="1134" w:right="1134" w:firstLine="567"/>
      </w:pPr>
      <w:r w:rsidRPr="00196902">
        <w:t>a = 8 mm min</w:t>
      </w:r>
    </w:p>
    <w:p w14:paraId="64DC8386" w14:textId="77777777" w:rsidR="00EB36B7" w:rsidRPr="00B12DA7" w:rsidRDefault="00EB36B7" w:rsidP="00EB36B7">
      <w:pPr>
        <w:spacing w:after="120"/>
        <w:ind w:left="1134" w:right="1134" w:firstLine="567"/>
        <w:jc w:val="both"/>
      </w:pPr>
      <w:r w:rsidRPr="00B12DA7">
        <w:t xml:space="preserve">The above approval mark affixed to a vehicle shows that the vehicle type concerned has been approved in Belgium (E6) </w:t>
      </w:r>
      <w:proofErr w:type="gramStart"/>
      <w:r w:rsidRPr="00B12DA7">
        <w:t>with regard to</w:t>
      </w:r>
      <w:proofErr w:type="gramEnd"/>
      <w:r w:rsidRPr="00B12DA7">
        <w:t xml:space="preserve"> Direct Vision pursuant to UN Regulation No. 167. The first two digits of the approval number indicate that the approval was granted in accordance with the requirements of UN Regulation No. 167 </w:t>
      </w:r>
      <w:r w:rsidRPr="00B12DA7">
        <w:rPr>
          <w:lang w:eastAsia="en-GB"/>
        </w:rPr>
        <w:t>as amended by the 01 series of amendments</w:t>
      </w:r>
      <w:r w:rsidRPr="00B12DA7">
        <w:t>.</w:t>
      </w:r>
    </w:p>
    <w:p w14:paraId="7AAE9DDE" w14:textId="2898FFCA" w:rsidR="00EB36B7" w:rsidRPr="00B12DA7" w:rsidRDefault="00EB36B7" w:rsidP="00EB36B7">
      <w:pPr>
        <w:spacing w:after="120"/>
        <w:ind w:left="1134" w:right="1134"/>
        <w:jc w:val="both"/>
      </w:pPr>
      <w:r w:rsidRPr="00B12DA7">
        <w:t>…</w:t>
      </w:r>
      <w:r w:rsidR="002B6BA7" w:rsidRPr="00B12DA7">
        <w:t>"</w:t>
      </w:r>
    </w:p>
    <w:p w14:paraId="5B43F45D" w14:textId="77777777" w:rsidR="002B6BA7" w:rsidRDefault="002B6BA7">
      <w:pPr>
        <w:rPr>
          <w:i/>
          <w:iCs/>
          <w:color w:val="000000" w:themeColor="text1"/>
        </w:rPr>
      </w:pPr>
      <w:r>
        <w:rPr>
          <w:i/>
          <w:iCs/>
        </w:rPr>
        <w:br w:type="page"/>
      </w:r>
    </w:p>
    <w:p w14:paraId="17EB46F6" w14:textId="2EA3C186" w:rsidR="00EB36B7" w:rsidRPr="00196902" w:rsidRDefault="00EB36B7" w:rsidP="00EE5ED1">
      <w:pPr>
        <w:pStyle w:val="SingleTxtG"/>
        <w:ind w:left="1134"/>
      </w:pPr>
      <w:r w:rsidRPr="00196902">
        <w:rPr>
          <w:i/>
          <w:iCs/>
        </w:rPr>
        <w:lastRenderedPageBreak/>
        <w:t>Annex 4, Figure 1</w:t>
      </w:r>
      <w:r w:rsidRPr="00196902">
        <w:t xml:space="preserve">, amend to read: </w:t>
      </w:r>
    </w:p>
    <w:p w14:paraId="380E01D7" w14:textId="75441BCF" w:rsidR="00EB36B7" w:rsidRPr="00196902" w:rsidRDefault="002B6BA7" w:rsidP="00EB36B7">
      <w:pPr>
        <w:pStyle w:val="Caption"/>
        <w:ind w:left="1134"/>
        <w:rPr>
          <w:b w:val="0"/>
          <w:bCs w:val="0"/>
          <w:color w:val="auto"/>
          <w:sz w:val="22"/>
          <w:szCs w:val="22"/>
          <w:lang w:val="en-GB"/>
        </w:rPr>
      </w:pPr>
      <w:r>
        <w:rPr>
          <w:color w:val="auto"/>
          <w:lang w:val="en-GB"/>
        </w:rPr>
        <w:t>"</w:t>
      </w:r>
      <w:bookmarkStart w:id="7" w:name="_Ref76042231"/>
      <w:r w:rsidR="00EB36B7" w:rsidRPr="00196902">
        <w:rPr>
          <w:b w:val="0"/>
          <w:bCs w:val="0"/>
          <w:color w:val="auto"/>
          <w:sz w:val="20"/>
          <w:szCs w:val="20"/>
          <w:lang w:val="en-GB"/>
        </w:rPr>
        <w:t xml:space="preserve">Figure </w:t>
      </w:r>
      <w:bookmarkEnd w:id="7"/>
      <w:r w:rsidR="00EB36B7" w:rsidRPr="00196902">
        <w:rPr>
          <w:b w:val="0"/>
          <w:bCs w:val="0"/>
          <w:color w:val="auto"/>
          <w:sz w:val="20"/>
          <w:szCs w:val="20"/>
          <w:lang w:val="en-GB"/>
        </w:rPr>
        <w:t>1</w:t>
      </w:r>
      <w:r w:rsidR="00EB36B7" w:rsidRPr="00196902">
        <w:rPr>
          <w:color w:val="auto"/>
          <w:sz w:val="20"/>
          <w:szCs w:val="20"/>
          <w:lang w:val="en-GB"/>
        </w:rPr>
        <w:br/>
        <w:t>Definition of the Assessment Volume, Based on a Category N</w:t>
      </w:r>
      <w:r w:rsidR="00EB36B7" w:rsidRPr="00196902">
        <w:rPr>
          <w:color w:val="auto"/>
          <w:sz w:val="20"/>
          <w:szCs w:val="20"/>
          <w:vertAlign w:val="subscript"/>
          <w:lang w:val="en-GB"/>
        </w:rPr>
        <w:t>3</w:t>
      </w:r>
      <w:r w:rsidR="00EB36B7" w:rsidRPr="00196902">
        <w:rPr>
          <w:color w:val="auto"/>
          <w:sz w:val="20"/>
          <w:szCs w:val="20"/>
          <w:lang w:val="en-GB"/>
        </w:rPr>
        <w:t xml:space="preserve"> Vehicle as an Example</w:t>
      </w:r>
    </w:p>
    <w:p w14:paraId="441FA818" w14:textId="05D4F8E0" w:rsidR="00EB36B7" w:rsidRPr="00196902" w:rsidRDefault="00EB36B7" w:rsidP="00EB36B7">
      <w:pPr>
        <w:keepNext/>
        <w:keepLines/>
        <w:tabs>
          <w:tab w:val="right" w:pos="851"/>
          <w:tab w:val="left" w:pos="1134"/>
          <w:tab w:val="left" w:pos="1559"/>
          <w:tab w:val="left" w:pos="1984"/>
          <w:tab w:val="left" w:leader="dot" w:pos="8929"/>
          <w:tab w:val="right" w:pos="9638"/>
        </w:tabs>
        <w:spacing w:after="120"/>
        <w:ind w:left="709"/>
      </w:pPr>
      <w:r w:rsidRPr="00196902">
        <w:rPr>
          <w:noProof/>
        </w:rPr>
        <w:drawing>
          <wp:inline distT="0" distB="0" distL="0" distR="0" wp14:anchorId="5A057278" wp14:editId="79986A37">
            <wp:extent cx="3240042" cy="2697516"/>
            <wp:effectExtent l="0" t="0" r="0" b="7620"/>
            <wp:docPr id="1804352856" name="Picture 1" descr="Diagram of 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52856" name="Picture 1" descr="Diagram of a diagram of a diagram&#10;&#10;Description automatically generated"/>
                    <pic:cNvPicPr/>
                  </pic:nvPicPr>
                  <pic:blipFill>
                    <a:blip r:embed="rId14"/>
                    <a:stretch>
                      <a:fillRect/>
                    </a:stretch>
                  </pic:blipFill>
                  <pic:spPr>
                    <a:xfrm>
                      <a:off x="0" y="0"/>
                      <a:ext cx="3325343" cy="2768534"/>
                    </a:xfrm>
                    <a:prstGeom prst="rect">
                      <a:avLst/>
                    </a:prstGeom>
                  </pic:spPr>
                </pic:pic>
              </a:graphicData>
            </a:graphic>
          </wp:inline>
        </w:drawing>
      </w:r>
    </w:p>
    <w:p w14:paraId="0D807DEF" w14:textId="342C2BEA" w:rsidR="00EB36B7" w:rsidRPr="00196902" w:rsidRDefault="002B6BA7" w:rsidP="00EB36B7">
      <w:pPr>
        <w:ind w:left="1134"/>
      </w:pPr>
      <w:r>
        <w:t>"</w:t>
      </w:r>
    </w:p>
    <w:p w14:paraId="156BEBCE" w14:textId="77777777" w:rsidR="00EB36B7" w:rsidRPr="00196902" w:rsidRDefault="00EB36B7" w:rsidP="00EB36B7">
      <w:pPr>
        <w:ind w:left="1134"/>
        <w:rPr>
          <w:i/>
          <w:iCs/>
        </w:rPr>
      </w:pPr>
      <w:r w:rsidRPr="00196902">
        <w:rPr>
          <w:i/>
          <w:iCs/>
        </w:rPr>
        <w:t xml:space="preserve">Annex 7, </w:t>
      </w:r>
    </w:p>
    <w:p w14:paraId="6841F73B" w14:textId="77777777" w:rsidR="00EB36B7" w:rsidRPr="00196902" w:rsidRDefault="00EB36B7" w:rsidP="00EB36B7">
      <w:pPr>
        <w:spacing w:before="120" w:after="120"/>
        <w:ind w:left="1138"/>
      </w:pPr>
      <w:r w:rsidRPr="00196902">
        <w:rPr>
          <w:i/>
          <w:iCs/>
        </w:rPr>
        <w:t>Paragraph 5.1.,</w:t>
      </w:r>
      <w:r w:rsidRPr="00196902">
        <w:t xml:space="preserve"> amend to read:</w:t>
      </w:r>
    </w:p>
    <w:p w14:paraId="45B67184" w14:textId="7805B810" w:rsidR="00EB36B7" w:rsidRPr="00B12DA7" w:rsidRDefault="002B6BA7" w:rsidP="00EB36B7">
      <w:pPr>
        <w:pStyle w:val="SingleTxtG"/>
        <w:spacing w:before="120"/>
        <w:ind w:left="2340" w:right="1138" w:hanging="1202"/>
      </w:pPr>
      <w:r>
        <w:rPr>
          <w:i/>
          <w:iCs/>
        </w:rPr>
        <w:t>"</w:t>
      </w:r>
      <w:r w:rsidR="00EB36B7" w:rsidRPr="00196902">
        <w:t>5.1</w:t>
      </w:r>
      <w:r w:rsidR="00EB36B7" w:rsidRPr="00196902">
        <w:rPr>
          <w:i/>
          <w:iCs/>
        </w:rPr>
        <w:t xml:space="preserve">. </w:t>
      </w:r>
      <w:r w:rsidR="00EB36B7" w:rsidRPr="00196902">
        <w:rPr>
          <w:i/>
          <w:iCs/>
        </w:rPr>
        <w:tab/>
      </w:r>
      <w:r w:rsidR="00EB36B7" w:rsidRPr="00B12DA7">
        <w:t>Each of the views to the driver’s nearside, front, SFVV, and offside shall be constrained to only those volumes that are within the assessment zone (the visible volume to each side). The remaining volumes of space shall be designated as:</w:t>
      </w:r>
      <w:r w:rsidRPr="00B12DA7">
        <w:t>"</w:t>
      </w:r>
    </w:p>
    <w:p w14:paraId="032DC20E" w14:textId="77777777" w:rsidR="00EB36B7" w:rsidRPr="00B12DA7" w:rsidRDefault="00EB36B7" w:rsidP="00EB36B7">
      <w:pPr>
        <w:ind w:left="1134"/>
        <w:rPr>
          <w:i/>
          <w:iCs/>
        </w:rPr>
      </w:pPr>
      <w:r w:rsidRPr="00B12DA7">
        <w:rPr>
          <w:i/>
          <w:iCs/>
        </w:rPr>
        <w:t>Insert new paragraph 5.1.4.,</w:t>
      </w:r>
      <w:r w:rsidRPr="00B12DA7">
        <w:t xml:space="preserve"> to read:</w:t>
      </w:r>
    </w:p>
    <w:p w14:paraId="0D7A322F" w14:textId="1A0AE534" w:rsidR="00EB36B7" w:rsidRPr="00B12DA7" w:rsidRDefault="002B6BA7" w:rsidP="00EB36B7">
      <w:pPr>
        <w:spacing w:before="120" w:after="120"/>
        <w:ind w:left="1138"/>
      </w:pPr>
      <w:r w:rsidRPr="00B12DA7">
        <w:t>"</w:t>
      </w:r>
      <w:r w:rsidR="00EB36B7" w:rsidRPr="00B12DA7">
        <w:t>5.1.4.</w:t>
      </w:r>
      <w:r w:rsidR="00EB36B7" w:rsidRPr="00B12DA7">
        <w:tab/>
      </w:r>
      <w:r w:rsidR="00EB36B7" w:rsidRPr="00B12DA7">
        <w:tab/>
        <w:t>The Subsection frontal visible volume.</w:t>
      </w:r>
      <w:r w:rsidRPr="00B12DA7">
        <w:t>"</w:t>
      </w:r>
    </w:p>
    <w:p w14:paraId="23E3F72A" w14:textId="77777777" w:rsidR="00EB36B7" w:rsidRPr="00B12DA7" w:rsidRDefault="00EB36B7" w:rsidP="00EB36B7">
      <w:pPr>
        <w:ind w:left="1170"/>
      </w:pPr>
      <w:r w:rsidRPr="00B12DA7">
        <w:rPr>
          <w:i/>
          <w:iCs/>
        </w:rPr>
        <w:t>Paragraph 5.2.,</w:t>
      </w:r>
      <w:r w:rsidRPr="00B12DA7">
        <w:t xml:space="preserve"> amend to read:</w:t>
      </w:r>
    </w:p>
    <w:p w14:paraId="0BBE5D90" w14:textId="09956FE8" w:rsidR="00EB36B7" w:rsidRPr="00B12DA7" w:rsidRDefault="002B6BA7" w:rsidP="001F0DB6">
      <w:pPr>
        <w:spacing w:before="120" w:after="120"/>
        <w:ind w:left="2251" w:right="1089" w:hanging="1117"/>
        <w:jc w:val="both"/>
      </w:pPr>
      <w:r w:rsidRPr="00B12DA7">
        <w:t>"</w:t>
      </w:r>
      <w:r w:rsidR="00EB36B7" w:rsidRPr="00B12DA7">
        <w:t>5.2.</w:t>
      </w:r>
      <w:r w:rsidR="00EB36B7" w:rsidRPr="00B12DA7">
        <w:tab/>
      </w:r>
      <w:r w:rsidR="00EB36B7" w:rsidRPr="00B12DA7">
        <w:tab/>
        <w:t>The total visible volume is the sum of the nearside, front and offside volumes.</w:t>
      </w:r>
      <w:r w:rsidRPr="00B12DA7">
        <w:t>"</w:t>
      </w:r>
    </w:p>
    <w:p w14:paraId="16A70F40" w14:textId="3878997E" w:rsidR="009C40D1" w:rsidRPr="00EB36B7" w:rsidRDefault="00EB36B7" w:rsidP="00EB36B7">
      <w:pPr>
        <w:spacing w:before="240"/>
        <w:jc w:val="center"/>
        <w:rPr>
          <w:u w:val="single"/>
        </w:rPr>
      </w:pPr>
      <w:r>
        <w:rPr>
          <w:u w:val="single"/>
        </w:rPr>
        <w:tab/>
      </w:r>
      <w:r>
        <w:rPr>
          <w:u w:val="single"/>
        </w:rPr>
        <w:tab/>
      </w:r>
      <w:r>
        <w:rPr>
          <w:u w:val="single"/>
        </w:rPr>
        <w:tab/>
      </w:r>
    </w:p>
    <w:sectPr w:rsidR="009C40D1" w:rsidRPr="00EB36B7" w:rsidSect="006217CA">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5D53" w14:textId="77777777" w:rsidR="00B043C6" w:rsidRDefault="00B043C6"/>
  </w:endnote>
  <w:endnote w:type="continuationSeparator" w:id="0">
    <w:p w14:paraId="2A9FA7E6" w14:textId="77777777" w:rsidR="00B043C6" w:rsidRDefault="00B043C6"/>
  </w:endnote>
  <w:endnote w:type="continuationNotice" w:id="1">
    <w:p w14:paraId="6C542A43" w14:textId="77777777" w:rsidR="00B043C6" w:rsidRDefault="00B04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E776" w14:textId="37855D40" w:rsidR="006217CA" w:rsidRPr="006217CA" w:rsidRDefault="006217CA" w:rsidP="006217CA">
    <w:pPr>
      <w:pStyle w:val="Footer"/>
      <w:tabs>
        <w:tab w:val="right" w:pos="9638"/>
      </w:tabs>
      <w:rPr>
        <w:sz w:val="18"/>
      </w:rPr>
    </w:pPr>
    <w:r w:rsidRPr="006217CA">
      <w:rPr>
        <w:b/>
        <w:sz w:val="18"/>
      </w:rPr>
      <w:fldChar w:fldCharType="begin"/>
    </w:r>
    <w:r w:rsidRPr="006217CA">
      <w:rPr>
        <w:b/>
        <w:sz w:val="18"/>
      </w:rPr>
      <w:instrText xml:space="preserve"> PAGE  \* MERGEFORMAT </w:instrText>
    </w:r>
    <w:r w:rsidRPr="006217CA">
      <w:rPr>
        <w:b/>
        <w:sz w:val="18"/>
      </w:rPr>
      <w:fldChar w:fldCharType="separate"/>
    </w:r>
    <w:r w:rsidRPr="006217CA">
      <w:rPr>
        <w:b/>
        <w:noProof/>
        <w:sz w:val="18"/>
      </w:rPr>
      <w:t>2</w:t>
    </w:r>
    <w:r w:rsidRPr="006217C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0CA4" w14:textId="0932157A" w:rsidR="006217CA" w:rsidRPr="006217CA" w:rsidRDefault="006217CA" w:rsidP="006217CA">
    <w:pPr>
      <w:pStyle w:val="Footer"/>
      <w:tabs>
        <w:tab w:val="right" w:pos="9638"/>
      </w:tabs>
      <w:rPr>
        <w:b/>
        <w:sz w:val="18"/>
      </w:rPr>
    </w:pPr>
    <w:r>
      <w:tab/>
    </w:r>
    <w:r w:rsidRPr="006217CA">
      <w:rPr>
        <w:b/>
        <w:sz w:val="18"/>
      </w:rPr>
      <w:fldChar w:fldCharType="begin"/>
    </w:r>
    <w:r w:rsidRPr="006217CA">
      <w:rPr>
        <w:b/>
        <w:sz w:val="18"/>
      </w:rPr>
      <w:instrText xml:space="preserve"> PAGE  \* MERGEFORMAT </w:instrText>
    </w:r>
    <w:r w:rsidRPr="006217CA">
      <w:rPr>
        <w:b/>
        <w:sz w:val="18"/>
      </w:rPr>
      <w:fldChar w:fldCharType="separate"/>
    </w:r>
    <w:r w:rsidRPr="006217CA">
      <w:rPr>
        <w:b/>
        <w:noProof/>
        <w:sz w:val="18"/>
      </w:rPr>
      <w:t>3</w:t>
    </w:r>
    <w:r w:rsidRPr="006217C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587" w14:textId="478965EA" w:rsidR="0036020A" w:rsidRDefault="0036020A" w:rsidP="0036020A">
    <w:pPr>
      <w:pStyle w:val="Footer"/>
    </w:pPr>
    <w:r w:rsidRPr="0027112F">
      <w:rPr>
        <w:noProof/>
        <w:lang w:val="en-US"/>
      </w:rPr>
      <w:drawing>
        <wp:anchor distT="0" distB="0" distL="114300" distR="114300" simplePos="0" relativeHeight="251659264" behindDoc="0" locked="1" layoutInCell="1" allowOverlap="1" wp14:anchorId="7D179E3E" wp14:editId="0E1EA15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2CF9512" w14:textId="5E40FEFD" w:rsidR="0036020A" w:rsidRPr="0036020A" w:rsidRDefault="0036020A" w:rsidP="0036020A">
    <w:pPr>
      <w:pStyle w:val="Footer"/>
      <w:ind w:right="1134"/>
      <w:rPr>
        <w:sz w:val="20"/>
      </w:rPr>
    </w:pPr>
    <w:r>
      <w:rPr>
        <w:sz w:val="20"/>
      </w:rPr>
      <w:t>GE.24-</w:t>
    </w:r>
    <w:proofErr w:type="gramStart"/>
    <w:r>
      <w:rPr>
        <w:sz w:val="20"/>
      </w:rPr>
      <w:t>15039  (</w:t>
    </w:r>
    <w:proofErr w:type="gramEnd"/>
    <w:r>
      <w:rPr>
        <w:sz w:val="20"/>
      </w:rPr>
      <w:t>E)</w:t>
    </w:r>
    <w:r>
      <w:rPr>
        <w:noProof/>
        <w:sz w:val="20"/>
      </w:rPr>
      <w:drawing>
        <wp:anchor distT="0" distB="0" distL="114300" distR="114300" simplePos="0" relativeHeight="251660288" behindDoc="0" locked="0" layoutInCell="1" allowOverlap="1" wp14:anchorId="3EDA2EB1" wp14:editId="3D95B4B8">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9F3C" w14:textId="77777777" w:rsidR="00B043C6" w:rsidRPr="000B175B" w:rsidRDefault="00B043C6" w:rsidP="000B175B">
      <w:pPr>
        <w:tabs>
          <w:tab w:val="right" w:pos="2155"/>
        </w:tabs>
        <w:spacing w:after="80"/>
        <w:ind w:left="680"/>
        <w:rPr>
          <w:u w:val="single"/>
        </w:rPr>
      </w:pPr>
      <w:r>
        <w:rPr>
          <w:u w:val="single"/>
        </w:rPr>
        <w:tab/>
      </w:r>
    </w:p>
  </w:footnote>
  <w:footnote w:type="continuationSeparator" w:id="0">
    <w:p w14:paraId="7A2A2258" w14:textId="77777777" w:rsidR="00B043C6" w:rsidRPr="00FC68B7" w:rsidRDefault="00B043C6" w:rsidP="00FC68B7">
      <w:pPr>
        <w:tabs>
          <w:tab w:val="left" w:pos="2155"/>
        </w:tabs>
        <w:spacing w:after="80"/>
        <w:ind w:left="680"/>
        <w:rPr>
          <w:u w:val="single"/>
        </w:rPr>
      </w:pPr>
      <w:r>
        <w:rPr>
          <w:u w:val="single"/>
        </w:rPr>
        <w:tab/>
      </w:r>
    </w:p>
  </w:footnote>
  <w:footnote w:type="continuationNotice" w:id="1">
    <w:p w14:paraId="37F74D90" w14:textId="77777777" w:rsidR="00B043C6" w:rsidRDefault="00B043C6"/>
  </w:footnote>
  <w:footnote w:id="2">
    <w:p w14:paraId="0F406F57" w14:textId="77777777" w:rsidR="006217CA" w:rsidRDefault="006217CA" w:rsidP="006217C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513A791B" w14:textId="1AC867CF" w:rsidR="00C0133C" w:rsidRPr="003E6E41" w:rsidRDefault="00C0133C" w:rsidP="0042190C">
      <w:pPr>
        <w:pStyle w:val="FootnoteText"/>
        <w:rPr>
          <w:lang w:val="en-US"/>
        </w:rPr>
      </w:pPr>
      <w:r w:rsidRPr="003E6E41">
        <w:tab/>
      </w:r>
      <w:r w:rsidRPr="003E6E41">
        <w:rPr>
          <w:rStyle w:val="FootnoteReference"/>
        </w:rPr>
        <w:footnoteRef/>
      </w:r>
      <w:r w:rsidR="00EB64D7">
        <w:tab/>
      </w:r>
      <w:r w:rsidRPr="003E6E41">
        <w:t xml:space="preserve">Addendum 6 of Mutual Resolution No. 1 (M.R.1) (document ECE/TRANS/WP.29/1101/Amend.5); </w:t>
      </w:r>
      <w:r w:rsidR="0042190C">
        <w:br/>
      </w:r>
      <w:r w:rsidRPr="003E6E41">
        <w:tab/>
        <w:t xml:space="preserve">see </w:t>
      </w:r>
      <w:hyperlink r:id="rId1" w:history="1">
        <w:r w:rsidRPr="003E6E41">
          <w:rPr>
            <w:rStyle w:val="Hyperlink"/>
            <w:szCs w:val="18"/>
          </w:rPr>
          <w:t>https://unece.org/transport/vehicle-regulations/wp29/resolutions</w:t>
        </w:r>
      </w:hyperlink>
      <w:r w:rsidRPr="003E6E41">
        <w:rPr>
          <w:rStyle w:val="Hyperlink"/>
          <w:color w:val="auto"/>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CA9F" w14:textId="4C13088B" w:rsidR="006217CA" w:rsidRPr="006217CA" w:rsidRDefault="0036020A">
    <w:pPr>
      <w:pStyle w:val="Header"/>
    </w:pPr>
    <w:r>
      <w:fldChar w:fldCharType="begin"/>
    </w:r>
    <w:r>
      <w:instrText xml:space="preserve"> TITLE  \* MERGEFORMAT </w:instrText>
    </w:r>
    <w:r>
      <w:fldChar w:fldCharType="separate"/>
    </w:r>
    <w:r w:rsidR="006217CA">
      <w:t>ECE/TRANS/WP.29/2024/99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8EB6" w14:textId="42945EEA" w:rsidR="006217CA" w:rsidRPr="006217CA" w:rsidRDefault="0036020A" w:rsidP="006217CA">
    <w:pPr>
      <w:pStyle w:val="Header"/>
      <w:jc w:val="right"/>
    </w:pPr>
    <w:r>
      <w:fldChar w:fldCharType="begin"/>
    </w:r>
    <w:r>
      <w:instrText xml:space="preserve"> TITLE  \* MERGEFORMAT </w:instrText>
    </w:r>
    <w:r>
      <w:fldChar w:fldCharType="separate"/>
    </w:r>
    <w:r w:rsidR="006217CA">
      <w:t>ECE/TRANS/WP.29/2024/99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93163D"/>
    <w:multiLevelType w:val="hybridMultilevel"/>
    <w:tmpl w:val="C90A0426"/>
    <w:lvl w:ilvl="0" w:tplc="EEFAA336">
      <w:start w:val="1"/>
      <w:numFmt w:val="lowerLetter"/>
      <w:lvlText w:val="(%1)"/>
      <w:lvlJc w:val="lef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35499087">
    <w:abstractNumId w:val="1"/>
  </w:num>
  <w:num w:numId="2" w16cid:durableId="858129281">
    <w:abstractNumId w:val="0"/>
  </w:num>
  <w:num w:numId="3" w16cid:durableId="517739843">
    <w:abstractNumId w:val="2"/>
  </w:num>
  <w:num w:numId="4" w16cid:durableId="961426480">
    <w:abstractNumId w:val="3"/>
  </w:num>
  <w:num w:numId="5" w16cid:durableId="1692412763">
    <w:abstractNumId w:val="8"/>
  </w:num>
  <w:num w:numId="6" w16cid:durableId="828717908">
    <w:abstractNumId w:val="9"/>
  </w:num>
  <w:num w:numId="7" w16cid:durableId="2027905604">
    <w:abstractNumId w:val="7"/>
  </w:num>
  <w:num w:numId="8" w16cid:durableId="365568750">
    <w:abstractNumId w:val="6"/>
  </w:num>
  <w:num w:numId="9" w16cid:durableId="1451629621">
    <w:abstractNumId w:val="5"/>
  </w:num>
  <w:num w:numId="10" w16cid:durableId="962685663">
    <w:abstractNumId w:val="4"/>
  </w:num>
  <w:num w:numId="11" w16cid:durableId="1624775192">
    <w:abstractNumId w:val="15"/>
  </w:num>
  <w:num w:numId="12" w16cid:durableId="1249920027">
    <w:abstractNumId w:val="14"/>
  </w:num>
  <w:num w:numId="13" w16cid:durableId="1106388832">
    <w:abstractNumId w:val="10"/>
  </w:num>
  <w:num w:numId="14" w16cid:durableId="558521376">
    <w:abstractNumId w:val="12"/>
  </w:num>
  <w:num w:numId="15" w16cid:durableId="1157302382">
    <w:abstractNumId w:val="16"/>
  </w:num>
  <w:num w:numId="16" w16cid:durableId="1676228258">
    <w:abstractNumId w:val="13"/>
  </w:num>
  <w:num w:numId="17" w16cid:durableId="12651987">
    <w:abstractNumId w:val="18"/>
  </w:num>
  <w:num w:numId="18" w16cid:durableId="611401100">
    <w:abstractNumId w:val="19"/>
  </w:num>
  <w:num w:numId="19" w16cid:durableId="598680761">
    <w:abstractNumId w:val="11"/>
  </w:num>
  <w:num w:numId="20" w16cid:durableId="1917089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CA"/>
    <w:rsid w:val="00002A7D"/>
    <w:rsid w:val="000038A8"/>
    <w:rsid w:val="00005DF3"/>
    <w:rsid w:val="00006790"/>
    <w:rsid w:val="00014B32"/>
    <w:rsid w:val="00027624"/>
    <w:rsid w:val="00050F6B"/>
    <w:rsid w:val="000678CD"/>
    <w:rsid w:val="00072C8C"/>
    <w:rsid w:val="00081CE0"/>
    <w:rsid w:val="00084D30"/>
    <w:rsid w:val="00090320"/>
    <w:rsid w:val="000931C0"/>
    <w:rsid w:val="00097003"/>
    <w:rsid w:val="000A2E09"/>
    <w:rsid w:val="000A7BDB"/>
    <w:rsid w:val="000B175B"/>
    <w:rsid w:val="000B3A0F"/>
    <w:rsid w:val="000E0415"/>
    <w:rsid w:val="000F7715"/>
    <w:rsid w:val="00156B99"/>
    <w:rsid w:val="00165401"/>
    <w:rsid w:val="00166124"/>
    <w:rsid w:val="00184DDA"/>
    <w:rsid w:val="001900CD"/>
    <w:rsid w:val="001A0452"/>
    <w:rsid w:val="001B4B04"/>
    <w:rsid w:val="001B5875"/>
    <w:rsid w:val="001C4B9C"/>
    <w:rsid w:val="001C6663"/>
    <w:rsid w:val="001C7895"/>
    <w:rsid w:val="001D26DF"/>
    <w:rsid w:val="001F0DB6"/>
    <w:rsid w:val="001F1599"/>
    <w:rsid w:val="001F19C4"/>
    <w:rsid w:val="002043F0"/>
    <w:rsid w:val="00211E0B"/>
    <w:rsid w:val="00232575"/>
    <w:rsid w:val="00247258"/>
    <w:rsid w:val="00257CAC"/>
    <w:rsid w:val="0027237A"/>
    <w:rsid w:val="002974E9"/>
    <w:rsid w:val="002A306B"/>
    <w:rsid w:val="002A7F94"/>
    <w:rsid w:val="002B109A"/>
    <w:rsid w:val="002B6736"/>
    <w:rsid w:val="002B6BA7"/>
    <w:rsid w:val="002C6D45"/>
    <w:rsid w:val="002D6E53"/>
    <w:rsid w:val="002F046D"/>
    <w:rsid w:val="002F3023"/>
    <w:rsid w:val="00301764"/>
    <w:rsid w:val="003229D8"/>
    <w:rsid w:val="00336C97"/>
    <w:rsid w:val="00337F88"/>
    <w:rsid w:val="00342432"/>
    <w:rsid w:val="0035223F"/>
    <w:rsid w:val="00352D4B"/>
    <w:rsid w:val="0035638C"/>
    <w:rsid w:val="0036020A"/>
    <w:rsid w:val="003A46BB"/>
    <w:rsid w:val="003A4EC7"/>
    <w:rsid w:val="003A7295"/>
    <w:rsid w:val="003B1F60"/>
    <w:rsid w:val="003B5E38"/>
    <w:rsid w:val="003C2CC4"/>
    <w:rsid w:val="003D4B23"/>
    <w:rsid w:val="003E278A"/>
    <w:rsid w:val="003E6E41"/>
    <w:rsid w:val="00413520"/>
    <w:rsid w:val="0042190C"/>
    <w:rsid w:val="004325CB"/>
    <w:rsid w:val="00440A07"/>
    <w:rsid w:val="00462880"/>
    <w:rsid w:val="00464807"/>
    <w:rsid w:val="00476F24"/>
    <w:rsid w:val="004A5D33"/>
    <w:rsid w:val="004C55B0"/>
    <w:rsid w:val="004F6BA0"/>
    <w:rsid w:val="00503BEA"/>
    <w:rsid w:val="00533616"/>
    <w:rsid w:val="00535ABA"/>
    <w:rsid w:val="0053768B"/>
    <w:rsid w:val="005420F2"/>
    <w:rsid w:val="0054285C"/>
    <w:rsid w:val="00561850"/>
    <w:rsid w:val="00584173"/>
    <w:rsid w:val="00595520"/>
    <w:rsid w:val="005A44B9"/>
    <w:rsid w:val="005B1BA0"/>
    <w:rsid w:val="005B3DB3"/>
    <w:rsid w:val="005C0268"/>
    <w:rsid w:val="005D15CA"/>
    <w:rsid w:val="005F08DF"/>
    <w:rsid w:val="005F3066"/>
    <w:rsid w:val="005F3224"/>
    <w:rsid w:val="005F3E61"/>
    <w:rsid w:val="005F4D87"/>
    <w:rsid w:val="00604DDD"/>
    <w:rsid w:val="006107D6"/>
    <w:rsid w:val="006115CC"/>
    <w:rsid w:val="00611FC4"/>
    <w:rsid w:val="006176FB"/>
    <w:rsid w:val="006217CA"/>
    <w:rsid w:val="00630FCB"/>
    <w:rsid w:val="00640B26"/>
    <w:rsid w:val="0065766B"/>
    <w:rsid w:val="006770B2"/>
    <w:rsid w:val="00686A48"/>
    <w:rsid w:val="0068763C"/>
    <w:rsid w:val="006922E4"/>
    <w:rsid w:val="006940E1"/>
    <w:rsid w:val="006A3C72"/>
    <w:rsid w:val="006A7392"/>
    <w:rsid w:val="006B03A1"/>
    <w:rsid w:val="006B67D9"/>
    <w:rsid w:val="006C5535"/>
    <w:rsid w:val="006C5918"/>
    <w:rsid w:val="006D0589"/>
    <w:rsid w:val="006E1228"/>
    <w:rsid w:val="006E564B"/>
    <w:rsid w:val="006E7154"/>
    <w:rsid w:val="007003CD"/>
    <w:rsid w:val="0070701E"/>
    <w:rsid w:val="0072632A"/>
    <w:rsid w:val="007358E8"/>
    <w:rsid w:val="00736ECE"/>
    <w:rsid w:val="0074533B"/>
    <w:rsid w:val="007643BC"/>
    <w:rsid w:val="0077276E"/>
    <w:rsid w:val="00780C68"/>
    <w:rsid w:val="007959FE"/>
    <w:rsid w:val="007A0CF1"/>
    <w:rsid w:val="007B6BA5"/>
    <w:rsid w:val="007C3390"/>
    <w:rsid w:val="007C42D8"/>
    <w:rsid w:val="007C4F4B"/>
    <w:rsid w:val="007D6F65"/>
    <w:rsid w:val="007D7362"/>
    <w:rsid w:val="007F5CE2"/>
    <w:rsid w:val="007F6611"/>
    <w:rsid w:val="00802FBD"/>
    <w:rsid w:val="00810BAC"/>
    <w:rsid w:val="00814C29"/>
    <w:rsid w:val="008175E9"/>
    <w:rsid w:val="008242D7"/>
    <w:rsid w:val="0082577B"/>
    <w:rsid w:val="00825CB5"/>
    <w:rsid w:val="00866893"/>
    <w:rsid w:val="00866F02"/>
    <w:rsid w:val="00867D18"/>
    <w:rsid w:val="00871F9A"/>
    <w:rsid w:val="00871FD5"/>
    <w:rsid w:val="00877067"/>
    <w:rsid w:val="0088172E"/>
    <w:rsid w:val="00881EFA"/>
    <w:rsid w:val="008879CB"/>
    <w:rsid w:val="008979B1"/>
    <w:rsid w:val="008A6B25"/>
    <w:rsid w:val="008A6C4F"/>
    <w:rsid w:val="008B389E"/>
    <w:rsid w:val="008D045E"/>
    <w:rsid w:val="008D3F25"/>
    <w:rsid w:val="008D4D82"/>
    <w:rsid w:val="008E0A4F"/>
    <w:rsid w:val="008E0E46"/>
    <w:rsid w:val="008E7116"/>
    <w:rsid w:val="008F143B"/>
    <w:rsid w:val="008F3882"/>
    <w:rsid w:val="008F4B7C"/>
    <w:rsid w:val="0092556A"/>
    <w:rsid w:val="00926E47"/>
    <w:rsid w:val="00931696"/>
    <w:rsid w:val="00947162"/>
    <w:rsid w:val="009610D0"/>
    <w:rsid w:val="0096375C"/>
    <w:rsid w:val="009662E6"/>
    <w:rsid w:val="0097095E"/>
    <w:rsid w:val="0098592B"/>
    <w:rsid w:val="00985FC4"/>
    <w:rsid w:val="00990766"/>
    <w:rsid w:val="00991261"/>
    <w:rsid w:val="009964C4"/>
    <w:rsid w:val="009A718E"/>
    <w:rsid w:val="009A7B81"/>
    <w:rsid w:val="009B011B"/>
    <w:rsid w:val="009B7EB7"/>
    <w:rsid w:val="009C40D1"/>
    <w:rsid w:val="009D01C0"/>
    <w:rsid w:val="009D6A08"/>
    <w:rsid w:val="009E0A16"/>
    <w:rsid w:val="009E6CB7"/>
    <w:rsid w:val="009E7970"/>
    <w:rsid w:val="009F2EAC"/>
    <w:rsid w:val="009F57E3"/>
    <w:rsid w:val="00A04B9D"/>
    <w:rsid w:val="00A077A2"/>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58C1"/>
    <w:rsid w:val="00B0265B"/>
    <w:rsid w:val="00B043C6"/>
    <w:rsid w:val="00B04A3F"/>
    <w:rsid w:val="00B06643"/>
    <w:rsid w:val="00B12DA7"/>
    <w:rsid w:val="00B15055"/>
    <w:rsid w:val="00B20551"/>
    <w:rsid w:val="00B30179"/>
    <w:rsid w:val="00B31E0B"/>
    <w:rsid w:val="00B33FC7"/>
    <w:rsid w:val="00B37B15"/>
    <w:rsid w:val="00B4162A"/>
    <w:rsid w:val="00B45C02"/>
    <w:rsid w:val="00B70B4B"/>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0DEB"/>
    <w:rsid w:val="00C0133C"/>
    <w:rsid w:val="00C044E2"/>
    <w:rsid w:val="00C048CB"/>
    <w:rsid w:val="00C066F3"/>
    <w:rsid w:val="00C463DD"/>
    <w:rsid w:val="00C745C3"/>
    <w:rsid w:val="00C978F5"/>
    <w:rsid w:val="00CA1C9E"/>
    <w:rsid w:val="00CA24A4"/>
    <w:rsid w:val="00CB348D"/>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2B61"/>
    <w:rsid w:val="00E96630"/>
    <w:rsid w:val="00EB36B7"/>
    <w:rsid w:val="00EB40C3"/>
    <w:rsid w:val="00EB64D7"/>
    <w:rsid w:val="00ED18DC"/>
    <w:rsid w:val="00ED6201"/>
    <w:rsid w:val="00ED7A2A"/>
    <w:rsid w:val="00EE5ED1"/>
    <w:rsid w:val="00EF1D7F"/>
    <w:rsid w:val="00EF6210"/>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2274B1"/>
  <w15:docId w15:val="{9E2BC039-7C9A-498F-88B2-E3AF8F6C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9C40D1"/>
    <w:pPr>
      <w:spacing w:after="120"/>
      <w:ind w:left="2988" w:right="1134"/>
      <w:jc w:val="both"/>
    </w:pPr>
    <w:rPr>
      <w:color w:val="000000" w:themeColor="text1"/>
    </w:r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9C40D1"/>
    <w:rPr>
      <w:color w:val="000000" w:themeColor="text1"/>
      <w:lang w:val="en-GB"/>
    </w:rPr>
  </w:style>
  <w:style w:type="character" w:customStyle="1" w:styleId="HChGChar">
    <w:name w:val="_ H _Ch_G Char"/>
    <w:link w:val="HChG"/>
    <w:qFormat/>
    <w:locked/>
    <w:rsid w:val="006217CA"/>
    <w:rPr>
      <w:b/>
      <w:sz w:val="28"/>
      <w:lang w:val="en-GB"/>
    </w:rPr>
  </w:style>
  <w:style w:type="character" w:customStyle="1" w:styleId="H1GChar">
    <w:name w:val="_ H_1_G Char"/>
    <w:link w:val="H1G"/>
    <w:locked/>
    <w:rsid w:val="006217CA"/>
    <w:rPr>
      <w:b/>
      <w:sz w:val="24"/>
      <w:lang w:val="en-GB"/>
    </w:rPr>
  </w:style>
  <w:style w:type="paragraph" w:styleId="ListParagraph">
    <w:name w:val="List Paragraph"/>
    <w:basedOn w:val="Normal"/>
    <w:uiPriority w:val="34"/>
    <w:qFormat/>
    <w:rsid w:val="00C00DEB"/>
    <w:pPr>
      <w:suppressAutoHyphens/>
      <w:ind w:left="720"/>
      <w:contextualSpacing/>
    </w:pPr>
    <w:rPr>
      <w:lang w:eastAsia="en-US"/>
    </w:rPr>
  </w:style>
  <w:style w:type="paragraph" w:styleId="Caption">
    <w:name w:val="caption"/>
    <w:basedOn w:val="Normal"/>
    <w:next w:val="Normal"/>
    <w:uiPriority w:val="35"/>
    <w:semiHidden/>
    <w:unhideWhenUsed/>
    <w:qFormat/>
    <w:rsid w:val="00EB36B7"/>
    <w:pPr>
      <w:suppressAutoHyphens/>
      <w:spacing w:after="200" w:line="240" w:lineRule="auto"/>
    </w:pPr>
    <w:rPr>
      <w:b/>
      <w:bCs/>
      <w:color w:val="4F81BD"/>
      <w:sz w:val="18"/>
      <w:szCs w:val="18"/>
      <w:lang w:val="ru-RU" w:eastAsia="ar-SA"/>
    </w:rPr>
  </w:style>
  <w:style w:type="paragraph" w:customStyle="1" w:styleId="Para">
    <w:name w:val="Para"/>
    <w:basedOn w:val="Normal"/>
    <w:qFormat/>
    <w:rsid w:val="00C0133C"/>
    <w:pPr>
      <w:spacing w:after="120"/>
      <w:ind w:left="2268" w:right="1134" w:hanging="113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22F4-7B65-4899-A9E3-06537A1DA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4</Pages>
  <Words>924</Words>
  <Characters>4938</Characters>
  <Application>Microsoft Office Word</Application>
  <DocSecurity>0</DocSecurity>
  <Lines>167</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ECE/TRANS/WP.29/2024/99</dc:title>
  <dc:subject>2415039</dc:subject>
  <dc:creator>Edoardo Gianotti</dc:creator>
  <cp:keywords/>
  <dc:description/>
  <cp:lastModifiedBy>Pauline Anne Escalante</cp:lastModifiedBy>
  <cp:revision>2</cp:revision>
  <cp:lastPrinted>2009-02-18T09:36:00Z</cp:lastPrinted>
  <dcterms:created xsi:type="dcterms:W3CDTF">2024-08-22T07:06:00Z</dcterms:created>
  <dcterms:modified xsi:type="dcterms:W3CDTF">2024-08-22T07:06:00Z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