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588"/>
        <w:gridCol w:w="1457"/>
        <w:gridCol w:w="526"/>
        <w:gridCol w:w="9"/>
        <w:gridCol w:w="1168"/>
        <w:gridCol w:w="1095"/>
        <w:gridCol w:w="2124"/>
      </w:tblGrid>
      <w:tr w:rsidR="001017F1" w14:paraId="78DF2D1E" w14:textId="77777777" w:rsidTr="00FE4E19">
        <w:trPr>
          <w:trHeight w:hRule="exact" w:val="1090"/>
        </w:trPr>
        <w:tc>
          <w:tcPr>
            <w:tcW w:w="5000" w:type="pct"/>
            <w:gridSpan w:val="8"/>
            <w:vAlign w:val="center"/>
          </w:tcPr>
          <w:p w14:paraId="0887C16A" w14:textId="062E1F18" w:rsidR="001017F1" w:rsidRDefault="00840F00" w:rsidP="00FE4E19">
            <w:pPr>
              <w:pStyle w:val="berschrift1"/>
              <w:rPr>
                <w:rFonts w:ascii="Arial" w:hAnsi="Arial"/>
              </w:rPr>
            </w:pPr>
            <w:r>
              <w:rPr>
                <w:rFonts w:ascii="Arial" w:hAnsi="Arial"/>
              </w:rPr>
              <w:t>OICA EMC TF</w:t>
            </w:r>
          </w:p>
          <w:p w14:paraId="5B13A81E" w14:textId="77777777" w:rsidR="001017F1" w:rsidRDefault="001017F1" w:rsidP="00FE4E19">
            <w:pPr>
              <w:pStyle w:val="berschrift1"/>
              <w:rPr>
                <w:rFonts w:ascii="Arial" w:hAnsi="Arial"/>
              </w:rPr>
            </w:pPr>
            <w:r>
              <w:rPr>
                <w:rFonts w:ascii="Arial" w:hAnsi="Arial"/>
              </w:rPr>
              <w:t>Change Proposal Form</w:t>
            </w:r>
          </w:p>
          <w:p w14:paraId="1C2571F9" w14:textId="77777777" w:rsidR="001017F1" w:rsidRDefault="001017F1" w:rsidP="00FE4E19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(One major comment per form.)  </w:t>
            </w:r>
          </w:p>
          <w:p w14:paraId="63922696" w14:textId="3E954BE7" w:rsidR="001017F1" w:rsidRDefault="001017F1" w:rsidP="00FE4E19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(Shaded blocks for the use by the IWG </w:t>
            </w:r>
            <w:r w:rsidR="00177C0C"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ecretary only.)</w:t>
            </w:r>
          </w:p>
        </w:tc>
      </w:tr>
      <w:tr w:rsidR="001017F1" w14:paraId="19758203" w14:textId="77777777" w:rsidTr="005361E8">
        <w:trPr>
          <w:cantSplit/>
          <w:trHeight w:val="432"/>
        </w:trPr>
        <w:tc>
          <w:tcPr>
            <w:tcW w:w="1615" w:type="pct"/>
            <w:gridSpan w:val="2"/>
            <w:tcBorders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4D2D5EE" w14:textId="77777777" w:rsidR="001017F1" w:rsidRPr="0065540D" w:rsidRDefault="001017F1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IWG document Number:</w:t>
            </w:r>
          </w:p>
        </w:tc>
        <w:tc>
          <w:tcPr>
            <w:tcW w:w="105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765D304" w14:textId="22A78648" w:rsidR="001017F1" w:rsidRPr="0065540D" w:rsidRDefault="00177C0C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IWG-EMC-</w:t>
            </w:r>
            <w:r w:rsidR="001017F1" w:rsidRPr="0065540D">
              <w:rPr>
                <w:rFonts w:ascii="Arial" w:hAnsi="Arial"/>
                <w:b/>
                <w:sz w:val="20"/>
              </w:rPr>
              <w:t>xx</w:t>
            </w:r>
            <w:r>
              <w:rPr>
                <w:rFonts w:ascii="Arial" w:hAnsi="Arial"/>
                <w:b/>
                <w:sz w:val="20"/>
              </w:rPr>
              <w:t>-</w:t>
            </w:r>
            <w:r w:rsidR="001017F1" w:rsidRPr="0065540D">
              <w:rPr>
                <w:rFonts w:ascii="Arial" w:hAnsi="Arial"/>
                <w:b/>
                <w:sz w:val="20"/>
              </w:rPr>
              <w:t>xx</w:t>
            </w:r>
          </w:p>
        </w:tc>
        <w:tc>
          <w:tcPr>
            <w:tcW w:w="2328" w:type="pct"/>
            <w:gridSpan w:val="3"/>
            <w:tcBorders>
              <w:left w:val="single" w:sz="4" w:space="0" w:color="auto"/>
            </w:tcBorders>
            <w:vAlign w:val="center"/>
          </w:tcPr>
          <w:p w14:paraId="285D2C34" w14:textId="570F0B35" w:rsidR="001017F1" w:rsidRPr="001A151D" w:rsidRDefault="001017F1" w:rsidP="00FE4E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Date:  </w:t>
            </w:r>
            <w:r w:rsidR="00557640">
              <w:rPr>
                <w:rFonts w:ascii="Arial" w:hAnsi="Arial"/>
                <w:sz w:val="20"/>
              </w:rPr>
              <w:t>12 March 2025</w:t>
            </w:r>
          </w:p>
        </w:tc>
      </w:tr>
      <w:tr w:rsidR="001017F1" w14:paraId="56951F46" w14:textId="77777777" w:rsidTr="005361E8">
        <w:trPr>
          <w:trHeight w:val="20"/>
        </w:trPr>
        <w:tc>
          <w:tcPr>
            <w:tcW w:w="2672" w:type="pct"/>
            <w:gridSpan w:val="5"/>
            <w:tcBorders>
              <w:right w:val="single" w:sz="4" w:space="0" w:color="auto"/>
            </w:tcBorders>
          </w:tcPr>
          <w:p w14:paraId="4C096CA1" w14:textId="77777777" w:rsidR="001017F1" w:rsidRDefault="001017F1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Proposer’s Name, Affiliation, and E-mail:</w:t>
            </w:r>
          </w:p>
          <w:p w14:paraId="7C1066D1" w14:textId="50E8D902" w:rsidR="00840F00" w:rsidRPr="00557640" w:rsidRDefault="00557640" w:rsidP="00840F00">
            <w:pPr>
              <w:rPr>
                <w:rFonts w:ascii="Arial" w:hAnsi="Arial"/>
                <w:sz w:val="20"/>
              </w:rPr>
            </w:pPr>
            <w:r w:rsidRPr="00557640">
              <w:rPr>
                <w:rFonts w:ascii="Arial" w:hAnsi="Arial"/>
                <w:sz w:val="20"/>
              </w:rPr>
              <w:t>OIC</w:t>
            </w:r>
            <w:r>
              <w:rPr>
                <w:rFonts w:ascii="Arial" w:hAnsi="Arial"/>
                <w:sz w:val="20"/>
              </w:rPr>
              <w:t>A (VDA)</w:t>
            </w:r>
          </w:p>
          <w:p w14:paraId="20993787" w14:textId="1C4561C7" w:rsidR="001017F1" w:rsidRPr="00557640" w:rsidRDefault="00840F00" w:rsidP="00840F00">
            <w:pPr>
              <w:rPr>
                <w:rFonts w:ascii="Arial" w:hAnsi="Arial"/>
                <w:sz w:val="20"/>
              </w:rPr>
            </w:pPr>
            <w:r w:rsidRPr="00557640">
              <w:rPr>
                <w:rFonts w:ascii="Arial" w:hAnsi="Arial"/>
                <w:sz w:val="20"/>
              </w:rPr>
              <w:t>Andreas Gierstorfer, BMW, andreas.gierstorfer@bmw.de</w:t>
            </w:r>
          </w:p>
        </w:tc>
        <w:tc>
          <w:tcPr>
            <w:tcW w:w="120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4041F" w14:textId="77777777" w:rsidR="001017F1" w:rsidRDefault="001017F1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Paragraph:</w:t>
            </w:r>
          </w:p>
          <w:p w14:paraId="1C4ED714" w14:textId="3C51F048" w:rsidR="009D1063" w:rsidRDefault="009D1063" w:rsidP="00557640">
            <w:pPr>
              <w:rPr>
                <w:rFonts w:ascii="Arial" w:hAnsi="Arial"/>
                <w:sz w:val="20"/>
              </w:rPr>
            </w:pPr>
            <w:r w:rsidRPr="00557640">
              <w:rPr>
                <w:rFonts w:ascii="Arial" w:hAnsi="Arial"/>
                <w:sz w:val="20"/>
              </w:rPr>
              <w:t>Appendix 1</w:t>
            </w:r>
          </w:p>
        </w:tc>
        <w:tc>
          <w:tcPr>
            <w:tcW w:w="1127" w:type="pct"/>
            <w:tcBorders>
              <w:left w:val="single" w:sz="4" w:space="0" w:color="auto"/>
            </w:tcBorders>
          </w:tcPr>
          <w:p w14:paraId="179DEE7D" w14:textId="77777777" w:rsidR="001017F1" w:rsidRDefault="001017F1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Page:</w:t>
            </w:r>
          </w:p>
          <w:p w14:paraId="20D2EB2F" w14:textId="77777777" w:rsidR="001017F1" w:rsidRDefault="001017F1" w:rsidP="00FE4E19">
            <w:pPr>
              <w:pStyle w:val="Kopfzeile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/>
                <w:sz w:val="20"/>
              </w:rPr>
            </w:pPr>
          </w:p>
        </w:tc>
      </w:tr>
      <w:tr w:rsidR="001017F1" w14:paraId="493F2C04" w14:textId="77777777" w:rsidTr="00FE4E19">
        <w:trPr>
          <w:trHeight w:val="1025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31DD98EC" w14:textId="77777777" w:rsidR="001017F1" w:rsidRDefault="001017F1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Summary of Change </w:t>
            </w:r>
            <w:r w:rsidRPr="00D57ACA">
              <w:rPr>
                <w:rFonts w:ascii="Arial" w:hAnsi="Arial"/>
                <w:sz w:val="20"/>
              </w:rPr>
              <w:t>(25 words or less)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6EE785AF" w14:textId="77777777" w:rsidR="001017F1" w:rsidRDefault="00557640" w:rsidP="00FE4E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Update of reference to ISO 11451-2 for vehicle radiated immunity test.</w:t>
            </w:r>
          </w:p>
          <w:p w14:paraId="1D405D12" w14:textId="172BDB87" w:rsidR="00557640" w:rsidRDefault="00557640" w:rsidP="00FE4E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FDIS ballot is on-going, the standard will be published soon.</w:t>
            </w:r>
          </w:p>
        </w:tc>
      </w:tr>
      <w:tr w:rsidR="001017F1" w:rsidRPr="00B44AC3" w14:paraId="0D83BE92" w14:textId="77777777" w:rsidTr="00557640">
        <w:trPr>
          <w:cantSplit/>
          <w:trHeight w:hRule="exact" w:val="119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788834D" w14:textId="77777777" w:rsidR="001017F1" w:rsidRDefault="001017F1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Reason for Change </w:t>
            </w:r>
            <w:r w:rsidRPr="00EB5BDB">
              <w:rPr>
                <w:rFonts w:ascii="Arial" w:hAnsi="Arial"/>
                <w:sz w:val="20"/>
              </w:rPr>
              <w:t>(Justification)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57340D8F" w14:textId="77777777" w:rsidR="001017F1" w:rsidRPr="00557640" w:rsidRDefault="00557640" w:rsidP="00FE4E1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7640">
              <w:rPr>
                <w:rFonts w:ascii="Arial" w:hAnsi="Arial" w:cs="Arial"/>
                <w:sz w:val="20"/>
                <w:szCs w:val="20"/>
              </w:rPr>
              <w:t>The calibration and verification methods have been improved to achieve better field uniformity:</w:t>
            </w:r>
          </w:p>
          <w:p w14:paraId="6C6E8D81" w14:textId="135A4309" w:rsidR="00557640" w:rsidRPr="00557640" w:rsidRDefault="00557640" w:rsidP="00557640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7640">
              <w:rPr>
                <w:rFonts w:ascii="Arial" w:hAnsi="Arial" w:cs="Arial"/>
                <w:sz w:val="20"/>
                <w:szCs w:val="20"/>
              </w:rPr>
              <w:t>4 field probes (instead of single field probe) in the frequency range 2 to 6 GHz</w:t>
            </w:r>
          </w:p>
          <w:p w14:paraId="6B21DF63" w14:textId="224F66AC" w:rsidR="00557640" w:rsidRPr="00557640" w:rsidRDefault="00557640" w:rsidP="00557640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7640">
              <w:rPr>
                <w:rFonts w:ascii="Arial" w:hAnsi="Arial" w:cs="Arial"/>
                <w:sz w:val="20"/>
                <w:szCs w:val="20"/>
              </w:rPr>
              <w:t>Verification of frontal and lateral field uniformity</w:t>
            </w:r>
          </w:p>
        </w:tc>
      </w:tr>
      <w:tr w:rsidR="001017F1" w:rsidRPr="00B44AC3" w14:paraId="0B07D976" w14:textId="77777777" w:rsidTr="00FE4E19">
        <w:trPr>
          <w:cantSplit/>
          <w:trHeight w:hRule="exact" w:val="1566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232A635" w14:textId="77777777" w:rsidR="001017F1" w:rsidRDefault="001017F1" w:rsidP="00FE4E1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Original text:</w:t>
            </w:r>
          </w:p>
          <w:p w14:paraId="36FADB02" w14:textId="77777777" w:rsidR="00557640" w:rsidRPr="00557640" w:rsidRDefault="00557640" w:rsidP="00557640">
            <w:pPr>
              <w:ind w:left="720"/>
              <w:rPr>
                <w:sz w:val="20"/>
                <w:szCs w:val="20"/>
              </w:rPr>
            </w:pPr>
            <w:r w:rsidRPr="00557640">
              <w:rPr>
                <w:sz w:val="20"/>
                <w:szCs w:val="20"/>
              </w:rPr>
              <w:t>6.</w:t>
            </w:r>
            <w:r w:rsidRPr="00557640">
              <w:rPr>
                <w:sz w:val="20"/>
                <w:szCs w:val="20"/>
              </w:rPr>
              <w:tab/>
              <w:t xml:space="preserve">ISO 11451 "Road vehicles – Vehicle test methods for electrical disturbances from </w:t>
            </w:r>
            <w:r w:rsidRPr="00557640">
              <w:rPr>
                <w:sz w:val="20"/>
                <w:szCs w:val="20"/>
              </w:rPr>
              <w:tab/>
              <w:t>narrowband radiated electromagnetic energy":</w:t>
            </w:r>
          </w:p>
          <w:p w14:paraId="50B09AD1" w14:textId="77777777" w:rsidR="00557640" w:rsidRPr="00557640" w:rsidRDefault="00557640" w:rsidP="00557640">
            <w:pPr>
              <w:ind w:left="720"/>
              <w:rPr>
                <w:sz w:val="20"/>
                <w:szCs w:val="20"/>
              </w:rPr>
            </w:pPr>
            <w:r w:rsidRPr="00557640">
              <w:rPr>
                <w:sz w:val="20"/>
                <w:szCs w:val="20"/>
              </w:rPr>
              <w:tab/>
              <w:t>Part 1:</w:t>
            </w:r>
            <w:r w:rsidRPr="00557640">
              <w:rPr>
                <w:sz w:val="20"/>
                <w:szCs w:val="20"/>
              </w:rPr>
              <w:tab/>
              <w:t>General principles and terminology (ISO 11451-1, Fourth edition 2015);</w:t>
            </w:r>
          </w:p>
          <w:p w14:paraId="22301B85" w14:textId="77AABFC8" w:rsidR="00557640" w:rsidRPr="00557640" w:rsidRDefault="00557640" w:rsidP="00557640">
            <w:pPr>
              <w:ind w:left="720"/>
              <w:rPr>
                <w:sz w:val="20"/>
                <w:szCs w:val="20"/>
              </w:rPr>
            </w:pPr>
            <w:r w:rsidRPr="00557640">
              <w:rPr>
                <w:sz w:val="20"/>
                <w:szCs w:val="20"/>
              </w:rPr>
              <w:tab/>
              <w:t>Part 2:</w:t>
            </w:r>
            <w:r w:rsidRPr="00557640">
              <w:rPr>
                <w:sz w:val="20"/>
                <w:szCs w:val="20"/>
              </w:rPr>
              <w:tab/>
              <w:t>Off-vehicle radiation sources (ISO 11451-2, Fourth edition 2015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557640">
              <w:rPr>
                <w:sz w:val="20"/>
                <w:szCs w:val="20"/>
              </w:rPr>
              <w:t>;</w:t>
            </w:r>
          </w:p>
          <w:p w14:paraId="2A9C7DC2" w14:textId="77777777" w:rsidR="00557640" w:rsidRPr="00557640" w:rsidRDefault="00557640" w:rsidP="00557640">
            <w:pPr>
              <w:ind w:left="720"/>
              <w:rPr>
                <w:sz w:val="20"/>
                <w:szCs w:val="20"/>
              </w:rPr>
            </w:pPr>
            <w:r w:rsidRPr="00557640">
              <w:rPr>
                <w:sz w:val="20"/>
                <w:szCs w:val="20"/>
              </w:rPr>
              <w:tab/>
              <w:t>Part 4:</w:t>
            </w:r>
            <w:r w:rsidRPr="00557640">
              <w:rPr>
                <w:sz w:val="20"/>
                <w:szCs w:val="20"/>
              </w:rPr>
              <w:tab/>
              <w:t>Harness excitation methods (ISO 11451-4, Fourth edition 2022);</w:t>
            </w:r>
          </w:p>
          <w:p w14:paraId="3C1EF773" w14:textId="18F2D5A5" w:rsidR="009D1063" w:rsidRPr="00557640" w:rsidRDefault="009D1063" w:rsidP="009D1063">
            <w:pPr>
              <w:ind w:left="7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017F1" w:rsidRPr="00B44AC3" w14:paraId="07B6B69E" w14:textId="77777777" w:rsidTr="00FE4E19">
        <w:trPr>
          <w:cantSplit/>
          <w:trHeight w:hRule="exact" w:val="168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72E3FCF" w14:textId="5D319553" w:rsidR="001017F1" w:rsidRDefault="001017F1" w:rsidP="00FE4E1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Revise To:</w:t>
            </w:r>
          </w:p>
          <w:p w14:paraId="2C8F1F96" w14:textId="77777777" w:rsidR="00557640" w:rsidRPr="00557640" w:rsidRDefault="00557640" w:rsidP="00557640">
            <w:pPr>
              <w:ind w:left="720"/>
              <w:rPr>
                <w:sz w:val="20"/>
                <w:szCs w:val="20"/>
              </w:rPr>
            </w:pPr>
            <w:r w:rsidRPr="00557640">
              <w:rPr>
                <w:sz w:val="20"/>
                <w:szCs w:val="20"/>
              </w:rPr>
              <w:t>6.</w:t>
            </w:r>
            <w:r w:rsidRPr="00557640">
              <w:rPr>
                <w:sz w:val="20"/>
                <w:szCs w:val="20"/>
              </w:rPr>
              <w:tab/>
              <w:t xml:space="preserve">ISO 11451 "Road vehicles – Vehicle test methods for electrical disturbances from </w:t>
            </w:r>
            <w:r w:rsidRPr="00557640">
              <w:rPr>
                <w:sz w:val="20"/>
                <w:szCs w:val="20"/>
              </w:rPr>
              <w:tab/>
              <w:t>narrowband radiated electromagnetic energy":</w:t>
            </w:r>
          </w:p>
          <w:p w14:paraId="09BB75EB" w14:textId="77777777" w:rsidR="00557640" w:rsidRPr="00557640" w:rsidRDefault="00557640" w:rsidP="00557640">
            <w:pPr>
              <w:ind w:left="720"/>
              <w:rPr>
                <w:sz w:val="20"/>
                <w:szCs w:val="20"/>
              </w:rPr>
            </w:pPr>
            <w:r w:rsidRPr="00557640">
              <w:rPr>
                <w:sz w:val="20"/>
                <w:szCs w:val="20"/>
              </w:rPr>
              <w:tab/>
              <w:t>Part 1:</w:t>
            </w:r>
            <w:r w:rsidRPr="00557640">
              <w:rPr>
                <w:sz w:val="20"/>
                <w:szCs w:val="20"/>
              </w:rPr>
              <w:tab/>
              <w:t>General principles and terminology (ISO 11451-1, Fourth edition 2015);</w:t>
            </w:r>
          </w:p>
          <w:p w14:paraId="77A7633A" w14:textId="22F39874" w:rsidR="00557640" w:rsidRPr="00557640" w:rsidRDefault="00557640" w:rsidP="00557640">
            <w:pPr>
              <w:ind w:left="720"/>
              <w:rPr>
                <w:sz w:val="20"/>
                <w:szCs w:val="20"/>
              </w:rPr>
            </w:pPr>
            <w:r w:rsidRPr="00557640">
              <w:rPr>
                <w:sz w:val="20"/>
                <w:szCs w:val="20"/>
              </w:rPr>
              <w:tab/>
              <w:t>Part 2:</w:t>
            </w:r>
            <w:r w:rsidRPr="00557640">
              <w:rPr>
                <w:sz w:val="20"/>
                <w:szCs w:val="20"/>
              </w:rPr>
              <w:tab/>
              <w:t xml:space="preserve">Off-vehicle radiation sources (ISO 11451-2, </w:t>
            </w:r>
            <w:r w:rsidRPr="00557640">
              <w:rPr>
                <w:b/>
                <w:bCs/>
                <w:sz w:val="20"/>
                <w:szCs w:val="20"/>
              </w:rPr>
              <w:t>Fifth</w:t>
            </w:r>
            <w:r w:rsidRPr="00557640">
              <w:rPr>
                <w:sz w:val="20"/>
                <w:szCs w:val="20"/>
              </w:rPr>
              <w:t xml:space="preserve"> edition </w:t>
            </w:r>
            <w:r w:rsidRPr="00557640">
              <w:rPr>
                <w:b/>
                <w:bCs/>
                <w:sz w:val="20"/>
                <w:szCs w:val="20"/>
              </w:rPr>
              <w:t>2025</w:t>
            </w:r>
            <w:r w:rsidRPr="00557640">
              <w:rPr>
                <w:sz w:val="20"/>
                <w:szCs w:val="20"/>
              </w:rPr>
              <w:t>);</w:t>
            </w:r>
          </w:p>
          <w:p w14:paraId="6B96A460" w14:textId="77777777" w:rsidR="00557640" w:rsidRPr="00557640" w:rsidRDefault="00557640" w:rsidP="00557640">
            <w:pPr>
              <w:ind w:left="720"/>
              <w:rPr>
                <w:sz w:val="20"/>
                <w:szCs w:val="20"/>
              </w:rPr>
            </w:pPr>
            <w:r w:rsidRPr="00557640">
              <w:rPr>
                <w:sz w:val="20"/>
                <w:szCs w:val="20"/>
              </w:rPr>
              <w:tab/>
              <w:t>Part 4:</w:t>
            </w:r>
            <w:r w:rsidRPr="00557640">
              <w:rPr>
                <w:sz w:val="20"/>
                <w:szCs w:val="20"/>
              </w:rPr>
              <w:tab/>
              <w:t>Harness excitation methods (ISO 11451-4, Fourth edition 2022);</w:t>
            </w:r>
          </w:p>
          <w:p w14:paraId="28084A2A" w14:textId="77777777" w:rsidR="009D1063" w:rsidRDefault="009D1063" w:rsidP="00FE4E1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2CE07" w14:textId="77777777" w:rsidR="001017F1" w:rsidRPr="001A151D" w:rsidRDefault="001017F1" w:rsidP="00FE4E1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F1" w:rsidRPr="00B44AC3" w14:paraId="1EBD59E7" w14:textId="77777777" w:rsidTr="00FE4E19">
        <w:trPr>
          <w:cantSplit/>
          <w:trHeight w:hRule="exact" w:val="1995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pct10" w:color="auto" w:fill="FFFFFF"/>
          </w:tcPr>
          <w:p w14:paraId="0788773C" w14:textId="77777777" w:rsidR="001017F1" w:rsidRDefault="001017F1" w:rsidP="00FE4E1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 Modified Text:</w:t>
            </w:r>
          </w:p>
          <w:p w14:paraId="1952F63E" w14:textId="77777777" w:rsidR="001017F1" w:rsidRPr="001A151D" w:rsidRDefault="001017F1" w:rsidP="00FE4E1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F1" w:rsidRPr="00B44AC3" w14:paraId="7F0ACF9F" w14:textId="77777777" w:rsidTr="005361E8">
        <w:trPr>
          <w:cantSplit/>
          <w:trHeight w:hRule="exact" w:val="36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12EC14B" w14:textId="77777777" w:rsidR="001017F1" w:rsidRDefault="001017F1" w:rsidP="00FE4E1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9BA33EF" w14:textId="77777777" w:rsidR="001017F1" w:rsidRPr="00F5499F" w:rsidRDefault="001017F1" w:rsidP="00FE4E1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F5499F">
              <w:rPr>
                <w:rFonts w:ascii="Arial" w:hAnsi="Arial"/>
                <w:b/>
                <w:sz w:val="20"/>
                <w:szCs w:val="20"/>
              </w:rPr>
              <w:t>Accepted As Written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76741EC" w14:textId="77777777" w:rsidR="001017F1" w:rsidRDefault="001017F1" w:rsidP="00FE4E1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2F58DC5E" w14:textId="77777777" w:rsidR="001017F1" w:rsidRPr="00B44AC3" w:rsidRDefault="001017F1" w:rsidP="00FE4E19">
            <w:pPr>
              <w:spacing w:before="40" w:after="12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Withdrawn</w:t>
            </w:r>
          </w:p>
        </w:tc>
      </w:tr>
      <w:tr w:rsidR="001017F1" w:rsidRPr="00B44AC3" w14:paraId="10509ADF" w14:textId="77777777" w:rsidTr="005361E8">
        <w:trPr>
          <w:cantSplit/>
          <w:trHeight w:hRule="exact" w:val="36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CCBFFEB" w14:textId="77777777" w:rsidR="001017F1" w:rsidRDefault="001017F1" w:rsidP="00FE4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925CFA3" w14:textId="77777777" w:rsidR="001017F1" w:rsidRDefault="001017F1" w:rsidP="00FE4E1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F5499F">
              <w:rPr>
                <w:rFonts w:ascii="Arial" w:hAnsi="Arial"/>
                <w:b/>
                <w:sz w:val="20"/>
                <w:szCs w:val="20"/>
              </w:rPr>
              <w:t>Accepted As Modified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A9B5DF4" w14:textId="77777777" w:rsidR="001017F1" w:rsidRDefault="001017F1" w:rsidP="00FE4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15704D42" w14:textId="77777777" w:rsidR="001017F1" w:rsidRPr="00F5499F" w:rsidRDefault="001017F1" w:rsidP="00FE4E19">
            <w:pPr>
              <w:spacing w:before="40"/>
              <w:rPr>
                <w:rFonts w:ascii="Arial" w:hAnsi="Arial"/>
                <w:b/>
                <w:sz w:val="20"/>
                <w:szCs w:val="20"/>
              </w:rPr>
            </w:pPr>
            <w:r w:rsidRPr="00F5499F">
              <w:rPr>
                <w:rFonts w:ascii="Arial" w:hAnsi="Arial"/>
                <w:b/>
                <w:sz w:val="20"/>
                <w:szCs w:val="20"/>
              </w:rPr>
              <w:t>Rejected</w:t>
            </w:r>
          </w:p>
        </w:tc>
      </w:tr>
      <w:tr w:rsidR="001017F1" w:rsidRPr="00B44AC3" w14:paraId="14653465" w14:textId="77777777" w:rsidTr="005361E8">
        <w:trPr>
          <w:cantSplit/>
          <w:trHeight w:hRule="exact" w:val="36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F5211D5" w14:textId="77777777" w:rsidR="001017F1" w:rsidRDefault="001017F1" w:rsidP="00FE4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A831AC2" w14:textId="77777777" w:rsidR="001017F1" w:rsidRDefault="001017F1" w:rsidP="00FE4E1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Deferred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2A63A0C" w14:textId="77777777" w:rsidR="001017F1" w:rsidRDefault="001017F1" w:rsidP="00FE4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1E0DD9B2" w14:textId="77777777" w:rsidR="001017F1" w:rsidRPr="00F5499F" w:rsidRDefault="001017F1" w:rsidP="00FE4E19">
            <w:pPr>
              <w:spacing w:before="4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Other</w:t>
            </w:r>
          </w:p>
        </w:tc>
      </w:tr>
      <w:tr w:rsidR="001017F1" w14:paraId="295C4347" w14:textId="77777777" w:rsidTr="00FE4E19">
        <w:trPr>
          <w:cantSplit/>
          <w:trHeight w:val="7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pct10" w:color="auto" w:fill="FFFFFF"/>
          </w:tcPr>
          <w:p w14:paraId="0997B90C" w14:textId="77777777" w:rsidR="001017F1" w:rsidRDefault="001017F1" w:rsidP="00FE4E19">
            <w:pPr>
              <w:tabs>
                <w:tab w:val="left" w:pos="72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Rejection Reason / Comments:</w:t>
            </w:r>
          </w:p>
          <w:p w14:paraId="1CA2B73C" w14:textId="77777777" w:rsidR="001017F1" w:rsidRDefault="001017F1" w:rsidP="00FE4E19">
            <w:pPr>
              <w:tabs>
                <w:tab w:val="left" w:pos="720"/>
              </w:tabs>
              <w:rPr>
                <w:rFonts w:ascii="Arial" w:hAnsi="Arial"/>
                <w:sz w:val="20"/>
              </w:rPr>
            </w:pPr>
          </w:p>
        </w:tc>
      </w:tr>
      <w:tr w:rsidR="001017F1" w14:paraId="61C6F737" w14:textId="77777777" w:rsidTr="00FE4E19">
        <w:trPr>
          <w:cantSplit/>
          <w:trHeight w:val="7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pct10" w:color="auto" w:fill="FFFFFF"/>
          </w:tcPr>
          <w:p w14:paraId="538DC366" w14:textId="77777777" w:rsidR="001017F1" w:rsidRDefault="001017F1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Proposal Deferred To:</w:t>
            </w:r>
          </w:p>
          <w:p w14:paraId="008DFA46" w14:textId="77777777" w:rsidR="001017F1" w:rsidRDefault="001017F1" w:rsidP="00FE4E19">
            <w:pPr>
              <w:rPr>
                <w:rFonts w:ascii="Arial" w:hAnsi="Arial"/>
                <w:sz w:val="20"/>
              </w:rPr>
            </w:pPr>
          </w:p>
        </w:tc>
      </w:tr>
      <w:tr w:rsidR="001017F1" w14:paraId="44B72F68" w14:textId="77777777" w:rsidTr="00FE4E19">
        <w:trPr>
          <w:cantSplit/>
          <w:trHeight w:hRule="exact" w:val="576"/>
        </w:trPr>
        <w:tc>
          <w:tcPr>
            <w:tcW w:w="3292" w:type="pct"/>
            <w:gridSpan w:val="6"/>
            <w:shd w:val="pct10" w:color="auto" w:fill="FFFFFF"/>
          </w:tcPr>
          <w:p w14:paraId="2906E421" w14:textId="77777777" w:rsidR="001017F1" w:rsidRDefault="001017F1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Proposal Disposition By:</w:t>
            </w:r>
          </w:p>
          <w:p w14:paraId="086AA18E" w14:textId="77777777" w:rsidR="001017F1" w:rsidRDefault="001017F1" w:rsidP="00FE4E19">
            <w:pPr>
              <w:rPr>
                <w:rFonts w:ascii="Arial" w:hAnsi="Arial"/>
                <w:sz w:val="20"/>
              </w:rPr>
            </w:pPr>
          </w:p>
        </w:tc>
        <w:tc>
          <w:tcPr>
            <w:tcW w:w="1708" w:type="pct"/>
            <w:gridSpan w:val="2"/>
            <w:shd w:val="pct10" w:color="auto" w:fill="FFFFFF"/>
          </w:tcPr>
          <w:p w14:paraId="7DC476B6" w14:textId="77777777" w:rsidR="001017F1" w:rsidRDefault="001017F1" w:rsidP="00FE4E1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Date:</w:t>
            </w:r>
          </w:p>
          <w:p w14:paraId="750B11CF" w14:textId="77777777" w:rsidR="001017F1" w:rsidRDefault="001017F1" w:rsidP="00FE4E19">
            <w:pPr>
              <w:rPr>
                <w:rFonts w:ascii="Arial" w:hAnsi="Arial"/>
                <w:sz w:val="20"/>
              </w:rPr>
            </w:pPr>
          </w:p>
        </w:tc>
      </w:tr>
    </w:tbl>
    <w:p w14:paraId="42A27057" w14:textId="77777777" w:rsidR="001017F1" w:rsidRDefault="001017F1" w:rsidP="001017F1"/>
    <w:p w14:paraId="5DC11E04" w14:textId="77777777" w:rsidR="00941317" w:rsidRDefault="00941317"/>
    <w:sectPr w:rsidR="00941317">
      <w:footerReference w:type="even" r:id="rId7"/>
      <w:footerReference w:type="default" r:id="rId8"/>
      <w:footerReference w:type="first" r:id="rId9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52D0" w14:textId="77777777" w:rsidR="00FA07B5" w:rsidRDefault="00FA07B5">
      <w:r>
        <w:separator/>
      </w:r>
    </w:p>
  </w:endnote>
  <w:endnote w:type="continuationSeparator" w:id="0">
    <w:p w14:paraId="091BBBB6" w14:textId="77777777" w:rsidR="00FA07B5" w:rsidRDefault="00FA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MW Group Condensed">
    <w:altName w:val="Calibri"/>
    <w:panose1 w:val="020B0606020202020204"/>
    <w:charset w:val="00"/>
    <w:family w:val="swiss"/>
    <w:pitch w:val="variable"/>
    <w:sig w:usb0="8000002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5B67" w14:textId="7F23BFDF" w:rsidR="00B62C35" w:rsidRDefault="00B62C35">
    <w:pPr>
      <w:pStyle w:val="Fuzeil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84B9FC" wp14:editId="799014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210388600" name="Textfeld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F0DD2" w14:textId="74C1F52C" w:rsidR="00B62C35" w:rsidRPr="00B62C35" w:rsidRDefault="00B62C35" w:rsidP="00B62C35">
                          <w:pPr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</w:rPr>
                          </w:pPr>
                          <w:r w:rsidRPr="00B62C35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4B9F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5FF0DD2" w14:textId="74C1F52C" w:rsidR="00B62C35" w:rsidRPr="00B62C35" w:rsidRDefault="00B62C35" w:rsidP="00B62C35">
                    <w:pPr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</w:rPr>
                    </w:pPr>
                    <w:r w:rsidRPr="00B62C35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7EFD" w14:textId="0ED13BD4" w:rsidR="00674862" w:rsidRDefault="00B62C35" w:rsidP="00A568B9">
    <w:pPr>
      <w:ind w:hanging="36"/>
      <w:jc w:val="right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F0DC55" wp14:editId="28BCE0F9">
              <wp:simplePos x="914400" y="916241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880520228" name="Textfeld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B82DA" w14:textId="7047A495" w:rsidR="00B62C35" w:rsidRPr="00B62C35" w:rsidRDefault="00B62C35" w:rsidP="00B62C35">
                          <w:pPr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</w:rPr>
                          </w:pPr>
                          <w:r w:rsidRPr="00B62C35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0DC5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CONFIDENT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02B82DA" w14:textId="7047A495" w:rsidR="00B62C35" w:rsidRPr="00B62C35" w:rsidRDefault="00B62C35" w:rsidP="00B62C35">
                    <w:pPr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</w:rPr>
                    </w:pPr>
                    <w:r w:rsidRPr="00B62C35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07B5">
      <w:rPr>
        <w:rFonts w:ascii="Arial" w:hAnsi="Arial"/>
        <w:b/>
        <w:sz w:val="20"/>
      </w:rPr>
      <w:t>Proposal Page Number:</w:t>
    </w:r>
  </w:p>
  <w:p w14:paraId="16609165" w14:textId="77777777" w:rsidR="00674862" w:rsidRDefault="00FA07B5" w:rsidP="00A568B9">
    <w:pPr>
      <w:pStyle w:val="Fuzeile"/>
      <w:tabs>
        <w:tab w:val="clear" w:pos="4320"/>
        <w:tab w:val="clear" w:pos="8640"/>
        <w:tab w:val="right" w:pos="8820"/>
      </w:tabs>
      <w:jc w:val="right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fldChar w:fldCharType="begin"/>
    </w:r>
    <w:r>
      <w:rPr>
        <w:rFonts w:ascii="Arial" w:hAnsi="Arial"/>
        <w:b/>
        <w:sz w:val="20"/>
      </w:rPr>
      <w:instrText xml:space="preserve"> PAGE  \* MERGEFORMAT </w:instrText>
    </w:r>
    <w:r>
      <w:rPr>
        <w:rFonts w:ascii="Arial" w:hAnsi="Arial"/>
        <w:b/>
        <w:sz w:val="20"/>
      </w:rPr>
      <w:fldChar w:fldCharType="separate"/>
    </w:r>
    <w:r>
      <w:rPr>
        <w:rFonts w:ascii="Arial" w:hAnsi="Arial"/>
        <w:b/>
        <w:noProof/>
        <w:sz w:val="20"/>
      </w:rPr>
      <w:t>1</w:t>
    </w:r>
    <w:r>
      <w:rPr>
        <w:rFonts w:ascii="Arial" w:hAnsi="Arial"/>
        <w:b/>
        <w:sz w:val="20"/>
      </w:rPr>
      <w:fldChar w:fldCharType="end"/>
    </w:r>
    <w:r>
      <w:rPr>
        <w:rFonts w:ascii="Arial" w:hAnsi="Arial"/>
        <w:b/>
        <w:sz w:val="20"/>
      </w:rPr>
      <w:t xml:space="preserve"> of </w:t>
    </w:r>
    <w:r>
      <w:rPr>
        <w:rFonts w:ascii="Arial" w:hAnsi="Arial"/>
        <w:b/>
        <w:sz w:val="20"/>
      </w:rPr>
      <w:fldChar w:fldCharType="begin"/>
    </w:r>
    <w:r>
      <w:rPr>
        <w:rFonts w:ascii="Arial" w:hAnsi="Arial"/>
        <w:b/>
        <w:sz w:val="20"/>
      </w:rPr>
      <w:instrText xml:space="preserve"> NUMPAGES  \* MERGEFORMAT </w:instrText>
    </w:r>
    <w:r>
      <w:rPr>
        <w:rFonts w:ascii="Arial" w:hAnsi="Arial"/>
        <w:b/>
        <w:sz w:val="20"/>
      </w:rPr>
      <w:fldChar w:fldCharType="separate"/>
    </w:r>
    <w:r>
      <w:rPr>
        <w:rFonts w:ascii="Arial" w:hAnsi="Arial"/>
        <w:b/>
        <w:noProof/>
        <w:sz w:val="20"/>
      </w:rPr>
      <w:t>2</w:t>
    </w:r>
    <w:r>
      <w:rPr>
        <w:rFonts w:ascii="Arial" w:hAnsi="Arial"/>
        <w:b/>
        <w:sz w:val="20"/>
      </w:rPr>
      <w:fldChar w:fldCharType="end"/>
    </w:r>
  </w:p>
  <w:p w14:paraId="11B68F4F" w14:textId="5D835EC5" w:rsidR="00674862" w:rsidRDefault="00FA07B5" w:rsidP="006E57F5">
    <w:pPr>
      <w:ind w:hanging="36"/>
      <w:rPr>
        <w:sz w:val="20"/>
      </w:rPr>
    </w:pP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68F9" w14:textId="6055EFD0" w:rsidR="00B62C35" w:rsidRDefault="00B62C35">
    <w:pPr>
      <w:pStyle w:val="Fuzeil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DDEC8E" wp14:editId="42BA8E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2037834595" name="Textfeld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8344F" w14:textId="41EB79CA" w:rsidR="00B62C35" w:rsidRPr="00B62C35" w:rsidRDefault="00B62C35" w:rsidP="00B62C35">
                          <w:pPr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</w:rPr>
                          </w:pPr>
                          <w:r w:rsidRPr="00B62C35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DEC8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AA8344F" w14:textId="41EB79CA" w:rsidR="00B62C35" w:rsidRPr="00B62C35" w:rsidRDefault="00B62C35" w:rsidP="00B62C35">
                    <w:pPr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</w:rPr>
                    </w:pPr>
                    <w:r w:rsidRPr="00B62C35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7030" w14:textId="77777777" w:rsidR="00FA07B5" w:rsidRDefault="00FA07B5">
      <w:r>
        <w:separator/>
      </w:r>
    </w:p>
  </w:footnote>
  <w:footnote w:type="continuationSeparator" w:id="0">
    <w:p w14:paraId="64E77B86" w14:textId="77777777" w:rsidR="00FA07B5" w:rsidRDefault="00FA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02528"/>
    <w:multiLevelType w:val="hybridMultilevel"/>
    <w:tmpl w:val="6C92BFF4"/>
    <w:lvl w:ilvl="0" w:tplc="AE687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A9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A3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21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08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41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CA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E2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88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F5131B"/>
    <w:multiLevelType w:val="hybridMultilevel"/>
    <w:tmpl w:val="23A85554"/>
    <w:lvl w:ilvl="0" w:tplc="6C50C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A2A6B"/>
    <w:multiLevelType w:val="hybridMultilevel"/>
    <w:tmpl w:val="059689C0"/>
    <w:lvl w:ilvl="0" w:tplc="01E85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2A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60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CB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60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C6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60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6C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E4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38357842">
    <w:abstractNumId w:val="0"/>
  </w:num>
  <w:num w:numId="2" w16cid:durableId="544414075">
    <w:abstractNumId w:val="2"/>
  </w:num>
  <w:num w:numId="3" w16cid:durableId="22356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79"/>
    <w:rsid w:val="001017F1"/>
    <w:rsid w:val="00177C0C"/>
    <w:rsid w:val="003447C0"/>
    <w:rsid w:val="00387D3D"/>
    <w:rsid w:val="005361E8"/>
    <w:rsid w:val="00557640"/>
    <w:rsid w:val="00674862"/>
    <w:rsid w:val="00840F00"/>
    <w:rsid w:val="00941317"/>
    <w:rsid w:val="009D1063"/>
    <w:rsid w:val="00A80379"/>
    <w:rsid w:val="00B62C35"/>
    <w:rsid w:val="00BC4061"/>
    <w:rsid w:val="00C8083A"/>
    <w:rsid w:val="00FA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CCEE"/>
  <w15:chartTrackingRefBased/>
  <w15:docId w15:val="{E05F5D11-E0A5-4F2A-8C92-94D12092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17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1017F1"/>
    <w:pPr>
      <w:keepNext/>
      <w:jc w:val="center"/>
      <w:outlineLvl w:val="0"/>
    </w:pPr>
    <w:rPr>
      <w:rFonts w:ascii="Helvetica" w:hAnsi="Helvetica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017F1"/>
    <w:rPr>
      <w:rFonts w:ascii="Helvetica" w:eastAsia="Times New Roman" w:hAnsi="Helvetica" w:cs="Times New Roman"/>
      <w:b/>
      <w:bCs/>
      <w:kern w:val="0"/>
      <w:sz w:val="24"/>
      <w:szCs w:val="24"/>
      <w:lang w:val="en-US"/>
      <w14:ligatures w14:val="none"/>
    </w:rPr>
  </w:style>
  <w:style w:type="paragraph" w:styleId="Kopfzeile">
    <w:name w:val="header"/>
    <w:basedOn w:val="Standard"/>
    <w:link w:val="KopfzeileZchn"/>
    <w:rsid w:val="001017F1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1017F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uzeile">
    <w:name w:val="footer"/>
    <w:basedOn w:val="Standard"/>
    <w:link w:val="FuzeileZchn"/>
    <w:rsid w:val="001017F1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rsid w:val="001017F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enabsatz">
    <w:name w:val="List Paragraph"/>
    <w:basedOn w:val="Standard"/>
    <w:uiPriority w:val="34"/>
    <w:qFormat/>
    <w:rsid w:val="0055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87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71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Gunsaya, Ayhan (A.)</dc:creator>
  <cp:keywords/>
  <dc:description/>
  <cp:lastModifiedBy>Gierstorfer Andreas, EE-353</cp:lastModifiedBy>
  <cp:revision>5</cp:revision>
  <dcterms:created xsi:type="dcterms:W3CDTF">2024-11-05T14:05:00Z</dcterms:created>
  <dcterms:modified xsi:type="dcterms:W3CDTF">2025-03-12T11:14:00Z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7976e363,48251078,347bac24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2024-11-13T07:27:01Z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db2f3b44-68fe-4b11-b121-44b22ad61956</vt:lpwstr>
  </property>
  <property fmtid="{D5CDD505-2E9C-101B-9397-08002B2CF9AE}" pid="11" name="MSIP_Label_e6935750-240b-48e4-a615-66942a738439_ContentBits">
    <vt:lpwstr>2</vt:lpwstr>
  </property>
</Properties>
</file>