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88"/>
        <w:gridCol w:w="1457"/>
        <w:gridCol w:w="526"/>
        <w:gridCol w:w="9"/>
        <w:gridCol w:w="1168"/>
        <w:gridCol w:w="1095"/>
        <w:gridCol w:w="2124"/>
      </w:tblGrid>
      <w:tr w:rsidR="001017F1" w14:paraId="78DF2D1E" w14:textId="77777777" w:rsidTr="00FE4E19">
        <w:trPr>
          <w:trHeight w:hRule="exact" w:val="1090"/>
        </w:trPr>
        <w:tc>
          <w:tcPr>
            <w:tcW w:w="5000" w:type="pct"/>
            <w:gridSpan w:val="8"/>
            <w:vAlign w:val="center"/>
          </w:tcPr>
          <w:p w14:paraId="0887C16A" w14:textId="17141560" w:rsidR="001017F1" w:rsidRDefault="0057785A" w:rsidP="00FE4E19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OICA EMC TF</w:t>
            </w:r>
          </w:p>
          <w:p w14:paraId="5B13A81E" w14:textId="77777777" w:rsidR="001017F1" w:rsidRDefault="001017F1" w:rsidP="00FE4E19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 w:rsidP="00FE4E1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(One major comment per form.)  </w:t>
            </w:r>
          </w:p>
          <w:p w14:paraId="63922696" w14:textId="3E954BE7" w:rsidR="001017F1" w:rsidRDefault="001017F1" w:rsidP="00FE4E1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(Shaded blocks for the use by the IWG </w:t>
            </w:r>
            <w:r w:rsidR="00177C0C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ecretary only.)</w:t>
            </w:r>
          </w:p>
        </w:tc>
      </w:tr>
      <w:tr w:rsidR="001017F1" w14:paraId="19758203" w14:textId="77777777" w:rsidTr="005361E8">
        <w:trPr>
          <w:cantSplit/>
          <w:trHeight w:val="432"/>
        </w:trPr>
        <w:tc>
          <w:tcPr>
            <w:tcW w:w="1615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IWG document Number:</w:t>
            </w:r>
          </w:p>
        </w:tc>
        <w:tc>
          <w:tcPr>
            <w:tcW w:w="10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IWG-EMC-</w:t>
            </w:r>
            <w:r w:rsidR="001017F1" w:rsidRPr="0065540D">
              <w:rPr>
                <w:rFonts w:ascii="Arial" w:hAnsi="Arial"/>
                <w:b/>
                <w:sz w:val="20"/>
              </w:rPr>
              <w:t>xx</w:t>
            </w:r>
            <w:r>
              <w:rPr>
                <w:rFonts w:ascii="Arial" w:hAnsi="Arial"/>
                <w:b/>
                <w:sz w:val="20"/>
              </w:rPr>
              <w:t>-</w:t>
            </w:r>
            <w:r w:rsidR="001017F1" w:rsidRPr="0065540D">
              <w:rPr>
                <w:rFonts w:ascii="Arial" w:hAnsi="Arial"/>
                <w:b/>
                <w:sz w:val="20"/>
              </w:rPr>
              <w:t>xx</w:t>
            </w:r>
          </w:p>
        </w:tc>
        <w:tc>
          <w:tcPr>
            <w:tcW w:w="2328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604A4D0E" w:rsidR="001017F1" w:rsidRPr="001A151D" w:rsidRDefault="001017F1" w:rsidP="00FE4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Date:  </w:t>
            </w:r>
            <w:r w:rsidR="00F66D55">
              <w:rPr>
                <w:rFonts w:ascii="Arial" w:hAnsi="Arial"/>
                <w:sz w:val="20"/>
              </w:rPr>
              <w:t>12 March 2025</w:t>
            </w:r>
          </w:p>
        </w:tc>
      </w:tr>
      <w:tr w:rsidR="001017F1" w14:paraId="56951F46" w14:textId="77777777" w:rsidTr="005361E8">
        <w:trPr>
          <w:trHeight w:val="20"/>
        </w:trPr>
        <w:tc>
          <w:tcPr>
            <w:tcW w:w="2672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Proposer’s Name, Affiliation, and E-mail:</w:t>
            </w:r>
          </w:p>
          <w:p w14:paraId="52E120A4" w14:textId="14181B19" w:rsidR="00274879" w:rsidRPr="006855C7" w:rsidRDefault="006855C7" w:rsidP="00274879">
            <w:pPr>
              <w:rPr>
                <w:rFonts w:ascii="Arial" w:hAnsi="Arial"/>
                <w:sz w:val="20"/>
              </w:rPr>
            </w:pPr>
            <w:r w:rsidRPr="006855C7">
              <w:rPr>
                <w:rFonts w:ascii="Arial" w:hAnsi="Arial"/>
                <w:sz w:val="20"/>
              </w:rPr>
              <w:t>OIC</w:t>
            </w:r>
            <w:r>
              <w:rPr>
                <w:rFonts w:ascii="Arial" w:hAnsi="Arial"/>
                <w:sz w:val="20"/>
              </w:rPr>
              <w:t>A (VDA)</w:t>
            </w:r>
          </w:p>
          <w:p w14:paraId="20993787" w14:textId="21AE26D2" w:rsidR="001017F1" w:rsidRPr="006855C7" w:rsidRDefault="00274879" w:rsidP="00274879">
            <w:pPr>
              <w:rPr>
                <w:rFonts w:ascii="Arial" w:hAnsi="Arial"/>
                <w:sz w:val="20"/>
              </w:rPr>
            </w:pPr>
            <w:r w:rsidRPr="006855C7">
              <w:rPr>
                <w:rFonts w:ascii="Arial" w:hAnsi="Arial"/>
                <w:sz w:val="20"/>
              </w:rPr>
              <w:t>Andreas Gierstorfer, BMW, andreas.gierstorfer@bmw.de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Paragraph:</w:t>
            </w:r>
          </w:p>
          <w:p w14:paraId="39D23540" w14:textId="77777777" w:rsidR="009D1063" w:rsidRDefault="00425548" w:rsidP="00FE4E19">
            <w:pPr>
              <w:pStyle w:val="Kopfzeile"/>
              <w:tabs>
                <w:tab w:val="clear" w:pos="4320"/>
                <w:tab w:val="clear" w:pos="8640"/>
                <w:tab w:val="left" w:pos="76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6.4.2.1, 7.7.2.1,</w:t>
            </w:r>
          </w:p>
          <w:p w14:paraId="1C4ED714" w14:textId="0444D6DC" w:rsidR="00425548" w:rsidRDefault="00425548" w:rsidP="00FE4E19">
            <w:pPr>
              <w:pStyle w:val="Kopfzeile"/>
              <w:tabs>
                <w:tab w:val="clear" w:pos="4320"/>
                <w:tab w:val="clear" w:pos="8640"/>
                <w:tab w:val="left" w:pos="76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6.8.2.1, 7.18.2.1</w:t>
            </w:r>
          </w:p>
        </w:tc>
        <w:tc>
          <w:tcPr>
            <w:tcW w:w="1127" w:type="pct"/>
            <w:tcBorders>
              <w:left w:val="single" w:sz="4" w:space="0" w:color="auto"/>
            </w:tcBorders>
          </w:tcPr>
          <w:p w14:paraId="179DEE7D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Page:</w:t>
            </w:r>
          </w:p>
          <w:p w14:paraId="20D2EB2F" w14:textId="77777777" w:rsidR="001017F1" w:rsidRDefault="001017F1" w:rsidP="00FE4E19">
            <w:pPr>
              <w:pStyle w:val="Kopfzeile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/>
                <w:sz w:val="20"/>
              </w:rPr>
            </w:pPr>
          </w:p>
        </w:tc>
      </w:tr>
      <w:tr w:rsidR="001017F1" w14:paraId="493F2C04" w14:textId="77777777" w:rsidTr="00FE4E19">
        <w:trPr>
          <w:trHeight w:val="102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31DD98EC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Summary of Change </w:t>
            </w:r>
            <w:r w:rsidRPr="00D57ACA">
              <w:rPr>
                <w:rFonts w:ascii="Arial" w:hAnsi="Arial"/>
                <w:sz w:val="20"/>
              </w:rPr>
              <w:t>(25 words or less)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1D405D12" w14:textId="66251622" w:rsidR="005A5E78" w:rsidRPr="0033105C" w:rsidRDefault="00425548" w:rsidP="0033105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Editorial update of test level definition: suppress “rms (root mean squared)” </w:t>
            </w:r>
          </w:p>
        </w:tc>
      </w:tr>
      <w:tr w:rsidR="001017F1" w:rsidRPr="00B44AC3" w14:paraId="0D83BE92" w14:textId="77777777" w:rsidTr="0033105C">
        <w:trPr>
          <w:cantSplit/>
          <w:trHeight w:hRule="exact" w:val="175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88834D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Reason for Change </w:t>
            </w:r>
            <w:r w:rsidRPr="00EB5BDB">
              <w:rPr>
                <w:rFonts w:ascii="Arial" w:hAnsi="Arial"/>
                <w:sz w:val="20"/>
              </w:rPr>
              <w:t>(Justification)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B21DF63" w14:textId="64E4334E" w:rsidR="0033105C" w:rsidRPr="0033105C" w:rsidRDefault="00425548" w:rsidP="0033105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 standards ISO 11451-1 (vehicle) and ISO 11452-1 (ESA) include a definition of the test severity level. rms can be misleading because only modulated signals with constant peak test level are required in R10.</w:t>
            </w:r>
          </w:p>
        </w:tc>
      </w:tr>
      <w:tr w:rsidR="001017F1" w:rsidRPr="00B44AC3" w14:paraId="0B07D976" w14:textId="77777777" w:rsidTr="00FE4E19">
        <w:trPr>
          <w:cantSplit/>
          <w:trHeight w:hRule="exact" w:val="156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32A635" w14:textId="77777777" w:rsidR="001017F1" w:rsidRDefault="001017F1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text:</w:t>
            </w:r>
          </w:p>
          <w:p w14:paraId="3C1EF773" w14:textId="7F76D41D" w:rsidR="009D1063" w:rsidRPr="0033105C" w:rsidRDefault="0033105C" w:rsidP="0033105C">
            <w:pPr>
              <w:rPr>
                <w:rFonts w:ascii="Arial" w:hAnsi="Arial" w:cs="Arial"/>
                <w:sz w:val="20"/>
                <w:szCs w:val="20"/>
              </w:rPr>
            </w:pPr>
            <w:r w:rsidRPr="0033105C">
              <w:rPr>
                <w:rFonts w:ascii="Arial" w:hAnsi="Arial" w:cs="Arial"/>
                <w:sz w:val="20"/>
                <w:szCs w:val="20"/>
              </w:rPr>
              <w:t xml:space="preserve">See below: wording to be suppressed in </w:t>
            </w:r>
            <w:r w:rsidRPr="0033105C">
              <w:rPr>
                <w:rFonts w:ascii="Arial" w:hAnsi="Arial" w:cs="Arial"/>
                <w:strike/>
                <w:sz w:val="20"/>
                <w:szCs w:val="20"/>
              </w:rPr>
              <w:t>strikethrough.</w:t>
            </w:r>
          </w:p>
        </w:tc>
      </w:tr>
      <w:tr w:rsidR="001017F1" w:rsidRPr="00B44AC3" w14:paraId="07B6B69E" w14:textId="77777777" w:rsidTr="0033105C">
        <w:trPr>
          <w:cantSplit/>
          <w:trHeight w:hRule="exact" w:val="466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8BED88B" w14:textId="77777777" w:rsidR="001017F1" w:rsidRDefault="001017F1" w:rsidP="00607DC5">
            <w:pPr>
              <w:spacing w:after="120"/>
              <w:rPr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Revise To:</w:t>
            </w:r>
            <w:r w:rsidR="00274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B862C9" w14:textId="77777777" w:rsidR="00425548" w:rsidRPr="00425548" w:rsidRDefault="00425548" w:rsidP="00425548">
            <w:pPr>
              <w:pStyle w:val="StandardWeb"/>
              <w:spacing w:before="200" w:beforeAutospacing="0" w:after="0" w:afterAutospacing="0"/>
              <w:ind w:left="850" w:hanging="850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MS Mincho" w:cs="+mn-cs"/>
                <w:i/>
                <w:iCs/>
                <w:color w:val="000000"/>
                <w:kern w:val="24"/>
                <w:sz w:val="20"/>
                <w:szCs w:val="20"/>
                <w:lang w:val="en-GB"/>
              </w:rPr>
              <w:t>Paragraph 6.4.2.1.,</w:t>
            </w:r>
            <w:r w:rsidRPr="00425548">
              <w:rPr>
                <w:rFonts w:eastAsia="MS Mincho" w:cs="+mn-cs"/>
                <w:color w:val="000000"/>
                <w:kern w:val="24"/>
                <w:sz w:val="20"/>
                <w:szCs w:val="20"/>
                <w:lang w:val="en-GB"/>
              </w:rPr>
              <w:t xml:space="preserve"> amend to read:</w:t>
            </w:r>
          </w:p>
          <w:p w14:paraId="30B27C3B" w14:textId="77777777" w:rsidR="00425548" w:rsidRPr="00425548" w:rsidRDefault="00425548" w:rsidP="00425548">
            <w:pPr>
              <w:pStyle w:val="StandardWeb"/>
              <w:spacing w:before="20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6.4.2.1. 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 described in Annex 6, in accordance with ISO 11451-2, the field strength shall be 30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 (root mean squared)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in over 90 per cent of the 20 to 2,000 MHz frequency band and a minimum of 25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over the whole 20 to 2,000 MHz frequency band. The field strength shall be 10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in over 90 per cent of the 2,000 to 6,000 MHz frequency band and a minimum of 8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over the whole 2,000 to 6,000 MHz frequency band.</w:t>
            </w:r>
          </w:p>
          <w:p w14:paraId="4A54BAA6" w14:textId="77777777" w:rsidR="00425548" w:rsidRPr="00425548" w:rsidRDefault="00425548" w:rsidP="00425548">
            <w:pPr>
              <w:pStyle w:val="StandardWeb"/>
              <w:spacing w:before="20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 described in Annex 6, in accordance with ISO 11451-4 BCI the current shall be 60 mA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in over 90 per cent of the 20 to 2,000 MHz frequency band and a minimum of 50 mA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over the whole 20 to 2,000 MHz frequency band.“</w:t>
            </w:r>
          </w:p>
          <w:p w14:paraId="5452CE07" w14:textId="30A858E5" w:rsidR="0033105C" w:rsidRPr="001A151D" w:rsidRDefault="0033105C" w:rsidP="00425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5C" w:rsidRPr="00B44AC3" w14:paraId="63BB72D1" w14:textId="77777777" w:rsidTr="00425548">
        <w:trPr>
          <w:cantSplit/>
          <w:trHeight w:hRule="exact" w:val="709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7DF3237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+mn-ea" w:cs="+mn-cs"/>
                <w:i/>
                <w:iCs/>
                <w:kern w:val="24"/>
                <w:sz w:val="20"/>
                <w:szCs w:val="20"/>
                <w:lang w:val="en-US"/>
              </w:rPr>
              <w:lastRenderedPageBreak/>
              <w:t xml:space="preserve">Paragraph 7.7.2.1., 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amend to read: </w:t>
            </w:r>
          </w:p>
          <w:p w14:paraId="089639BB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7.7.2.1. 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 described in Annex 6, the field strength shall be 30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 (root mean squared)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in over 90 per cent of the 20 to 2,000 MHz frequency band and a minimum of 25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over the whole 20 to 2,000 MHz frequency band. The field strength shall be 10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in over 90 per cent of the 2,000 to 6,000 MHz frequency band and a minimum of 8 volts/m </w:t>
            </w:r>
            <w:r w:rsidRPr="00425548">
              <w:rPr>
                <w:rFonts w:eastAsia="MS Mincho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MS Mincho" w:cs="+mn-cs"/>
                <w:kern w:val="24"/>
                <w:sz w:val="20"/>
                <w:szCs w:val="20"/>
                <w:lang w:val="en-US"/>
              </w:rPr>
              <w:t xml:space="preserve"> over the whole 2,000 to 6,000 MHz frequency band. </w:t>
            </w:r>
          </w:p>
          <w:p w14:paraId="063174EF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 described in Annex 6, with ISO 11451-4 BCI method the current shall be 60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in over 90 per cent of the 20 to 2,000 MHz frequency band and a minimum of 50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over the whole 20 to 2,000 MHz frequency band.</w:t>
            </w:r>
          </w:p>
          <w:p w14:paraId="02F02E1D" w14:textId="77777777" w:rsidR="0033105C" w:rsidRPr="00425548" w:rsidRDefault="0033105C" w:rsidP="00425548">
            <w:pPr>
              <w:pStyle w:val="StandardWeb"/>
              <w:spacing w:before="0" w:beforeAutospacing="0" w:after="120" w:afterAutospacing="0"/>
              <w:ind w:left="1138" w:hanging="113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F58B641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ind w:left="1138" w:hanging="1138"/>
              <w:jc w:val="both"/>
              <w:rPr>
                <w:rFonts w:eastAsia="+mn-ea" w:cs="+mn-cs"/>
                <w:kern w:val="24"/>
                <w:sz w:val="20"/>
                <w:szCs w:val="20"/>
                <w:lang w:val="en-US"/>
              </w:rPr>
            </w:pP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6.8.2.1. 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methods described in Annex 9, the immunity test levels shall be 60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 xml:space="preserve">root-mean-square </w:t>
            </w:r>
            <w:r w:rsidRPr="00425548">
              <w:rPr>
                <w:rFonts w:ascii="Arial" w:eastAsia="+mn-ea" w:hAnsi="Arial" w:cs="+mn-cs"/>
                <w:strike/>
                <w:kern w:val="24"/>
                <w:sz w:val="20"/>
                <w:szCs w:val="20"/>
                <w:lang w:val="en-US"/>
              </w:rPr>
              <w:t>(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 xml:space="preserve">rms) 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for the 150 mm stripline testing method, 15 volts/m rms for the 800 mm stripline testing method, 75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Transverse Electromagnetic Mode (TEM) cell testing method, 60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bulk current injection (BCI) testing method and 30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free field testing method in over 90 per cent of the 20 to 2,000 MHz frequency band, and to a minimum of 50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150 mm stripline testing method, 12.5 volts/m rms for the 800 mm stripline testing method, 62.5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, for the TEM cell testing method, 50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bulk current injection (BCI) testing method and 25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free field testing method over the whole 20 to 2,000 MHz frequency band. </w:t>
            </w:r>
          </w:p>
          <w:p w14:paraId="6A2FF9FC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</w:p>
          <w:p w14:paraId="6954C7F5" w14:textId="77777777" w:rsidR="00425548" w:rsidRPr="00425548" w:rsidRDefault="00425548" w:rsidP="00425548">
            <w:pPr>
              <w:pStyle w:val="StandardWeb"/>
              <w:spacing w:before="0" w:beforeAutospacing="0" w:after="0" w:afterAutospacing="0"/>
              <w:ind w:left="1138" w:hanging="1138"/>
              <w:jc w:val="both"/>
              <w:rPr>
                <w:sz w:val="20"/>
                <w:szCs w:val="20"/>
                <w:lang w:val="en-US"/>
              </w:rPr>
            </w:pP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7.18.2.1. 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ab/>
              <w:t xml:space="preserve">If tests are made using the methods described in Annex 9, the immunity test levels shall be 60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150 mm stripline testing method, 15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800 mm stripline testing method, 75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Transverse Electromagnetic Mode (TEM) cell testing method, 60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Bulk Current Injection (BCI) testing method and 30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free field testing method in over 90 per cent of the 20 to 2,000 MHz frequency band, and to a minimum of 50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150 mm stripline testing method, 12.5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800 mm stripline testing method, 62.5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, for the TEM cell testing method, 50 mA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bulk current injection (BCI) testing method and 25 volts/m </w:t>
            </w:r>
            <w:r w:rsidRPr="00425548">
              <w:rPr>
                <w:rFonts w:eastAsia="+mn-ea" w:cs="+mn-cs"/>
                <w:strike/>
                <w:kern w:val="24"/>
                <w:sz w:val="20"/>
                <w:szCs w:val="20"/>
                <w:lang w:val="en-US"/>
              </w:rPr>
              <w:t>rms</w:t>
            </w:r>
            <w:r w:rsidRPr="00425548">
              <w:rPr>
                <w:rFonts w:eastAsia="+mn-ea" w:cs="+mn-cs"/>
                <w:kern w:val="24"/>
                <w:sz w:val="20"/>
                <w:szCs w:val="20"/>
                <w:lang w:val="en-US"/>
              </w:rPr>
              <w:t xml:space="preserve"> for the free field testing method over the whole 20 to 2,000 MHz frequency band. </w:t>
            </w:r>
          </w:p>
          <w:p w14:paraId="32D65659" w14:textId="77777777" w:rsidR="00425548" w:rsidRPr="00425548" w:rsidRDefault="00425548" w:rsidP="00425548">
            <w:pPr>
              <w:pStyle w:val="StandardWeb"/>
              <w:spacing w:before="0" w:beforeAutospacing="0" w:after="120" w:afterAutospacing="0"/>
              <w:ind w:left="1138" w:hanging="1138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017F1" w:rsidRPr="00B44AC3" w14:paraId="1EBD59E7" w14:textId="77777777" w:rsidTr="00FE4E19">
        <w:trPr>
          <w:cantSplit/>
          <w:trHeight w:hRule="exact" w:val="199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 Modified Text:</w:t>
            </w:r>
          </w:p>
          <w:p w14:paraId="1952F63E" w14:textId="77777777" w:rsidR="001017F1" w:rsidRPr="001A151D" w:rsidRDefault="001017F1" w:rsidP="00FE4E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F1" w:rsidRPr="00B44AC3" w14:paraId="7F0ACF9F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77777777" w:rsidR="001017F1" w:rsidRPr="00F5499F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 w:rsidP="00FE4E19">
            <w:pPr>
              <w:spacing w:before="40"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Withdrawn</w:t>
            </w:r>
          </w:p>
        </w:tc>
      </w:tr>
      <w:tr w:rsidR="001017F1" w:rsidRPr="00B44AC3" w14:paraId="10509ADF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 w:rsidP="00FE4E19">
            <w:pPr>
              <w:spacing w:before="40"/>
              <w:rPr>
                <w:rFonts w:ascii="Arial" w:hAnsi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Rejected</w:t>
            </w:r>
          </w:p>
        </w:tc>
      </w:tr>
      <w:tr w:rsidR="001017F1" w:rsidRPr="00B44AC3" w14:paraId="14653465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 w:rsidP="00FE4E19">
            <w:pPr>
              <w:spacing w:before="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Other</w:t>
            </w:r>
          </w:p>
        </w:tc>
      </w:tr>
      <w:tr w:rsidR="001017F1" w14:paraId="295C4347" w14:textId="77777777" w:rsidTr="00FE4E19">
        <w:trPr>
          <w:cantSplit/>
          <w:trHeight w:val="7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 w:rsidP="00FE4E19">
            <w:pPr>
              <w:tabs>
                <w:tab w:val="left" w:pos="72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Rejection Reason / Comments:</w:t>
            </w:r>
          </w:p>
          <w:p w14:paraId="1CA2B73C" w14:textId="77777777" w:rsidR="001017F1" w:rsidRDefault="001017F1" w:rsidP="00FE4E19">
            <w:pPr>
              <w:tabs>
                <w:tab w:val="left" w:pos="720"/>
              </w:tabs>
              <w:rPr>
                <w:rFonts w:ascii="Arial" w:hAnsi="Arial"/>
                <w:sz w:val="20"/>
              </w:rPr>
            </w:pPr>
          </w:p>
        </w:tc>
      </w:tr>
      <w:tr w:rsidR="001017F1" w14:paraId="61C6F737" w14:textId="77777777" w:rsidTr="00FE4E19">
        <w:trPr>
          <w:cantSplit/>
          <w:trHeight w:val="7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Proposal Deferred To:</w:t>
            </w:r>
          </w:p>
          <w:p w14:paraId="008DFA46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</w:tr>
      <w:tr w:rsidR="001017F1" w14:paraId="44B72F68" w14:textId="77777777" w:rsidTr="00FE4E19">
        <w:trPr>
          <w:cantSplit/>
          <w:trHeight w:hRule="exact" w:val="576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Proposal Disposition By:</w:t>
            </w:r>
          </w:p>
          <w:p w14:paraId="086AA18E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  <w:p w14:paraId="750B11CF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</w:tr>
    </w:tbl>
    <w:p w14:paraId="5DC11E04" w14:textId="77777777" w:rsidR="00941317" w:rsidRDefault="00941317"/>
    <w:sectPr w:rsidR="00941317">
      <w:footerReference w:type="even" r:id="rId7"/>
      <w:footerReference w:type="default" r:id="rId8"/>
      <w:footerReference w:type="firs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52D0" w14:textId="77777777" w:rsidR="00FA07B5" w:rsidRDefault="00FA07B5">
      <w:r>
        <w:separator/>
      </w:r>
    </w:p>
  </w:endnote>
  <w:endnote w:type="continuationSeparator" w:id="0">
    <w:p w14:paraId="091BBBB6" w14:textId="77777777" w:rsidR="00FA07B5" w:rsidRDefault="00FA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5B67" w14:textId="5B5EB238" w:rsidR="00B62C35" w:rsidRDefault="00B62C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EFD" w14:textId="2096FC6D" w:rsidR="00674862" w:rsidRDefault="00FA07B5" w:rsidP="00A568B9">
    <w:pPr>
      <w:ind w:hanging="36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Proposal Page Number:</w:t>
    </w:r>
  </w:p>
  <w:p w14:paraId="16609165" w14:textId="77777777" w:rsidR="00674862" w:rsidRDefault="00FA07B5" w:rsidP="00A568B9">
    <w:pPr>
      <w:pStyle w:val="Fuzeile"/>
      <w:tabs>
        <w:tab w:val="clear" w:pos="4320"/>
        <w:tab w:val="clear" w:pos="8640"/>
        <w:tab w:val="right" w:pos="882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fldChar w:fldCharType="begin"/>
    </w:r>
    <w:r>
      <w:rPr>
        <w:rFonts w:ascii="Arial" w:hAnsi="Arial"/>
        <w:b/>
        <w:sz w:val="20"/>
      </w:rPr>
      <w:instrText xml:space="preserve"> PAGE  \* MERGEFORMAT </w:instrText>
    </w:r>
    <w:r>
      <w:rPr>
        <w:rFonts w:ascii="Arial" w:hAnsi="Arial"/>
        <w:b/>
        <w:sz w:val="20"/>
      </w:rPr>
      <w:fldChar w:fldCharType="separate"/>
    </w:r>
    <w:r>
      <w:rPr>
        <w:rFonts w:ascii="Arial" w:hAnsi="Arial"/>
        <w:b/>
        <w:noProof/>
        <w:sz w:val="20"/>
      </w:rPr>
      <w:t>1</w:t>
    </w:r>
    <w:r>
      <w:rPr>
        <w:rFonts w:ascii="Arial" w:hAnsi="Arial"/>
        <w:b/>
        <w:sz w:val="20"/>
      </w:rPr>
      <w:fldChar w:fldCharType="end"/>
    </w:r>
    <w:r>
      <w:rPr>
        <w:rFonts w:ascii="Arial" w:hAnsi="Arial"/>
        <w:b/>
        <w:sz w:val="20"/>
      </w:rPr>
      <w:t xml:space="preserve"> of </w:t>
    </w:r>
    <w:r>
      <w:rPr>
        <w:rFonts w:ascii="Arial" w:hAnsi="Arial"/>
        <w:b/>
        <w:sz w:val="20"/>
      </w:rPr>
      <w:fldChar w:fldCharType="begin"/>
    </w:r>
    <w:r>
      <w:rPr>
        <w:rFonts w:ascii="Arial" w:hAnsi="Arial"/>
        <w:b/>
        <w:sz w:val="20"/>
      </w:rPr>
      <w:instrText xml:space="preserve"> NUMPAGES  \* MERGEFORMAT </w:instrText>
    </w:r>
    <w:r>
      <w:rPr>
        <w:rFonts w:ascii="Arial" w:hAnsi="Arial"/>
        <w:b/>
        <w:sz w:val="20"/>
      </w:rPr>
      <w:fldChar w:fldCharType="separate"/>
    </w:r>
    <w:r>
      <w:rPr>
        <w:rFonts w:ascii="Arial" w:hAnsi="Arial"/>
        <w:b/>
        <w:noProof/>
        <w:sz w:val="20"/>
      </w:rPr>
      <w:t>2</w:t>
    </w:r>
    <w:r>
      <w:rPr>
        <w:rFonts w:ascii="Arial" w:hAnsi="Arial"/>
        <w:b/>
        <w:sz w:val="20"/>
      </w:rPr>
      <w:fldChar w:fldCharType="end"/>
    </w:r>
  </w:p>
  <w:p w14:paraId="11B68F4F" w14:textId="5D835EC5" w:rsidR="00674862" w:rsidRDefault="00FA07B5" w:rsidP="006E57F5">
    <w:pPr>
      <w:ind w:hanging="36"/>
      <w:rPr>
        <w:sz w:val="20"/>
      </w:rPr>
    </w:pP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68F9" w14:textId="28996A7D" w:rsidR="00B62C35" w:rsidRDefault="00B62C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7030" w14:textId="77777777" w:rsidR="00FA07B5" w:rsidRDefault="00FA07B5">
      <w:r>
        <w:separator/>
      </w:r>
    </w:p>
  </w:footnote>
  <w:footnote w:type="continuationSeparator" w:id="0">
    <w:p w14:paraId="64E77B86" w14:textId="77777777" w:rsidR="00FA07B5" w:rsidRDefault="00FA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0C8"/>
    <w:multiLevelType w:val="hybridMultilevel"/>
    <w:tmpl w:val="5352F934"/>
    <w:lvl w:ilvl="0" w:tplc="C1FC85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74FC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A613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C2E04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CEE5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E20E6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7EA4D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F824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52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202528"/>
    <w:multiLevelType w:val="hybridMultilevel"/>
    <w:tmpl w:val="6C92BFF4"/>
    <w:lvl w:ilvl="0" w:tplc="AE6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A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41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A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E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8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1A2A6B"/>
    <w:multiLevelType w:val="hybridMultilevel"/>
    <w:tmpl w:val="059689C0"/>
    <w:lvl w:ilvl="0" w:tplc="01E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2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B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6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6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6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E4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CA044D"/>
    <w:multiLevelType w:val="hybridMultilevel"/>
    <w:tmpl w:val="5074F66A"/>
    <w:lvl w:ilvl="0" w:tplc="3A264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57842">
    <w:abstractNumId w:val="1"/>
  </w:num>
  <w:num w:numId="2" w16cid:durableId="544414075">
    <w:abstractNumId w:val="2"/>
  </w:num>
  <w:num w:numId="3" w16cid:durableId="567496516">
    <w:abstractNumId w:val="3"/>
  </w:num>
  <w:num w:numId="4" w16cid:durableId="6896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1017F1"/>
    <w:rsid w:val="00145E47"/>
    <w:rsid w:val="00177C0C"/>
    <w:rsid w:val="00274879"/>
    <w:rsid w:val="0033105C"/>
    <w:rsid w:val="00387D3D"/>
    <w:rsid w:val="003958A6"/>
    <w:rsid w:val="00425548"/>
    <w:rsid w:val="004E5F38"/>
    <w:rsid w:val="005361E8"/>
    <w:rsid w:val="0057499D"/>
    <w:rsid w:val="0057785A"/>
    <w:rsid w:val="005A5E78"/>
    <w:rsid w:val="00607DC5"/>
    <w:rsid w:val="00674862"/>
    <w:rsid w:val="006855C7"/>
    <w:rsid w:val="00941317"/>
    <w:rsid w:val="009D1063"/>
    <w:rsid w:val="00A80379"/>
    <w:rsid w:val="00AF728B"/>
    <w:rsid w:val="00B62C35"/>
    <w:rsid w:val="00BC4061"/>
    <w:rsid w:val="00C54DE2"/>
    <w:rsid w:val="00D83C18"/>
    <w:rsid w:val="00F66D55"/>
    <w:rsid w:val="00FA07B5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CCEE"/>
  <w15:chartTrackingRefBased/>
  <w15:docId w15:val="{E05F5D11-E0A5-4F2A-8C92-94D12092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7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Kopfzeile">
    <w:name w:val="header"/>
    <w:basedOn w:val="Standard"/>
    <w:link w:val="KopfzeileZchn"/>
    <w:rsid w:val="001017F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uzeile">
    <w:name w:val="footer"/>
    <w:basedOn w:val="Standard"/>
    <w:link w:val="FuzeileZchn"/>
    <w:rsid w:val="001017F1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enabsatz">
    <w:name w:val="List Paragraph"/>
    <w:basedOn w:val="Standard"/>
    <w:uiPriority w:val="34"/>
    <w:qFormat/>
    <w:rsid w:val="005A5E7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3105C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8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1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30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Gierstorfer Andreas, EE-353</cp:lastModifiedBy>
  <cp:revision>14</cp:revision>
  <dcterms:created xsi:type="dcterms:W3CDTF">2024-11-05T14:05:00Z</dcterms:created>
  <dcterms:modified xsi:type="dcterms:W3CDTF">2025-03-12T17:52:00Z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2025-03-12T13:00:48Z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dab22f81-acd8-4363-8f7e-ed8787ec44b2</vt:lpwstr>
  </property>
  <property fmtid="{D5CDD505-2E9C-101B-9397-08002B2CF9AE}" pid="8" name="MSIP_Label_c2601314-b878-4900-a263-6d04f23371fa_ContentBits">
    <vt:lpwstr>0</vt:lpwstr>
  </property>
</Properties>
</file>