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9844" w14:textId="3B981860" w:rsidR="000D20CD" w:rsidRDefault="00EB7139" w:rsidP="0047061D">
      <w:pPr>
        <w:pStyle w:val="HChG"/>
      </w:pPr>
      <w:r w:rsidRPr="00F2705D">
        <w:tab/>
      </w:r>
      <w:r w:rsidR="00BC66AB" w:rsidRPr="00F2705D">
        <w:tab/>
      </w:r>
      <w:r w:rsidR="00817C72" w:rsidRPr="00817C72">
        <w:t>Proposal for amendments to UN Regulation No. 1</w:t>
      </w:r>
      <w:r w:rsidR="009923B6">
        <w:t>69</w:t>
      </w:r>
    </w:p>
    <w:p w14:paraId="66926638" w14:textId="6D8DDD72" w:rsidR="00B22D21" w:rsidRPr="00EF65FF" w:rsidRDefault="00EB7139" w:rsidP="0047061D">
      <w:pPr>
        <w:pStyle w:val="HChG"/>
        <w:spacing w:line="254" w:lineRule="auto"/>
        <w:rPr>
          <w:b w:val="0"/>
          <w:bCs/>
          <w:sz w:val="20"/>
        </w:rPr>
      </w:pPr>
      <w:r w:rsidRPr="00F2705D">
        <w:tab/>
      </w:r>
      <w:r w:rsidR="00792D1C">
        <w:rPr>
          <w:sz w:val="20"/>
        </w:rPr>
        <w:tab/>
      </w:r>
      <w:r w:rsidR="00817C72" w:rsidRPr="00817C72">
        <w:rPr>
          <w:b w:val="0"/>
          <w:bCs/>
          <w:sz w:val="20"/>
        </w:rPr>
        <w:t>The text reproduced below is based on that of the original version of UN Regulation No.1</w:t>
      </w:r>
      <w:r w:rsidR="009923B6">
        <w:rPr>
          <w:b w:val="0"/>
          <w:bCs/>
          <w:sz w:val="20"/>
        </w:rPr>
        <w:t>69</w:t>
      </w:r>
      <w:r w:rsidR="000D4913" w:rsidRPr="000D4913">
        <w:rPr>
          <w:b w:val="0"/>
          <w:bCs/>
          <w:sz w:val="20"/>
        </w:rPr>
        <w:t>. The modifications to that text are indicated in</w:t>
      </w:r>
      <w:r w:rsidR="00C73704" w:rsidRPr="00C73704">
        <w:rPr>
          <w:b w:val="0"/>
          <w:bCs/>
          <w:color w:val="FF0000"/>
          <w:sz w:val="20"/>
        </w:rPr>
        <w:t xml:space="preserve"> </w:t>
      </w:r>
      <w:r w:rsidR="000D4913" w:rsidRPr="00EF65FF">
        <w:rPr>
          <w:color w:val="000000" w:themeColor="text1"/>
          <w:sz w:val="20"/>
        </w:rPr>
        <w:t>bold</w:t>
      </w:r>
      <w:r w:rsidR="000D4913" w:rsidRPr="000D4913">
        <w:rPr>
          <w:b w:val="0"/>
          <w:bCs/>
          <w:sz w:val="20"/>
        </w:rPr>
        <w:t xml:space="preserve"> for new characters and </w:t>
      </w:r>
      <w:r w:rsidR="000D4913" w:rsidRPr="00EF65FF">
        <w:rPr>
          <w:b w:val="0"/>
          <w:bCs/>
          <w:strike/>
          <w:color w:val="000000" w:themeColor="text1"/>
          <w:sz w:val="20"/>
        </w:rPr>
        <w:t>strikethrough</w:t>
      </w:r>
      <w:r w:rsidR="000D4913" w:rsidRPr="000D4913">
        <w:rPr>
          <w:b w:val="0"/>
          <w:bCs/>
          <w:sz w:val="20"/>
        </w:rPr>
        <w:t xml:space="preserve"> for deleted characters.</w:t>
      </w:r>
    </w:p>
    <w:p w14:paraId="33188E08" w14:textId="4B07B8A3" w:rsidR="0046221A" w:rsidRPr="00F2705D" w:rsidRDefault="00BC66AB" w:rsidP="0047061D">
      <w:pPr>
        <w:pStyle w:val="HChG"/>
        <w:rPr>
          <w:color w:val="FF0000"/>
          <w:u w:val="single"/>
        </w:rPr>
      </w:pPr>
      <w:r>
        <w:tab/>
      </w:r>
      <w:r w:rsidR="000D20CD">
        <w:t>I.</w:t>
      </w:r>
      <w:r>
        <w:tab/>
      </w:r>
      <w:r w:rsidR="00EB7139" w:rsidRPr="00F2705D">
        <w:t>Proposal</w:t>
      </w:r>
      <w:r w:rsidR="0052531A">
        <w:t xml:space="preserve"> for </w:t>
      </w:r>
      <w:r w:rsidR="00BE2F3F">
        <w:t>supplement</w:t>
      </w:r>
      <w:r w:rsidR="00301498">
        <w:t xml:space="preserve"> </w:t>
      </w:r>
      <w:r w:rsidR="00DC1C9C">
        <w:t xml:space="preserve">to the </w:t>
      </w:r>
      <w:r w:rsidR="00817C72">
        <w:t>original version</w:t>
      </w:r>
      <w:r w:rsidR="00DC1C9C">
        <w:t xml:space="preserve"> of</w:t>
      </w:r>
      <w:r w:rsidR="00301498">
        <w:t xml:space="preserve"> UN Regulation No. </w:t>
      </w:r>
      <w:r w:rsidR="005337E1">
        <w:t>1</w:t>
      </w:r>
      <w:r w:rsidR="009923B6">
        <w:t>69</w:t>
      </w:r>
    </w:p>
    <w:p w14:paraId="563D9FB8" w14:textId="1B37C528" w:rsidR="009C26E9" w:rsidRPr="00EF146A" w:rsidRDefault="005337E1" w:rsidP="001C2D20">
      <w:pPr>
        <w:spacing w:after="120" w:line="240" w:lineRule="auto"/>
        <w:ind w:left="1134" w:right="1134"/>
        <w:rPr>
          <w:i/>
        </w:rPr>
      </w:pPr>
      <w:r w:rsidRPr="00EF146A">
        <w:rPr>
          <w:i/>
        </w:rPr>
        <w:t>Paragraph</w:t>
      </w:r>
      <w:r w:rsidR="00D36D25" w:rsidRPr="00EF146A">
        <w:rPr>
          <w:i/>
        </w:rPr>
        <w:t xml:space="preserve"> </w:t>
      </w:r>
      <w:r w:rsidR="009923B6">
        <w:rPr>
          <w:i/>
        </w:rPr>
        <w:t>4</w:t>
      </w:r>
      <w:r w:rsidR="00D36D25" w:rsidRPr="00EF146A">
        <w:rPr>
          <w:i/>
        </w:rPr>
        <w:t>.</w:t>
      </w:r>
      <w:r w:rsidR="001C2D20">
        <w:rPr>
          <w:i/>
        </w:rPr>
        <w:t>,</w:t>
      </w:r>
      <w:r w:rsidRPr="00EF146A">
        <w:rPr>
          <w:i/>
        </w:rPr>
        <w:t xml:space="preserve"> </w:t>
      </w:r>
      <w:r w:rsidRPr="001C2D20">
        <w:rPr>
          <w:iCs/>
        </w:rPr>
        <w:t>amend to read:</w:t>
      </w:r>
    </w:p>
    <w:p w14:paraId="5D9848E0" w14:textId="60107EFB" w:rsidR="002E7BC9" w:rsidRPr="002E7BC9" w:rsidRDefault="00525EEC" w:rsidP="007523DD">
      <w:pPr>
        <w:spacing w:before="360" w:after="240"/>
        <w:ind w:left="2268" w:right="1134" w:hanging="1134"/>
        <w:jc w:val="both"/>
        <w:rPr>
          <w:b/>
          <w:bCs/>
          <w:iCs/>
        </w:rPr>
      </w:pPr>
      <w:r>
        <w:rPr>
          <w:iCs/>
        </w:rPr>
        <w:t>"</w:t>
      </w:r>
      <w:r w:rsidR="002E7BC9" w:rsidRPr="002E7BC9">
        <w:rPr>
          <w:b/>
          <w:bCs/>
          <w:sz w:val="28"/>
          <w:szCs w:val="28"/>
          <w:lang w:eastAsia="fr-FR"/>
        </w:rPr>
        <w:t xml:space="preserve"> </w:t>
      </w:r>
      <w:r w:rsidR="002E7BC9" w:rsidRPr="004E094B">
        <w:rPr>
          <w:b/>
          <w:bCs/>
          <w:iCs/>
          <w:sz w:val="28"/>
          <w:szCs w:val="28"/>
        </w:rPr>
        <w:t>4.</w:t>
      </w:r>
      <w:r w:rsidR="002E7BC9" w:rsidRPr="004E094B">
        <w:rPr>
          <w:b/>
          <w:bCs/>
          <w:iCs/>
          <w:sz w:val="28"/>
          <w:szCs w:val="28"/>
        </w:rPr>
        <w:tab/>
        <w:t>Approval</w:t>
      </w:r>
    </w:p>
    <w:p w14:paraId="3630A3C6" w14:textId="77777777" w:rsidR="002E7BC9" w:rsidRPr="002E7BC9" w:rsidRDefault="002E7BC9" w:rsidP="007523DD">
      <w:pPr>
        <w:spacing w:after="120" w:line="240" w:lineRule="auto"/>
        <w:ind w:left="2268" w:right="1134" w:hanging="1134"/>
        <w:jc w:val="both"/>
        <w:rPr>
          <w:iCs/>
          <w:strike/>
        </w:rPr>
      </w:pPr>
      <w:r w:rsidRPr="002E7BC9">
        <w:rPr>
          <w:iCs/>
        </w:rPr>
        <w:t>4.1.</w:t>
      </w:r>
      <w:r w:rsidRPr="002E7BC9">
        <w:rPr>
          <w:iCs/>
        </w:rPr>
        <w:tab/>
        <w:t xml:space="preserve">If the vehicle type submitted for approval pursuant to this Regulation meets the requirements of paragraph 5. below approval of that vehicle type shall be granted. </w:t>
      </w:r>
      <w:r w:rsidRPr="002E7BC9">
        <w:rPr>
          <w:iCs/>
          <w:strike/>
        </w:rPr>
        <w:t xml:space="preserve">Alternatively, approval shall be granted, at the request of the manufacturer and in case of a vehicle type equipped with deployable restraint system with maximum mass up to 12,000 kg if: </w:t>
      </w:r>
    </w:p>
    <w:p w14:paraId="0307BA13" w14:textId="77777777" w:rsidR="002E7BC9" w:rsidRPr="002E7BC9" w:rsidRDefault="002E7BC9" w:rsidP="007523DD">
      <w:pPr>
        <w:spacing w:after="120" w:line="240" w:lineRule="auto"/>
        <w:ind w:left="2268" w:right="1134" w:hanging="1134"/>
        <w:jc w:val="both"/>
        <w:rPr>
          <w:iCs/>
          <w:strike/>
        </w:rPr>
      </w:pPr>
      <w:r w:rsidRPr="002E7BC9">
        <w:rPr>
          <w:iCs/>
          <w:strike/>
        </w:rPr>
        <w:t>-</w:t>
      </w:r>
      <w:r w:rsidRPr="002E7BC9">
        <w:rPr>
          <w:iCs/>
          <w:strike/>
        </w:rPr>
        <w:tab/>
        <w:t xml:space="preserve">this vehicle type meets the technical requirements and the transitional provisions of the 01 or later series of amendments to UN Regulation No. 160 and </w:t>
      </w:r>
    </w:p>
    <w:p w14:paraId="5A7A27E5" w14:textId="77777777" w:rsidR="002E7BC9" w:rsidRPr="002E7BC9" w:rsidRDefault="002E7BC9" w:rsidP="007523DD">
      <w:pPr>
        <w:spacing w:after="120" w:line="240" w:lineRule="auto"/>
        <w:ind w:left="2268" w:right="1134" w:hanging="1134"/>
        <w:jc w:val="both"/>
        <w:rPr>
          <w:iCs/>
          <w:strike/>
        </w:rPr>
      </w:pPr>
      <w:r w:rsidRPr="002E7BC9">
        <w:rPr>
          <w:iCs/>
          <w:strike/>
        </w:rPr>
        <w:t>-</w:t>
      </w:r>
      <w:r w:rsidRPr="002E7BC9">
        <w:rPr>
          <w:iCs/>
          <w:strike/>
        </w:rPr>
        <w:tab/>
        <w:t>only for vehicle types with maximum mass between 8,000 - 12,000 kg the manufacturer demonstrates, to the satisfaction of the approval authority, that the triggering performance is equally effective to this Regulation.</w:t>
      </w:r>
    </w:p>
    <w:p w14:paraId="1B59507E" w14:textId="77777777" w:rsidR="002E7BC9" w:rsidRDefault="002E7BC9" w:rsidP="007523DD">
      <w:pPr>
        <w:spacing w:after="120" w:line="240" w:lineRule="auto"/>
        <w:ind w:left="2268" w:right="1134" w:hanging="1134"/>
        <w:jc w:val="both"/>
        <w:rPr>
          <w:iCs/>
          <w:strike/>
        </w:rPr>
      </w:pPr>
      <w:r w:rsidRPr="002E7BC9">
        <w:rPr>
          <w:iCs/>
          <w:strike/>
        </w:rPr>
        <w:t>4.1.1.</w:t>
      </w:r>
      <w:r w:rsidRPr="002E7BC9">
        <w:rPr>
          <w:iCs/>
          <w:strike/>
        </w:rPr>
        <w:tab/>
        <w:t>Vehicles referred to in paragraph 4.1. which are not subject to national and regional regulations providing for crash tests requirements referred to in paragraphs 5.4.1 and 5.4.2. of UN Regulation No. 160 shall be subject to paragraph 5.4. of this regulation.</w:t>
      </w:r>
    </w:p>
    <w:p w14:paraId="7FE0E172" w14:textId="3F227EA3" w:rsidR="002E7BC9" w:rsidRPr="002E7BC9" w:rsidRDefault="002E7BC9" w:rsidP="007523DD">
      <w:pPr>
        <w:spacing w:after="120" w:line="240" w:lineRule="auto"/>
        <w:ind w:left="2268" w:right="1134" w:hanging="1134"/>
        <w:jc w:val="both"/>
        <w:rPr>
          <w:b/>
          <w:bCs/>
          <w:iCs/>
        </w:rPr>
      </w:pPr>
      <w:r w:rsidRPr="002E7BC9">
        <w:rPr>
          <w:b/>
          <w:bCs/>
          <w:iCs/>
        </w:rPr>
        <w:t>4.2.</w:t>
      </w:r>
      <w:r>
        <w:rPr>
          <w:b/>
          <w:bCs/>
          <w:iCs/>
        </w:rPr>
        <w:tab/>
      </w:r>
      <w:r w:rsidRPr="002E7BC9">
        <w:rPr>
          <w:b/>
          <w:bCs/>
          <w:iCs/>
        </w:rPr>
        <w:t>At the request of the manufacturer, approval shall be granted for any vehicle type up to a maximum mass of 12,000 kg provided that:</w:t>
      </w:r>
    </w:p>
    <w:p w14:paraId="7135C846" w14:textId="77777777" w:rsidR="002E7BC9" w:rsidRPr="002E7BC9" w:rsidRDefault="002E7BC9" w:rsidP="007523DD">
      <w:pPr>
        <w:spacing w:after="120" w:line="240" w:lineRule="auto"/>
        <w:ind w:left="2835" w:right="1134" w:hanging="567"/>
        <w:jc w:val="both"/>
        <w:rPr>
          <w:b/>
          <w:bCs/>
          <w:iCs/>
        </w:rPr>
      </w:pPr>
      <w:r w:rsidRPr="002E7BC9">
        <w:rPr>
          <w:b/>
          <w:bCs/>
          <w:iCs/>
        </w:rPr>
        <w:t>(a)</w:t>
      </w:r>
      <w:r w:rsidRPr="002E7BC9">
        <w:rPr>
          <w:b/>
          <w:bCs/>
          <w:iCs/>
        </w:rPr>
        <w:tab/>
        <w:t xml:space="preserve">The vehicle type is equipped with a deployable occupant restraint system, and </w:t>
      </w:r>
    </w:p>
    <w:p w14:paraId="56424B43" w14:textId="37511AFE" w:rsidR="002E7BC9" w:rsidRDefault="002E7BC9" w:rsidP="007523DD">
      <w:pPr>
        <w:spacing w:after="120" w:line="240" w:lineRule="auto"/>
        <w:ind w:left="2835" w:right="1134" w:hanging="567"/>
        <w:jc w:val="both"/>
        <w:rPr>
          <w:b/>
          <w:bCs/>
          <w:iCs/>
        </w:rPr>
      </w:pPr>
      <w:r w:rsidRPr="002E7BC9">
        <w:rPr>
          <w:b/>
          <w:bCs/>
          <w:iCs/>
        </w:rPr>
        <w:t>(b)</w:t>
      </w:r>
      <w:r w:rsidRPr="002E7BC9">
        <w:rPr>
          <w:b/>
          <w:bCs/>
          <w:iCs/>
        </w:rPr>
        <w:tab/>
        <w:t>The vehicle type meets the technical requirements of the 01 or later series of amendments to UN Regulation No. 160.</w:t>
      </w:r>
    </w:p>
    <w:p w14:paraId="4601C6A6" w14:textId="6DE33764" w:rsidR="002E7BC9" w:rsidRPr="002E7BC9" w:rsidRDefault="002E7BC9" w:rsidP="007523DD">
      <w:pPr>
        <w:spacing w:after="120" w:line="240" w:lineRule="auto"/>
        <w:ind w:left="2268" w:right="1134" w:hanging="1134"/>
        <w:jc w:val="both"/>
        <w:rPr>
          <w:b/>
          <w:bCs/>
          <w:iCs/>
        </w:rPr>
      </w:pPr>
      <w:r w:rsidRPr="002E7BC9">
        <w:rPr>
          <w:b/>
          <w:bCs/>
          <w:iCs/>
        </w:rPr>
        <w:t>4.2.1.</w:t>
      </w:r>
      <w:r w:rsidRPr="002E7BC9">
        <w:rPr>
          <w:b/>
          <w:bCs/>
          <w:iCs/>
        </w:rPr>
        <w:tab/>
        <w:t>In the case of a vehicle type with a maximum mass between 8,000 and 12,000 kg, the approval specified under paragraph 4.2. shall</w:t>
      </w:r>
      <w:r w:rsidR="00440DBF">
        <w:rPr>
          <w:b/>
          <w:bCs/>
          <w:iCs/>
        </w:rPr>
        <w:t xml:space="preserve"> only</w:t>
      </w:r>
      <w:r w:rsidRPr="002E7BC9">
        <w:rPr>
          <w:b/>
          <w:bCs/>
          <w:iCs/>
        </w:rPr>
        <w:t xml:space="preserve"> be granted provided that:</w:t>
      </w:r>
    </w:p>
    <w:p w14:paraId="4D2EAD50" w14:textId="77777777" w:rsidR="002E7BC9" w:rsidRPr="002E7BC9" w:rsidRDefault="002E7BC9" w:rsidP="007523DD">
      <w:pPr>
        <w:spacing w:after="120" w:line="240" w:lineRule="auto"/>
        <w:ind w:left="2835" w:right="1134" w:hanging="567"/>
        <w:jc w:val="both"/>
        <w:rPr>
          <w:b/>
          <w:bCs/>
          <w:iCs/>
        </w:rPr>
      </w:pPr>
      <w:r w:rsidRPr="002E7BC9">
        <w:rPr>
          <w:b/>
          <w:bCs/>
          <w:iCs/>
        </w:rPr>
        <w:t>(a)</w:t>
      </w:r>
      <w:r w:rsidRPr="002E7BC9">
        <w:rPr>
          <w:b/>
          <w:bCs/>
          <w:iCs/>
        </w:rPr>
        <w:tab/>
        <w:t>The vehicle type is derivative of a vehicle type of category M</w:t>
      </w:r>
      <w:r w:rsidRPr="00F0516B">
        <w:rPr>
          <w:b/>
          <w:bCs/>
          <w:iCs/>
          <w:vertAlign w:val="subscript"/>
        </w:rPr>
        <w:t>1</w:t>
      </w:r>
      <w:r w:rsidRPr="002E7BC9">
        <w:rPr>
          <w:b/>
          <w:bCs/>
          <w:iCs/>
        </w:rPr>
        <w:t xml:space="preserve"> and/or N</w:t>
      </w:r>
      <w:r w:rsidRPr="00F0516B">
        <w:rPr>
          <w:b/>
          <w:bCs/>
          <w:iCs/>
          <w:vertAlign w:val="subscript"/>
        </w:rPr>
        <w:t>1</w:t>
      </w:r>
      <w:r w:rsidRPr="002E7BC9">
        <w:rPr>
          <w:b/>
          <w:bCs/>
          <w:iCs/>
        </w:rPr>
        <w:t>,</w:t>
      </w:r>
    </w:p>
    <w:p w14:paraId="12BBBC31" w14:textId="77777777" w:rsidR="002E7BC9" w:rsidRPr="002E7BC9" w:rsidRDefault="002E7BC9" w:rsidP="007523DD">
      <w:pPr>
        <w:spacing w:after="120" w:line="240" w:lineRule="auto"/>
        <w:ind w:left="2835" w:right="1134" w:hanging="567"/>
        <w:jc w:val="both"/>
        <w:rPr>
          <w:b/>
          <w:bCs/>
          <w:iCs/>
        </w:rPr>
      </w:pPr>
      <w:r w:rsidRPr="002E7BC9">
        <w:rPr>
          <w:b/>
          <w:bCs/>
          <w:iCs/>
        </w:rPr>
        <w:t>(b)</w:t>
      </w:r>
      <w:r w:rsidRPr="002E7BC9">
        <w:rPr>
          <w:b/>
          <w:bCs/>
          <w:iCs/>
        </w:rPr>
        <w:tab/>
        <w:t>The M</w:t>
      </w:r>
      <w:r w:rsidRPr="00F0516B">
        <w:rPr>
          <w:b/>
          <w:bCs/>
          <w:iCs/>
          <w:vertAlign w:val="subscript"/>
        </w:rPr>
        <w:t>1</w:t>
      </w:r>
      <w:r w:rsidRPr="002E7BC9">
        <w:rPr>
          <w:b/>
          <w:bCs/>
          <w:iCs/>
        </w:rPr>
        <w:t>/N</w:t>
      </w:r>
      <w:r w:rsidRPr="00F0516B">
        <w:rPr>
          <w:b/>
          <w:bCs/>
          <w:iCs/>
          <w:vertAlign w:val="subscript"/>
        </w:rPr>
        <w:t>1</w:t>
      </w:r>
      <w:r w:rsidRPr="002E7BC9">
        <w:rPr>
          <w:b/>
          <w:bCs/>
          <w:iCs/>
        </w:rPr>
        <w:t xml:space="preserve"> vehicle type meets the technical requirements of the 01 or later series of amendments to UN Regulation No. 160, and</w:t>
      </w:r>
    </w:p>
    <w:p w14:paraId="099AF6A5" w14:textId="472F6D61" w:rsidR="002E7BC9" w:rsidRDefault="002E7BC9" w:rsidP="007523DD">
      <w:pPr>
        <w:spacing w:after="120" w:line="240" w:lineRule="auto"/>
        <w:ind w:left="2835" w:right="1134" w:hanging="567"/>
        <w:jc w:val="both"/>
        <w:rPr>
          <w:b/>
          <w:bCs/>
          <w:iCs/>
        </w:rPr>
      </w:pPr>
      <w:r w:rsidRPr="002E7BC9">
        <w:rPr>
          <w:b/>
          <w:bCs/>
          <w:iCs/>
        </w:rPr>
        <w:t>(c)</w:t>
      </w:r>
      <w:r w:rsidRPr="002E7BC9">
        <w:rPr>
          <w:b/>
          <w:bCs/>
          <w:iCs/>
        </w:rPr>
        <w:tab/>
        <w:t>The EDR triggering performance of the vehicle type is equivalent to that of the M</w:t>
      </w:r>
      <w:r w:rsidRPr="00F0516B">
        <w:rPr>
          <w:b/>
          <w:bCs/>
          <w:iCs/>
          <w:vertAlign w:val="subscript"/>
        </w:rPr>
        <w:t>1</w:t>
      </w:r>
      <w:r w:rsidRPr="002E7BC9">
        <w:rPr>
          <w:b/>
          <w:bCs/>
          <w:iCs/>
        </w:rPr>
        <w:t>/N</w:t>
      </w:r>
      <w:r w:rsidRPr="00F0516B">
        <w:rPr>
          <w:b/>
          <w:bCs/>
          <w:iCs/>
          <w:vertAlign w:val="subscript"/>
        </w:rPr>
        <w:t>1</w:t>
      </w:r>
      <w:r w:rsidRPr="002E7BC9">
        <w:rPr>
          <w:b/>
          <w:bCs/>
          <w:iCs/>
        </w:rPr>
        <w:t xml:space="preserve"> vehicle type specified under (a) above.</w:t>
      </w:r>
    </w:p>
    <w:p w14:paraId="26B653B8" w14:textId="2A7FA1D0" w:rsidR="002E7BC9" w:rsidRPr="002E7BC9" w:rsidRDefault="002E7BC9" w:rsidP="007523DD">
      <w:pPr>
        <w:spacing w:after="120" w:line="240" w:lineRule="auto"/>
        <w:ind w:left="2268" w:right="1134" w:hanging="1134"/>
        <w:jc w:val="both"/>
        <w:rPr>
          <w:b/>
          <w:bCs/>
          <w:iCs/>
        </w:rPr>
      </w:pPr>
      <w:r w:rsidRPr="002E7BC9">
        <w:rPr>
          <w:b/>
          <w:bCs/>
          <w:iCs/>
        </w:rPr>
        <w:lastRenderedPageBreak/>
        <w:t>4.2.2.</w:t>
      </w:r>
      <w:r w:rsidRPr="002E7BC9">
        <w:rPr>
          <w:b/>
          <w:bCs/>
          <w:iCs/>
        </w:rPr>
        <w:tab/>
        <w:t>The equivalence of the EDR triggering specified under paragraph 4.2.1.(c) shall be demonstrated as follows:</w:t>
      </w:r>
    </w:p>
    <w:p w14:paraId="3BB6940F" w14:textId="77777777" w:rsidR="002E7BC9" w:rsidRPr="002E7BC9" w:rsidRDefault="002E7BC9" w:rsidP="007523DD">
      <w:pPr>
        <w:spacing w:after="120" w:line="240" w:lineRule="auto"/>
        <w:ind w:left="2835" w:right="1134" w:hanging="567"/>
        <w:jc w:val="both"/>
        <w:rPr>
          <w:b/>
          <w:bCs/>
          <w:iCs/>
        </w:rPr>
      </w:pPr>
      <w:r w:rsidRPr="002E7BC9">
        <w:rPr>
          <w:b/>
          <w:bCs/>
          <w:iCs/>
        </w:rPr>
        <w:t>(a)</w:t>
      </w:r>
      <w:r w:rsidRPr="002E7BC9">
        <w:rPr>
          <w:b/>
          <w:bCs/>
          <w:iCs/>
        </w:rPr>
        <w:tab/>
        <w:t>The manufacturer shall determine the lowest deployment thresholds for the occupant restraint system of the M</w:t>
      </w:r>
      <w:r w:rsidRPr="00F0516B">
        <w:rPr>
          <w:b/>
          <w:bCs/>
          <w:iCs/>
          <w:vertAlign w:val="subscript"/>
        </w:rPr>
        <w:t>1</w:t>
      </w:r>
      <w:r w:rsidRPr="002E7BC9">
        <w:rPr>
          <w:b/>
          <w:bCs/>
          <w:iCs/>
        </w:rPr>
        <w:t>/N</w:t>
      </w:r>
      <w:r w:rsidRPr="00F0516B">
        <w:rPr>
          <w:b/>
          <w:bCs/>
          <w:iCs/>
          <w:vertAlign w:val="subscript"/>
        </w:rPr>
        <w:t>1</w:t>
      </w:r>
      <w:r w:rsidRPr="002E7BC9">
        <w:rPr>
          <w:b/>
          <w:bCs/>
          <w:iCs/>
        </w:rPr>
        <w:t xml:space="preserve"> vehicle type under longitudinal and lateral collision scenarios,</w:t>
      </w:r>
    </w:p>
    <w:p w14:paraId="665AD199" w14:textId="77777777" w:rsidR="002E7BC9" w:rsidRPr="002E7BC9" w:rsidRDefault="002E7BC9" w:rsidP="007523DD">
      <w:pPr>
        <w:spacing w:after="120" w:line="240" w:lineRule="auto"/>
        <w:ind w:left="2835" w:right="1134" w:hanging="567"/>
        <w:jc w:val="both"/>
        <w:rPr>
          <w:b/>
          <w:bCs/>
          <w:iCs/>
        </w:rPr>
      </w:pPr>
      <w:r w:rsidRPr="002E7BC9">
        <w:rPr>
          <w:b/>
          <w:bCs/>
          <w:iCs/>
        </w:rPr>
        <w:t>(b)</w:t>
      </w:r>
      <w:r w:rsidRPr="002E7BC9">
        <w:rPr>
          <w:b/>
          <w:bCs/>
          <w:iCs/>
        </w:rPr>
        <w:tab/>
        <w:t>The manufacturer shall describe the scenarios used under (a) above and their suitability for application to the vehicle type under approval, and</w:t>
      </w:r>
    </w:p>
    <w:p w14:paraId="418C845E" w14:textId="4527C5BB" w:rsidR="002E7BC9" w:rsidRPr="002E7BC9" w:rsidRDefault="002E7BC9" w:rsidP="007523DD">
      <w:pPr>
        <w:spacing w:after="120" w:line="240" w:lineRule="auto"/>
        <w:ind w:left="2835" w:right="1134" w:hanging="567"/>
        <w:jc w:val="both"/>
        <w:rPr>
          <w:b/>
          <w:bCs/>
          <w:iCs/>
        </w:rPr>
      </w:pPr>
      <w:r w:rsidRPr="002E7BC9">
        <w:rPr>
          <w:b/>
          <w:bCs/>
          <w:iCs/>
        </w:rPr>
        <w:t>(c)</w:t>
      </w:r>
      <w:r w:rsidRPr="002E7BC9">
        <w:rPr>
          <w:b/>
          <w:bCs/>
          <w:iCs/>
        </w:rPr>
        <w:tab/>
        <w:t>The physical and/or simulation testing of the vehicle type under approval shall result in EDR triggering across all the specified scenarios.</w:t>
      </w:r>
    </w:p>
    <w:p w14:paraId="05A95254" w14:textId="29D9E490" w:rsidR="00F0516B" w:rsidRDefault="00F0516B" w:rsidP="007523DD">
      <w:pPr>
        <w:spacing w:after="120" w:line="240" w:lineRule="auto"/>
        <w:ind w:left="2268" w:right="1134" w:hanging="1134"/>
        <w:jc w:val="both"/>
        <w:rPr>
          <w:b/>
          <w:bCs/>
          <w:iCs/>
        </w:rPr>
      </w:pPr>
      <w:r w:rsidRPr="00F0516B">
        <w:rPr>
          <w:b/>
          <w:bCs/>
          <w:iCs/>
        </w:rPr>
        <w:t>4.2.3.</w:t>
      </w:r>
      <w:r w:rsidRPr="00F0516B">
        <w:rPr>
          <w:b/>
          <w:bCs/>
          <w:iCs/>
        </w:rPr>
        <w:tab/>
        <w:t>The manufacturer’s documentation shall provide the EDR triggering strategies for the vehicle type such as the integration of other active safety systems and/or modified delta-v trigger thresholds</w:t>
      </w:r>
      <w:r>
        <w:rPr>
          <w:b/>
          <w:bCs/>
          <w:iCs/>
        </w:rPr>
        <w:t>.</w:t>
      </w:r>
    </w:p>
    <w:p w14:paraId="674DEF7A" w14:textId="61F9EA27" w:rsidR="00F0516B" w:rsidRPr="00F0516B" w:rsidRDefault="00F0516B" w:rsidP="007523DD">
      <w:pPr>
        <w:spacing w:after="120" w:line="240" w:lineRule="auto"/>
        <w:ind w:left="2268" w:right="1134" w:hanging="1134"/>
        <w:jc w:val="both"/>
        <w:rPr>
          <w:b/>
          <w:bCs/>
          <w:iCs/>
        </w:rPr>
      </w:pPr>
      <w:r w:rsidRPr="00F0516B">
        <w:rPr>
          <w:b/>
          <w:bCs/>
          <w:iCs/>
        </w:rPr>
        <w:t>4.2.4.</w:t>
      </w:r>
      <w:r w:rsidRPr="00F0516B">
        <w:rPr>
          <w:b/>
          <w:bCs/>
          <w:iCs/>
        </w:rPr>
        <w:tab/>
        <w:t>Vehicle types that have not been subjected to crash tests as specified under paragraphs 5.4.1. and 5.4.2. of UN Regulation No. 160 shall be subject to paragraph 5.4. of this Regulation.</w:t>
      </w:r>
    </w:p>
    <w:p w14:paraId="4C71A327" w14:textId="4F3A2BA6" w:rsidR="002E7BC9" w:rsidRPr="002E7BC9" w:rsidRDefault="002E7BC9" w:rsidP="007523DD">
      <w:pPr>
        <w:spacing w:after="120" w:line="240" w:lineRule="auto"/>
        <w:ind w:left="2268" w:right="1134" w:hanging="1134"/>
        <w:jc w:val="both"/>
        <w:rPr>
          <w:iCs/>
        </w:rPr>
      </w:pPr>
      <w:r w:rsidRPr="002E7BC9">
        <w:rPr>
          <w:iCs/>
          <w:strike/>
        </w:rPr>
        <w:t>4.2.</w:t>
      </w:r>
      <w:r w:rsidR="001C2D20">
        <w:rPr>
          <w:b/>
          <w:bCs/>
          <w:iCs/>
        </w:rPr>
        <w:t>4.3.</w:t>
      </w:r>
      <w:r w:rsidRPr="002E7BC9">
        <w:rPr>
          <w:iCs/>
        </w:rPr>
        <w:tab/>
        <w:t>An approval number shall be assigned to each type approved. Its first two digits (at present 00 for the Regulation in its original form) shall indicate the series of amendments incorporating the most recent major technical amendments made to the Regulation at the time of issue of the approval. The same Contracting Party shall not assign the same number to another type of vehicle.</w:t>
      </w:r>
    </w:p>
    <w:p w14:paraId="3E8CDD8B" w14:textId="28F7AC4F" w:rsidR="002E7BC9" w:rsidRPr="002E7BC9" w:rsidRDefault="002E7BC9" w:rsidP="007523DD">
      <w:pPr>
        <w:spacing w:after="120" w:line="240" w:lineRule="auto"/>
        <w:ind w:left="2268" w:right="1134" w:hanging="1134"/>
        <w:jc w:val="both"/>
        <w:rPr>
          <w:iCs/>
        </w:rPr>
      </w:pPr>
      <w:r w:rsidRPr="002E7BC9">
        <w:rPr>
          <w:iCs/>
          <w:strike/>
        </w:rPr>
        <w:t>4.3.</w:t>
      </w:r>
      <w:r w:rsidR="001C2D20">
        <w:rPr>
          <w:b/>
          <w:bCs/>
          <w:iCs/>
        </w:rPr>
        <w:t>4.4.</w:t>
      </w:r>
      <w:r w:rsidRPr="002E7BC9">
        <w:rPr>
          <w:iCs/>
        </w:rPr>
        <w:tab/>
        <w:t>Notice of approval or of extension or of refusal or of withdrawal of approval or of production definitively discontinued of a vehicle type pursuant to this Regulation shall be communicated to the Contracting Parties to the Agreement applying this Regulation by means of a form conforming to the model in Annex 1 to this Regulation and documentation supplied by the applicant being in a format not exceeding A4 (210 × 297mm) and on an appropriate scale or electronic format.</w:t>
      </w:r>
    </w:p>
    <w:p w14:paraId="3D1BF730" w14:textId="1185F01B" w:rsidR="002E7BC9" w:rsidRPr="002E7BC9" w:rsidRDefault="002E7BC9" w:rsidP="007523DD">
      <w:pPr>
        <w:spacing w:after="120" w:line="240" w:lineRule="auto"/>
        <w:ind w:left="2268" w:right="1134" w:hanging="1134"/>
        <w:jc w:val="both"/>
        <w:rPr>
          <w:iCs/>
        </w:rPr>
      </w:pPr>
      <w:r w:rsidRPr="002E7BC9">
        <w:rPr>
          <w:iCs/>
          <w:strike/>
        </w:rPr>
        <w:t>4.4.</w:t>
      </w:r>
      <w:r w:rsidR="001C2D20">
        <w:rPr>
          <w:b/>
          <w:bCs/>
          <w:iCs/>
        </w:rPr>
        <w:t>4.5.</w:t>
      </w:r>
      <w:r w:rsidRPr="002E7BC9">
        <w:rPr>
          <w:iCs/>
        </w:rPr>
        <w:tab/>
        <w:t>There shall be affixed, conspicuously and in a readily accessible place specified on the approval form, to every vehicle conforming to a vehicle type approved under this Regulation, an international approval mark conforming to the model described in Annex 3, consisting of:</w:t>
      </w:r>
    </w:p>
    <w:p w14:paraId="74E6B02B" w14:textId="20A5C820" w:rsidR="002E7BC9" w:rsidRPr="002E7BC9" w:rsidRDefault="002E7BC9" w:rsidP="007523DD">
      <w:pPr>
        <w:spacing w:after="120" w:line="240" w:lineRule="auto"/>
        <w:ind w:left="2268" w:right="1134" w:hanging="1134"/>
        <w:jc w:val="both"/>
        <w:rPr>
          <w:iCs/>
        </w:rPr>
      </w:pPr>
      <w:r w:rsidRPr="002E7BC9">
        <w:rPr>
          <w:iCs/>
          <w:strike/>
        </w:rPr>
        <w:t>4.4.1.</w:t>
      </w:r>
      <w:r w:rsidR="001C2D20">
        <w:rPr>
          <w:b/>
          <w:bCs/>
          <w:iCs/>
        </w:rPr>
        <w:t>4.5.1.</w:t>
      </w:r>
      <w:r w:rsidRPr="002E7BC9">
        <w:rPr>
          <w:iCs/>
        </w:rPr>
        <w:tab/>
        <w:t>A circle surrounding the letter "E" followed by:</w:t>
      </w:r>
    </w:p>
    <w:p w14:paraId="5101699D" w14:textId="4751F49D" w:rsidR="002E7BC9" w:rsidRPr="002E7BC9" w:rsidRDefault="002E7BC9" w:rsidP="007523DD">
      <w:pPr>
        <w:spacing w:after="120" w:line="240" w:lineRule="auto"/>
        <w:ind w:left="2835" w:right="1134" w:hanging="567"/>
        <w:jc w:val="both"/>
        <w:rPr>
          <w:iCs/>
        </w:rPr>
      </w:pPr>
      <w:r w:rsidRPr="002E7BC9">
        <w:rPr>
          <w:iCs/>
        </w:rPr>
        <w:t>(a)</w:t>
      </w:r>
      <w:r w:rsidRPr="002E7BC9">
        <w:rPr>
          <w:iCs/>
        </w:rPr>
        <w:tab/>
        <w:t xml:space="preserve">The distinguishing number of the country which has granted </w:t>
      </w:r>
      <w:proofErr w:type="gramStart"/>
      <w:r w:rsidRPr="002E7BC9">
        <w:rPr>
          <w:iCs/>
        </w:rPr>
        <w:t>approval;  and</w:t>
      </w:r>
      <w:proofErr w:type="gramEnd"/>
    </w:p>
    <w:p w14:paraId="3E3D9FF3" w14:textId="2E21FFA1" w:rsidR="002E7BC9" w:rsidRPr="002E7BC9" w:rsidRDefault="002E7BC9" w:rsidP="007523DD">
      <w:pPr>
        <w:spacing w:after="120" w:line="240" w:lineRule="auto"/>
        <w:ind w:left="2835" w:right="1134" w:hanging="567"/>
        <w:jc w:val="both"/>
        <w:rPr>
          <w:iCs/>
        </w:rPr>
      </w:pPr>
      <w:r w:rsidRPr="002E7BC9">
        <w:rPr>
          <w:iCs/>
        </w:rPr>
        <w:t>(b)</w:t>
      </w:r>
      <w:r w:rsidRPr="002E7BC9">
        <w:rPr>
          <w:iCs/>
        </w:rPr>
        <w:tab/>
        <w:t>The number of this Regulation, followed by the letter "R", a dash and the approval number to the right of the circle prescribed in this paragraph.</w:t>
      </w:r>
    </w:p>
    <w:p w14:paraId="5D2E070A" w14:textId="346FAC4A" w:rsidR="002E7BC9" w:rsidRPr="002E7BC9" w:rsidRDefault="002E7BC9" w:rsidP="007523DD">
      <w:pPr>
        <w:spacing w:after="120" w:line="240" w:lineRule="auto"/>
        <w:ind w:left="2268" w:right="1134" w:hanging="1134"/>
        <w:jc w:val="both"/>
        <w:rPr>
          <w:iCs/>
        </w:rPr>
      </w:pPr>
      <w:r w:rsidRPr="002E7BC9">
        <w:rPr>
          <w:iCs/>
          <w:strike/>
        </w:rPr>
        <w:t>4.5.</w:t>
      </w:r>
      <w:r w:rsidR="001C2D20">
        <w:rPr>
          <w:b/>
          <w:bCs/>
          <w:iCs/>
        </w:rPr>
        <w:t>4.6.</w:t>
      </w:r>
      <w:r w:rsidRPr="002E7BC9">
        <w:rPr>
          <w:iCs/>
        </w:rPr>
        <w:tab/>
        <w:t>The approval mark shall be clearly legible and be indelible.</w:t>
      </w:r>
    </w:p>
    <w:p w14:paraId="064BAAB4" w14:textId="54F19B0E" w:rsidR="009B5B9D" w:rsidRPr="00525EEC" w:rsidRDefault="002E7BC9" w:rsidP="007523DD">
      <w:pPr>
        <w:spacing w:after="120" w:line="240" w:lineRule="auto"/>
        <w:ind w:left="2268" w:right="1134" w:hanging="1134"/>
        <w:jc w:val="both"/>
        <w:rPr>
          <w:iCs/>
        </w:rPr>
      </w:pPr>
      <w:r w:rsidRPr="002E7BC9">
        <w:rPr>
          <w:iCs/>
          <w:strike/>
        </w:rPr>
        <w:t>4.6.</w:t>
      </w:r>
      <w:r w:rsidR="001C2D20">
        <w:rPr>
          <w:b/>
          <w:bCs/>
          <w:iCs/>
        </w:rPr>
        <w:t>4.7.</w:t>
      </w:r>
      <w:r w:rsidRPr="002E7BC9">
        <w:rPr>
          <w:iCs/>
        </w:rPr>
        <w:tab/>
        <w:t>The approval authority shall verify the existence of satisfactory arrangements for ensuring effective checks on conformity of production before type-approval is granted.</w:t>
      </w:r>
      <w:r w:rsidR="00525EEC" w:rsidRPr="009923B6">
        <w:rPr>
          <w:iCs/>
        </w:rPr>
        <w:t>"</w:t>
      </w:r>
    </w:p>
    <w:p w14:paraId="57D92E05" w14:textId="77777777" w:rsidR="001C2D20" w:rsidRDefault="001C2D20" w:rsidP="0047061D">
      <w:pPr>
        <w:spacing w:after="114" w:line="254" w:lineRule="auto"/>
        <w:ind w:left="1133" w:right="1134"/>
        <w:rPr>
          <w:i/>
        </w:rPr>
      </w:pPr>
    </w:p>
    <w:p w14:paraId="3867FCAC" w14:textId="59EC4328" w:rsidR="00817C72" w:rsidRPr="00EF146A" w:rsidRDefault="00A16B40" w:rsidP="0047061D">
      <w:pPr>
        <w:spacing w:after="114" w:line="254" w:lineRule="auto"/>
        <w:ind w:left="1133" w:right="1134"/>
        <w:rPr>
          <w:i/>
        </w:rPr>
      </w:pPr>
      <w:r>
        <w:rPr>
          <w:i/>
        </w:rPr>
        <w:t>Paragraph</w:t>
      </w:r>
      <w:r w:rsidR="00817C72" w:rsidRPr="00EF146A">
        <w:rPr>
          <w:i/>
        </w:rPr>
        <w:t xml:space="preserve"> 6</w:t>
      </w:r>
      <w:r>
        <w:rPr>
          <w:i/>
        </w:rPr>
        <w:t>.2</w:t>
      </w:r>
      <w:r w:rsidR="001C2D20">
        <w:rPr>
          <w:i/>
        </w:rPr>
        <w:t>.</w:t>
      </w:r>
      <w:r w:rsidR="00817C72" w:rsidRPr="00EF146A">
        <w:rPr>
          <w:i/>
        </w:rPr>
        <w:t xml:space="preserve">, </w:t>
      </w:r>
      <w:r w:rsidRPr="00A16B40">
        <w:rPr>
          <w:iCs/>
        </w:rPr>
        <w:t xml:space="preserve">amend </w:t>
      </w:r>
      <w:r w:rsidR="00817C72" w:rsidRPr="00A16B40">
        <w:rPr>
          <w:iCs/>
        </w:rPr>
        <w:t>to read</w:t>
      </w:r>
      <w:r w:rsidR="00817C72" w:rsidRPr="00EF146A">
        <w:rPr>
          <w:i/>
        </w:rPr>
        <w:t>:</w:t>
      </w:r>
    </w:p>
    <w:p w14:paraId="3A7F8983" w14:textId="41C76383" w:rsidR="00817C72" w:rsidRPr="001C2D20" w:rsidRDefault="00D0420F" w:rsidP="007523DD">
      <w:pPr>
        <w:spacing w:after="120" w:line="240" w:lineRule="auto"/>
        <w:ind w:left="2268" w:right="1134" w:hanging="1134"/>
        <w:jc w:val="both"/>
        <w:rPr>
          <w:b/>
          <w:bCs/>
          <w:iCs/>
          <w:color w:val="FF0000"/>
          <w:lang w:val="en-US"/>
        </w:rPr>
      </w:pPr>
      <w:r>
        <w:rPr>
          <w:b/>
          <w:bCs/>
          <w:iCs/>
        </w:rPr>
        <w:lastRenderedPageBreak/>
        <w:t>"</w:t>
      </w:r>
      <w:r w:rsidR="00A16B40" w:rsidRPr="00A16B40">
        <w:rPr>
          <w:iCs/>
        </w:rPr>
        <w:t>6.2.</w:t>
      </w:r>
      <w:r w:rsidR="00A16B40" w:rsidRPr="00A16B40">
        <w:rPr>
          <w:iCs/>
        </w:rPr>
        <w:tab/>
        <w:t xml:space="preserve">Confirmation or refusal of approval, specifying the alterations, shall be communicated by the procedure specified in paragraph </w:t>
      </w:r>
      <w:r w:rsidR="00A16B40" w:rsidRPr="00A16B40">
        <w:rPr>
          <w:iCs/>
          <w:strike/>
        </w:rPr>
        <w:t>4.3.</w:t>
      </w:r>
      <w:r w:rsidR="00A16B40" w:rsidRPr="00A16B40">
        <w:rPr>
          <w:iCs/>
        </w:rPr>
        <w:t xml:space="preserve"> </w:t>
      </w:r>
      <w:r w:rsidR="00A16B40">
        <w:rPr>
          <w:b/>
          <w:bCs/>
          <w:iCs/>
        </w:rPr>
        <w:t xml:space="preserve">4.4. </w:t>
      </w:r>
      <w:r w:rsidR="00A16B40" w:rsidRPr="00A16B40">
        <w:rPr>
          <w:iCs/>
        </w:rPr>
        <w:t>above to the Contracting Parties to the Agreement applying this Regulation.</w:t>
      </w:r>
      <w:r w:rsidR="00525EEC" w:rsidRPr="00A16B40">
        <w:rPr>
          <w:iCs/>
        </w:rPr>
        <w:t>"</w:t>
      </w:r>
    </w:p>
    <w:p w14:paraId="7E5CBCCD" w14:textId="77777777" w:rsidR="001C2D20" w:rsidRDefault="001C2D20" w:rsidP="0047061D">
      <w:pPr>
        <w:spacing w:after="114" w:line="254" w:lineRule="auto"/>
        <w:ind w:left="1133" w:right="1134"/>
        <w:rPr>
          <w:i/>
        </w:rPr>
      </w:pPr>
    </w:p>
    <w:p w14:paraId="587BC5B5" w14:textId="19416F6F" w:rsidR="00502634" w:rsidRPr="00BF6F23" w:rsidRDefault="00A16B40" w:rsidP="0047061D">
      <w:pPr>
        <w:spacing w:after="114" w:line="254" w:lineRule="auto"/>
        <w:ind w:left="1133" w:right="1134"/>
        <w:rPr>
          <w:i/>
        </w:rPr>
      </w:pPr>
      <w:r>
        <w:rPr>
          <w:i/>
        </w:rPr>
        <w:t>Annex 3,</w:t>
      </w:r>
      <w:r w:rsidR="009B5B9D" w:rsidRPr="00BF6F23">
        <w:rPr>
          <w:i/>
        </w:rPr>
        <w:t xml:space="preserve"> </w:t>
      </w:r>
      <w:r w:rsidR="009B5B9D" w:rsidRPr="00A16B40">
        <w:rPr>
          <w:iCs/>
        </w:rPr>
        <w:t>amend to read</w:t>
      </w:r>
      <w:r w:rsidR="009B5B9D" w:rsidRPr="00BF6F23">
        <w:rPr>
          <w:i/>
        </w:rPr>
        <w:t>:</w:t>
      </w:r>
    </w:p>
    <w:p w14:paraId="1CCC5BEC" w14:textId="77777777" w:rsidR="00A16B40" w:rsidRPr="00A16B40" w:rsidRDefault="00D0420F" w:rsidP="007523DD">
      <w:pPr>
        <w:spacing w:before="360" w:after="240"/>
        <w:ind w:left="1134" w:right="1134" w:hanging="1134"/>
        <w:jc w:val="both"/>
        <w:rPr>
          <w:b/>
          <w:iCs/>
        </w:rPr>
      </w:pPr>
      <w:r>
        <w:rPr>
          <w:iCs/>
        </w:rPr>
        <w:t>"</w:t>
      </w:r>
      <w:bookmarkStart w:id="0" w:name="_Toc107305539"/>
      <w:r w:rsidR="00A16B40" w:rsidRPr="004E094B">
        <w:rPr>
          <w:b/>
          <w:iCs/>
          <w:sz w:val="28"/>
          <w:szCs w:val="28"/>
        </w:rPr>
        <w:t>Annex 3</w:t>
      </w:r>
      <w:bookmarkEnd w:id="0"/>
    </w:p>
    <w:p w14:paraId="66EF333D" w14:textId="77777777" w:rsidR="00A16B40" w:rsidRPr="00A16B40" w:rsidRDefault="00A16B40" w:rsidP="007523DD">
      <w:pPr>
        <w:spacing w:before="360" w:after="240"/>
        <w:ind w:left="1134" w:right="1134" w:hanging="1134"/>
        <w:jc w:val="both"/>
        <w:rPr>
          <w:b/>
          <w:bCs/>
          <w:iCs/>
          <w:sz w:val="28"/>
          <w:szCs w:val="28"/>
        </w:rPr>
      </w:pPr>
      <w:bookmarkStart w:id="1" w:name="_Toc108926533"/>
      <w:r w:rsidRPr="00A16B40">
        <w:rPr>
          <w:b/>
          <w:iCs/>
          <w:sz w:val="28"/>
          <w:szCs w:val="28"/>
        </w:rPr>
        <w:tab/>
      </w:r>
      <w:r w:rsidRPr="00A16B40">
        <w:rPr>
          <w:b/>
          <w:iCs/>
          <w:sz w:val="28"/>
          <w:szCs w:val="28"/>
        </w:rPr>
        <w:tab/>
      </w:r>
      <w:bookmarkStart w:id="2" w:name="_Toc107305540"/>
      <w:r w:rsidRPr="00A16B40">
        <w:rPr>
          <w:b/>
          <w:iCs/>
          <w:sz w:val="28"/>
          <w:szCs w:val="28"/>
        </w:rPr>
        <w:t>Arrangements of approval marks</w:t>
      </w:r>
      <w:bookmarkEnd w:id="1"/>
      <w:bookmarkEnd w:id="2"/>
    </w:p>
    <w:p w14:paraId="018DA872" w14:textId="4EB8D399" w:rsidR="00A16B40" w:rsidRPr="00A16B40" w:rsidRDefault="00A16B40" w:rsidP="007523DD">
      <w:pPr>
        <w:spacing w:after="114" w:line="254" w:lineRule="auto"/>
        <w:ind w:left="2268" w:right="1134" w:hanging="1135"/>
        <w:jc w:val="both"/>
        <w:rPr>
          <w:iCs/>
        </w:rPr>
      </w:pPr>
      <w:r w:rsidRPr="00A16B40">
        <w:rPr>
          <w:iCs/>
        </w:rPr>
        <w:t>(</w:t>
      </w:r>
      <w:bookmarkStart w:id="3" w:name="_Hlk145498614"/>
      <w:proofErr w:type="gramStart"/>
      <w:r w:rsidRPr="00A16B40">
        <w:rPr>
          <w:iCs/>
        </w:rPr>
        <w:t>see</w:t>
      </w:r>
      <w:proofErr w:type="gramEnd"/>
      <w:r w:rsidRPr="00A16B40">
        <w:rPr>
          <w:iCs/>
        </w:rPr>
        <w:t xml:space="preserve"> paragraphs </w:t>
      </w:r>
      <w:r w:rsidR="004E094B">
        <w:rPr>
          <w:b/>
          <w:bCs/>
          <w:iCs/>
        </w:rPr>
        <w:t xml:space="preserve">4.5. to 4.5.1. </w:t>
      </w:r>
      <w:r w:rsidRPr="00A16B40">
        <w:rPr>
          <w:iCs/>
          <w:strike/>
        </w:rPr>
        <w:t>4.4. to 4.4.1.</w:t>
      </w:r>
      <w:r w:rsidRPr="00A16B40">
        <w:rPr>
          <w:iCs/>
        </w:rPr>
        <w:t xml:space="preserve"> of this Regulation</w:t>
      </w:r>
      <w:bookmarkEnd w:id="3"/>
      <w:r w:rsidRPr="00A16B40">
        <w:rPr>
          <w:iCs/>
        </w:rPr>
        <w:t>)</w:t>
      </w:r>
    </w:p>
    <w:p w14:paraId="3283C580" w14:textId="77777777" w:rsidR="00A16B40" w:rsidRPr="00A16B40" w:rsidRDefault="00A16B40" w:rsidP="00A16B40">
      <w:pPr>
        <w:spacing w:after="114" w:line="254" w:lineRule="auto"/>
        <w:ind w:left="2268" w:right="1134" w:hanging="1135"/>
        <w:rPr>
          <w:iCs/>
        </w:rPr>
      </w:pPr>
      <w:r w:rsidRPr="00A16B40">
        <w:rPr>
          <w:iCs/>
        </w:rPr>
        <w:object w:dxaOrig="6320" w:dyaOrig="1330" w14:anchorId="2B9F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6pt;height:66.5pt" o:ole="">
            <v:imagedata r:id="rId9" o:title=""/>
          </v:shape>
          <o:OLEObject Type="Embed" ProgID="Word.Picture.8" ShapeID="_x0000_i1031" DrawAspect="Content" ObjectID="_1820816339" r:id="rId10"/>
        </w:object>
      </w:r>
    </w:p>
    <w:p w14:paraId="043CA02A" w14:textId="77777777" w:rsidR="00A16B40" w:rsidRPr="00A16B40" w:rsidRDefault="00A16B40" w:rsidP="00A16B40">
      <w:pPr>
        <w:spacing w:after="114" w:line="254" w:lineRule="auto"/>
        <w:ind w:left="2268" w:right="1134" w:hanging="1135"/>
        <w:rPr>
          <w:iCs/>
        </w:rPr>
      </w:pPr>
      <w:r w:rsidRPr="00A16B40">
        <w:rPr>
          <w:iCs/>
        </w:rPr>
        <w:t>a = 8 mm min</w:t>
      </w:r>
    </w:p>
    <w:p w14:paraId="1F33ED4F" w14:textId="46C40F9D" w:rsidR="00502634" w:rsidRDefault="00A16B40" w:rsidP="007523DD">
      <w:pPr>
        <w:spacing w:after="120" w:line="240" w:lineRule="auto"/>
        <w:ind w:left="1134" w:right="1134" w:firstLine="567"/>
        <w:jc w:val="both"/>
        <w:rPr>
          <w:iCs/>
          <w:color w:val="FF0000"/>
        </w:rPr>
      </w:pPr>
      <w:r w:rsidRPr="00A16B40">
        <w:rPr>
          <w:iCs/>
        </w:rPr>
        <w:t xml:space="preserve">The above approval mark affixed to a vehicle shows that the vehicle type </w:t>
      </w:r>
      <w:proofErr w:type="gramStart"/>
      <w:r w:rsidRPr="00A16B40">
        <w:rPr>
          <w:iCs/>
        </w:rPr>
        <w:t>with regard to</w:t>
      </w:r>
      <w:proofErr w:type="gramEnd"/>
      <w:r w:rsidRPr="00A16B40">
        <w:rPr>
          <w:iCs/>
        </w:rPr>
        <w:t xml:space="preserve"> its EDR concerned has been approved in Belgium (E 6) pursuant to UN Regulation No. 169. The first two digits of the approval number indicate that the approval was granted in accordance with the requirements of UN Regulation No. 169 in its original form.</w:t>
      </w:r>
      <w:r w:rsidR="00643CBC" w:rsidRPr="00643CBC">
        <w:rPr>
          <w:iCs/>
        </w:rPr>
        <w:t>"</w:t>
      </w:r>
    </w:p>
    <w:p w14:paraId="5629140F" w14:textId="77777777" w:rsidR="00675982" w:rsidRPr="00EF146A" w:rsidRDefault="00675982" w:rsidP="0047061D">
      <w:pPr>
        <w:spacing w:after="114" w:line="254" w:lineRule="auto"/>
        <w:ind w:left="2268" w:right="1134" w:hanging="1135"/>
        <w:rPr>
          <w:b/>
          <w:bCs/>
          <w:iCs/>
          <w:lang w:val="en-US"/>
        </w:rPr>
      </w:pPr>
    </w:p>
    <w:p w14:paraId="1926AD1E" w14:textId="77777777" w:rsidR="00627A14" w:rsidRDefault="00627A14" w:rsidP="0047061D">
      <w:pPr>
        <w:spacing w:after="114" w:line="254" w:lineRule="auto"/>
        <w:ind w:left="2268" w:right="1134" w:hanging="1135"/>
      </w:pPr>
    </w:p>
    <w:p w14:paraId="49B5578F" w14:textId="26D880AD" w:rsidR="003D1F02" w:rsidRDefault="00B22D21" w:rsidP="0047061D">
      <w:pPr>
        <w:spacing w:after="114" w:line="254" w:lineRule="auto"/>
        <w:ind w:right="1134" w:firstLine="567"/>
        <w:rPr>
          <w:b/>
          <w:sz w:val="28"/>
        </w:rPr>
      </w:pPr>
      <w:r w:rsidRPr="00502634">
        <w:rPr>
          <w:b/>
          <w:sz w:val="28"/>
        </w:rPr>
        <w:t>II</w:t>
      </w:r>
      <w:r w:rsidR="00EB7139" w:rsidRPr="00502634">
        <w:rPr>
          <w:b/>
          <w:sz w:val="28"/>
        </w:rPr>
        <w:t>.</w:t>
      </w:r>
      <w:r w:rsidR="00EB7139" w:rsidRPr="00502634">
        <w:rPr>
          <w:b/>
          <w:sz w:val="28"/>
        </w:rPr>
        <w:tab/>
        <w:t>Justification</w:t>
      </w:r>
    </w:p>
    <w:p w14:paraId="763D4BA8" w14:textId="6A97DFB6" w:rsidR="003063DA" w:rsidRPr="003063DA" w:rsidRDefault="002D2760" w:rsidP="00032FB4">
      <w:pPr>
        <w:spacing w:after="114" w:line="254" w:lineRule="auto"/>
        <w:ind w:left="1133" w:right="1134"/>
        <w:rPr>
          <w:iCs/>
          <w:color w:val="FF0000"/>
          <w:u w:val="single"/>
        </w:rPr>
      </w:pPr>
      <w:r w:rsidRPr="001C2D20">
        <w:rPr>
          <w:iCs/>
        </w:rPr>
        <w:t>.</w:t>
      </w:r>
      <w:r>
        <w:rPr>
          <w:iCs/>
          <w:color w:val="FF0000"/>
        </w:rPr>
        <w:t xml:space="preserve"> </w:t>
      </w:r>
    </w:p>
    <w:sectPr w:rsidR="003063DA" w:rsidRPr="003063DA" w:rsidSect="0047061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C584" w14:textId="77777777" w:rsidR="00981897" w:rsidRPr="00F2705D" w:rsidRDefault="00981897"/>
  </w:endnote>
  <w:endnote w:type="continuationSeparator" w:id="0">
    <w:p w14:paraId="4A68F65D" w14:textId="77777777" w:rsidR="00981897" w:rsidRPr="00F2705D" w:rsidRDefault="00981897"/>
  </w:endnote>
  <w:endnote w:type="continuationNotice" w:id="1">
    <w:p w14:paraId="61A317F6" w14:textId="77777777" w:rsidR="00981897" w:rsidRPr="00F2705D" w:rsidRDefault="00981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2D77" w14:textId="77777777" w:rsidR="00243144" w:rsidRPr="00F2705D" w:rsidRDefault="00243144" w:rsidP="00742AAB">
    <w:pPr>
      <w:pStyle w:val="Footer"/>
      <w:tabs>
        <w:tab w:val="right" w:pos="9638"/>
      </w:tabs>
      <w:rPr>
        <w:sz w:val="18"/>
      </w:rPr>
    </w:pPr>
    <w:r w:rsidRPr="00F2705D">
      <w:rPr>
        <w:b/>
        <w:sz w:val="18"/>
      </w:rPr>
      <w:fldChar w:fldCharType="begin"/>
    </w:r>
    <w:r w:rsidRPr="00F2705D">
      <w:rPr>
        <w:b/>
        <w:sz w:val="18"/>
      </w:rPr>
      <w:instrText xml:space="preserve"> PAGE  \* MERGEFORMAT </w:instrText>
    </w:r>
    <w:r w:rsidRPr="00F2705D">
      <w:rPr>
        <w:b/>
        <w:sz w:val="18"/>
      </w:rPr>
      <w:fldChar w:fldCharType="separate"/>
    </w:r>
    <w:r w:rsidR="005C5F0E" w:rsidRPr="00F2705D">
      <w:rPr>
        <w:b/>
        <w:sz w:val="18"/>
      </w:rPr>
      <w:t>2</w:t>
    </w:r>
    <w:r w:rsidRPr="00F2705D">
      <w:rPr>
        <w:b/>
        <w:sz w:val="18"/>
      </w:rPr>
      <w:fldChar w:fldCharType="end"/>
    </w:r>
    <w:r w:rsidRPr="00F2705D">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03A8" w14:textId="77777777" w:rsidR="00243144" w:rsidRPr="00F2705D" w:rsidRDefault="00243144" w:rsidP="00742AAB">
    <w:pPr>
      <w:pStyle w:val="Footer"/>
      <w:tabs>
        <w:tab w:val="right" w:pos="9638"/>
      </w:tabs>
      <w:rPr>
        <w:b/>
        <w:sz w:val="18"/>
      </w:rPr>
    </w:pPr>
    <w:r w:rsidRPr="00F2705D">
      <w:tab/>
    </w:r>
    <w:r w:rsidRPr="00F2705D">
      <w:rPr>
        <w:b/>
        <w:sz w:val="18"/>
      </w:rPr>
      <w:fldChar w:fldCharType="begin"/>
    </w:r>
    <w:r w:rsidRPr="00F2705D">
      <w:rPr>
        <w:b/>
        <w:sz w:val="18"/>
      </w:rPr>
      <w:instrText xml:space="preserve"> PAGE  \* MERGEFORMAT </w:instrText>
    </w:r>
    <w:r w:rsidRPr="00F2705D">
      <w:rPr>
        <w:b/>
        <w:sz w:val="18"/>
      </w:rPr>
      <w:fldChar w:fldCharType="separate"/>
    </w:r>
    <w:r w:rsidR="005C5F0E" w:rsidRPr="00F2705D">
      <w:rPr>
        <w:b/>
        <w:sz w:val="18"/>
      </w:rPr>
      <w:t>3</w:t>
    </w:r>
    <w:r w:rsidRPr="00F2705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1593" w14:textId="44537F95" w:rsidR="00243144" w:rsidRPr="00F2705D" w:rsidRDefault="009C2AE4">
    <w:pPr>
      <w:pStyle w:val="Footer"/>
      <w:rPr>
        <w:sz w:val="20"/>
      </w:rPr>
    </w:pPr>
    <w:r>
      <w:rPr>
        <w:noProof/>
        <w:sz w:val="20"/>
      </w:rPr>
      <w:drawing>
        <wp:anchor distT="0" distB="0" distL="114300" distR="114300" simplePos="0" relativeHeight="251657728" behindDoc="0" locked="1" layoutInCell="1" allowOverlap="1" wp14:anchorId="6A596005" wp14:editId="3E3CFA1A">
          <wp:simplePos x="0" y="0"/>
          <wp:positionH relativeFrom="column">
            <wp:posOffset>5148580</wp:posOffset>
          </wp:positionH>
          <wp:positionV relativeFrom="paragraph">
            <wp:posOffset>-79375</wp:posOffset>
          </wp:positionV>
          <wp:extent cx="930275" cy="230505"/>
          <wp:effectExtent l="0" t="0" r="0" b="0"/>
          <wp:wrapNone/>
          <wp:docPr id="17753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B41E" w14:textId="77777777" w:rsidR="00981897" w:rsidRPr="00F2705D" w:rsidRDefault="00981897" w:rsidP="000B175B">
      <w:pPr>
        <w:tabs>
          <w:tab w:val="right" w:pos="2155"/>
        </w:tabs>
        <w:spacing w:after="80"/>
        <w:ind w:left="680"/>
        <w:rPr>
          <w:u w:val="single"/>
        </w:rPr>
      </w:pPr>
      <w:r w:rsidRPr="00F2705D">
        <w:rPr>
          <w:u w:val="single"/>
        </w:rPr>
        <w:tab/>
      </w:r>
    </w:p>
  </w:footnote>
  <w:footnote w:type="continuationSeparator" w:id="0">
    <w:p w14:paraId="6200B7C6" w14:textId="77777777" w:rsidR="00981897" w:rsidRPr="00F2705D" w:rsidRDefault="00981897" w:rsidP="00FC68B7">
      <w:pPr>
        <w:tabs>
          <w:tab w:val="left" w:pos="2155"/>
        </w:tabs>
        <w:spacing w:after="80"/>
        <w:ind w:left="680"/>
        <w:rPr>
          <w:u w:val="single"/>
        </w:rPr>
      </w:pPr>
      <w:r w:rsidRPr="00F2705D">
        <w:rPr>
          <w:u w:val="single"/>
        </w:rPr>
        <w:tab/>
      </w:r>
    </w:p>
  </w:footnote>
  <w:footnote w:type="continuationNotice" w:id="1">
    <w:p w14:paraId="50580572" w14:textId="77777777" w:rsidR="00981897" w:rsidRPr="00F2705D" w:rsidRDefault="00981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7CD0" w14:textId="5DC6A424" w:rsidR="00243144" w:rsidRPr="00F2705D" w:rsidRDefault="003F3120" w:rsidP="0032466D">
    <w:pPr>
      <w:pStyle w:val="Header"/>
    </w:pPr>
    <w:r>
      <w:t>GR</w:t>
    </w:r>
    <w:r w:rsidR="001C2D20">
      <w:t>SG</w:t>
    </w:r>
    <w:r>
      <w:t>-</w:t>
    </w:r>
    <w:r w:rsidR="001C2D20">
      <w:t>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C210" w14:textId="33B71977" w:rsidR="00243144" w:rsidRDefault="00B22D21" w:rsidP="0032466D">
    <w:pPr>
      <w:pStyle w:val="Header"/>
      <w:jc w:val="right"/>
    </w:pPr>
    <w:r>
      <w:t>GR</w:t>
    </w:r>
    <w:r w:rsidR="001C2D20">
      <w:t>SG-130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817"/>
      <w:gridCol w:w="4822"/>
    </w:tblGrid>
    <w:tr w:rsidR="002C6193" w:rsidRPr="00E63325" w14:paraId="5D4A749D" w14:textId="77777777" w:rsidTr="005B309A">
      <w:tc>
        <w:tcPr>
          <w:tcW w:w="4927" w:type="dxa"/>
        </w:tcPr>
        <w:p w14:paraId="5FFF8A70" w14:textId="39952E37" w:rsidR="002C6193" w:rsidRPr="00F2705D" w:rsidRDefault="002C6193" w:rsidP="002C6193">
          <w:pPr>
            <w:rPr>
              <w:bCs/>
              <w:sz w:val="18"/>
            </w:rPr>
          </w:pPr>
          <w:r w:rsidRPr="00F2705D">
            <w:rPr>
              <w:bCs/>
              <w:sz w:val="18"/>
            </w:rPr>
            <w:t>Submitted by the</w:t>
          </w:r>
          <w:r w:rsidR="009923B6">
            <w:rPr>
              <w:bCs/>
              <w:sz w:val="18"/>
            </w:rPr>
            <w:t xml:space="preserve"> EDR-DSSAD-IWG</w:t>
          </w:r>
        </w:p>
      </w:tc>
      <w:tc>
        <w:tcPr>
          <w:tcW w:w="4928" w:type="dxa"/>
        </w:tcPr>
        <w:p w14:paraId="696EDE13" w14:textId="35D12C36" w:rsidR="002C6193" w:rsidRPr="0091572A" w:rsidRDefault="002C6193" w:rsidP="00876890">
          <w:pPr>
            <w:jc w:val="right"/>
            <w:rPr>
              <w:bCs/>
              <w:sz w:val="18"/>
            </w:rPr>
          </w:pPr>
          <w:r w:rsidRPr="0091572A">
            <w:rPr>
              <w:bCs/>
              <w:sz w:val="18"/>
              <w:u w:val="single"/>
            </w:rPr>
            <w:t>Informal document</w:t>
          </w:r>
          <w:r w:rsidRPr="0091572A">
            <w:rPr>
              <w:bCs/>
              <w:sz w:val="18"/>
            </w:rPr>
            <w:t xml:space="preserve"> </w:t>
          </w:r>
          <w:r w:rsidRPr="0091572A">
            <w:rPr>
              <w:b/>
              <w:sz w:val="18"/>
            </w:rPr>
            <w:t>GR</w:t>
          </w:r>
          <w:r w:rsidR="009923B6">
            <w:rPr>
              <w:b/>
              <w:sz w:val="18"/>
            </w:rPr>
            <w:t>SG</w:t>
          </w:r>
          <w:r w:rsidRPr="0091572A">
            <w:rPr>
              <w:b/>
              <w:sz w:val="18"/>
            </w:rPr>
            <w:t>-</w:t>
          </w:r>
          <w:r w:rsidR="002E7BC9">
            <w:rPr>
              <w:b/>
              <w:sz w:val="18"/>
            </w:rPr>
            <w:t>130</w:t>
          </w:r>
          <w:r w:rsidR="00D42E33" w:rsidRPr="0091572A">
            <w:rPr>
              <w:b/>
              <w:sz w:val="18"/>
            </w:rPr>
            <w:t>-</w:t>
          </w:r>
          <w:r w:rsidR="00876890">
            <w:rPr>
              <w:b/>
              <w:sz w:val="18"/>
            </w:rPr>
            <w:t>XX</w:t>
          </w:r>
          <w:r w:rsidRPr="0091572A">
            <w:rPr>
              <w:b/>
              <w:sz w:val="18"/>
            </w:rPr>
            <w:br/>
          </w:r>
          <w:r w:rsidR="002E7BC9">
            <w:rPr>
              <w:bCs/>
              <w:sz w:val="18"/>
            </w:rPr>
            <w:t>130th</w:t>
          </w:r>
          <w:r w:rsidR="0091572A" w:rsidRPr="0091572A">
            <w:rPr>
              <w:bCs/>
              <w:sz w:val="18"/>
            </w:rPr>
            <w:t xml:space="preserve"> GR</w:t>
          </w:r>
          <w:r w:rsidR="009923B6">
            <w:rPr>
              <w:bCs/>
              <w:sz w:val="18"/>
            </w:rPr>
            <w:t>SG</w:t>
          </w:r>
          <w:r w:rsidRPr="0091572A">
            <w:rPr>
              <w:bCs/>
              <w:sz w:val="18"/>
            </w:rPr>
            <w:t xml:space="preserve">, </w:t>
          </w:r>
          <w:r w:rsidR="009923B6">
            <w:rPr>
              <w:bCs/>
              <w:sz w:val="18"/>
            </w:rPr>
            <w:t>6</w:t>
          </w:r>
          <w:r w:rsidR="0007476E">
            <w:rPr>
              <w:bCs/>
              <w:sz w:val="18"/>
            </w:rPr>
            <w:t>-</w:t>
          </w:r>
          <w:r w:rsidR="002E7BC9">
            <w:rPr>
              <w:bCs/>
              <w:sz w:val="18"/>
            </w:rPr>
            <w:t>9</w:t>
          </w:r>
          <w:r w:rsidR="005056C4" w:rsidRPr="0091572A">
            <w:rPr>
              <w:bCs/>
              <w:sz w:val="18"/>
            </w:rPr>
            <w:t xml:space="preserve"> </w:t>
          </w:r>
          <w:r w:rsidR="009923B6">
            <w:rPr>
              <w:bCs/>
              <w:sz w:val="18"/>
            </w:rPr>
            <w:t>October</w:t>
          </w:r>
          <w:r w:rsidR="005056C4" w:rsidRPr="0091572A">
            <w:rPr>
              <w:bCs/>
              <w:sz w:val="18"/>
            </w:rPr>
            <w:t xml:space="preserve"> 202</w:t>
          </w:r>
          <w:r w:rsidR="005337E1" w:rsidRPr="0091572A">
            <w:rPr>
              <w:bCs/>
              <w:sz w:val="18"/>
            </w:rPr>
            <w:t>5</w:t>
          </w:r>
          <w:r w:rsidR="005056C4" w:rsidRPr="0091572A">
            <w:rPr>
              <w:bCs/>
              <w:sz w:val="18"/>
            </w:rPr>
            <w:br/>
          </w:r>
          <w:r w:rsidR="005056C4" w:rsidRPr="0091572A">
            <w:rPr>
              <w:b/>
              <w:sz w:val="18"/>
            </w:rPr>
            <w:t xml:space="preserve">Provisional agenda item </w:t>
          </w:r>
          <w:r w:rsidR="009923B6">
            <w:rPr>
              <w:b/>
              <w:sz w:val="18"/>
            </w:rPr>
            <w:t>XX</w:t>
          </w:r>
          <w:r w:rsidR="00CE0C1B" w:rsidRPr="0091572A">
            <w:rPr>
              <w:bCs/>
              <w:sz w:val="18"/>
            </w:rPr>
            <w:t xml:space="preserve"> </w:t>
          </w:r>
          <w:r w:rsidRPr="0091572A">
            <w:rPr>
              <w:bCs/>
              <w:sz w:val="18"/>
            </w:rPr>
            <w:t xml:space="preserve"> </w:t>
          </w:r>
        </w:p>
      </w:tc>
    </w:tr>
  </w:tbl>
  <w:p w14:paraId="4FF495C6" w14:textId="77777777" w:rsidR="005C2EA1" w:rsidRPr="00F2705D" w:rsidRDefault="005C2EA1" w:rsidP="002C6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5750929">
    <w:abstractNumId w:val="1"/>
  </w:num>
  <w:num w:numId="2" w16cid:durableId="770008684">
    <w:abstractNumId w:val="0"/>
  </w:num>
  <w:num w:numId="3" w16cid:durableId="272985312">
    <w:abstractNumId w:val="2"/>
  </w:num>
  <w:num w:numId="4" w16cid:durableId="553199186">
    <w:abstractNumId w:val="3"/>
  </w:num>
  <w:num w:numId="5" w16cid:durableId="1109467552">
    <w:abstractNumId w:val="8"/>
  </w:num>
  <w:num w:numId="6" w16cid:durableId="624190878">
    <w:abstractNumId w:val="9"/>
  </w:num>
  <w:num w:numId="7" w16cid:durableId="536432070">
    <w:abstractNumId w:val="7"/>
  </w:num>
  <w:num w:numId="8" w16cid:durableId="2080708747">
    <w:abstractNumId w:val="6"/>
  </w:num>
  <w:num w:numId="9" w16cid:durableId="1117064256">
    <w:abstractNumId w:val="5"/>
  </w:num>
  <w:num w:numId="10" w16cid:durableId="832841778">
    <w:abstractNumId w:val="4"/>
  </w:num>
  <w:num w:numId="11" w16cid:durableId="1057975808">
    <w:abstractNumId w:val="15"/>
  </w:num>
  <w:num w:numId="12" w16cid:durableId="1461457789">
    <w:abstractNumId w:val="12"/>
  </w:num>
  <w:num w:numId="13" w16cid:durableId="1475491151">
    <w:abstractNumId w:val="11"/>
  </w:num>
  <w:num w:numId="14" w16cid:durableId="1218011863">
    <w:abstractNumId w:val="16"/>
  </w:num>
  <w:num w:numId="15" w16cid:durableId="640885702">
    <w:abstractNumId w:val="17"/>
  </w:num>
  <w:num w:numId="16" w16cid:durableId="146093807">
    <w:abstractNumId w:val="10"/>
  </w:num>
  <w:num w:numId="17" w16cid:durableId="969476130">
    <w:abstractNumId w:val="14"/>
  </w:num>
  <w:num w:numId="18" w16cid:durableId="1121070611">
    <w:abstractNumId w:val="13"/>
  </w:num>
  <w:num w:numId="19" w16cid:durableId="1184130599">
    <w:abstractNumId w:val="16"/>
  </w:num>
  <w:num w:numId="20" w16cid:durableId="1155880990">
    <w:abstractNumId w:val="16"/>
  </w:num>
  <w:num w:numId="21" w16cid:durableId="1173180975">
    <w:abstractNumId w:val="17"/>
  </w:num>
  <w:num w:numId="22" w16cid:durableId="288974580">
    <w:abstractNumId w:val="16"/>
  </w:num>
  <w:num w:numId="23" w16cid:durableId="1592663310">
    <w:abstractNumId w:val="16"/>
  </w:num>
  <w:num w:numId="24" w16cid:durableId="1569800071">
    <w:abstractNumId w:val="16"/>
  </w:num>
  <w:num w:numId="25" w16cid:durableId="1632899056">
    <w:abstractNumId w:val="16"/>
  </w:num>
  <w:num w:numId="26" w16cid:durableId="238910646">
    <w:abstractNumId w:val="16"/>
  </w:num>
  <w:num w:numId="27" w16cid:durableId="821432479">
    <w:abstractNumId w:val="16"/>
  </w:num>
  <w:num w:numId="28" w16cid:durableId="1395083856">
    <w:abstractNumId w:val="16"/>
  </w:num>
  <w:num w:numId="29" w16cid:durableId="748387574">
    <w:abstractNumId w:val="16"/>
  </w:num>
  <w:num w:numId="30" w16cid:durableId="917593523">
    <w:abstractNumId w:val="16"/>
  </w:num>
  <w:num w:numId="31" w16cid:durableId="1769158854">
    <w:abstractNumId w:val="16"/>
  </w:num>
  <w:num w:numId="32" w16cid:durableId="1347512308">
    <w:abstractNumId w:val="16"/>
  </w:num>
  <w:num w:numId="33" w16cid:durableId="1037583723">
    <w:abstractNumId w:val="16"/>
  </w:num>
  <w:num w:numId="34" w16cid:durableId="1542092579">
    <w:abstractNumId w:val="16"/>
  </w:num>
  <w:num w:numId="35" w16cid:durableId="1249073907">
    <w:abstractNumId w:val="16"/>
  </w:num>
  <w:num w:numId="36" w16cid:durableId="1474954131">
    <w:abstractNumId w:val="16"/>
  </w:num>
  <w:num w:numId="37" w16cid:durableId="1132671481">
    <w:abstractNumId w:val="16"/>
  </w:num>
  <w:num w:numId="38" w16cid:durableId="1710690695">
    <w:abstractNumId w:val="16"/>
  </w:num>
  <w:num w:numId="39" w16cid:durableId="291524868">
    <w:abstractNumId w:val="16"/>
  </w:num>
  <w:num w:numId="40" w16cid:durableId="1550066027">
    <w:abstractNumId w:val="16"/>
  </w:num>
  <w:num w:numId="41" w16cid:durableId="878586777">
    <w:abstractNumId w:val="16"/>
  </w:num>
  <w:num w:numId="42" w16cid:durableId="1292596829">
    <w:abstractNumId w:val="16"/>
  </w:num>
  <w:num w:numId="43" w16cid:durableId="362366618">
    <w:abstractNumId w:val="16"/>
  </w:num>
  <w:num w:numId="44" w16cid:durableId="1132672540">
    <w:abstractNumId w:val="16"/>
  </w:num>
  <w:num w:numId="45" w16cid:durableId="535121491">
    <w:abstractNumId w:val="16"/>
  </w:num>
  <w:num w:numId="46" w16cid:durableId="299724081">
    <w:abstractNumId w:val="16"/>
  </w:num>
  <w:num w:numId="47" w16cid:durableId="1296520814">
    <w:abstractNumId w:val="16"/>
  </w:num>
  <w:num w:numId="48" w16cid:durableId="190148332">
    <w:abstractNumId w:val="16"/>
  </w:num>
  <w:num w:numId="49" w16cid:durableId="655572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AB"/>
    <w:rsid w:val="000002E7"/>
    <w:rsid w:val="00001190"/>
    <w:rsid w:val="00002938"/>
    <w:rsid w:val="000057CC"/>
    <w:rsid w:val="0002022D"/>
    <w:rsid w:val="00032FB4"/>
    <w:rsid w:val="00043725"/>
    <w:rsid w:val="00046422"/>
    <w:rsid w:val="00046B1F"/>
    <w:rsid w:val="00050F6B"/>
    <w:rsid w:val="00052635"/>
    <w:rsid w:val="0005516A"/>
    <w:rsid w:val="00057E97"/>
    <w:rsid w:val="00063C30"/>
    <w:rsid w:val="000646F4"/>
    <w:rsid w:val="00071784"/>
    <w:rsid w:val="0007273E"/>
    <w:rsid w:val="00072C8C"/>
    <w:rsid w:val="000733B5"/>
    <w:rsid w:val="0007476E"/>
    <w:rsid w:val="00076905"/>
    <w:rsid w:val="00081815"/>
    <w:rsid w:val="000874C8"/>
    <w:rsid w:val="00091620"/>
    <w:rsid w:val="000931C0"/>
    <w:rsid w:val="000A4765"/>
    <w:rsid w:val="000B0595"/>
    <w:rsid w:val="000B175B"/>
    <w:rsid w:val="000B2F02"/>
    <w:rsid w:val="000B3A0F"/>
    <w:rsid w:val="000B4EF7"/>
    <w:rsid w:val="000C020C"/>
    <w:rsid w:val="000C2C03"/>
    <w:rsid w:val="000C2C52"/>
    <w:rsid w:val="000C2D2E"/>
    <w:rsid w:val="000C64CB"/>
    <w:rsid w:val="000C7965"/>
    <w:rsid w:val="000D12D4"/>
    <w:rsid w:val="000D20CD"/>
    <w:rsid w:val="000D294B"/>
    <w:rsid w:val="000D4913"/>
    <w:rsid w:val="000D4D31"/>
    <w:rsid w:val="000D58DE"/>
    <w:rsid w:val="000E0415"/>
    <w:rsid w:val="000E3407"/>
    <w:rsid w:val="000F5802"/>
    <w:rsid w:val="000F635B"/>
    <w:rsid w:val="001103AA"/>
    <w:rsid w:val="001115E9"/>
    <w:rsid w:val="0011449A"/>
    <w:rsid w:val="0011666B"/>
    <w:rsid w:val="001208DB"/>
    <w:rsid w:val="001251A0"/>
    <w:rsid w:val="00135085"/>
    <w:rsid w:val="00165F3A"/>
    <w:rsid w:val="00182290"/>
    <w:rsid w:val="00184EB2"/>
    <w:rsid w:val="00191842"/>
    <w:rsid w:val="00194FE5"/>
    <w:rsid w:val="001A3955"/>
    <w:rsid w:val="001A40E5"/>
    <w:rsid w:val="001A629E"/>
    <w:rsid w:val="001B3F6B"/>
    <w:rsid w:val="001B4B04"/>
    <w:rsid w:val="001B4B9C"/>
    <w:rsid w:val="001C0521"/>
    <w:rsid w:val="001C2D20"/>
    <w:rsid w:val="001C33E0"/>
    <w:rsid w:val="001C6663"/>
    <w:rsid w:val="001C7895"/>
    <w:rsid w:val="001D0C8C"/>
    <w:rsid w:val="001D1349"/>
    <w:rsid w:val="001D1419"/>
    <w:rsid w:val="001D26DF"/>
    <w:rsid w:val="001D3A03"/>
    <w:rsid w:val="001D5506"/>
    <w:rsid w:val="001E7B67"/>
    <w:rsid w:val="00202DA8"/>
    <w:rsid w:val="002050AB"/>
    <w:rsid w:val="00205955"/>
    <w:rsid w:val="00206057"/>
    <w:rsid w:val="00210806"/>
    <w:rsid w:val="0021113D"/>
    <w:rsid w:val="002119E5"/>
    <w:rsid w:val="00211E0B"/>
    <w:rsid w:val="00215D13"/>
    <w:rsid w:val="00220A5D"/>
    <w:rsid w:val="00222BC9"/>
    <w:rsid w:val="00236CEB"/>
    <w:rsid w:val="00240164"/>
    <w:rsid w:val="00243144"/>
    <w:rsid w:val="0024564E"/>
    <w:rsid w:val="0024772E"/>
    <w:rsid w:val="00265838"/>
    <w:rsid w:val="00267F5F"/>
    <w:rsid w:val="00276A39"/>
    <w:rsid w:val="002834F8"/>
    <w:rsid w:val="0028468D"/>
    <w:rsid w:val="00286B4D"/>
    <w:rsid w:val="00287367"/>
    <w:rsid w:val="002C6193"/>
    <w:rsid w:val="002D2760"/>
    <w:rsid w:val="002D4243"/>
    <w:rsid w:val="002D4643"/>
    <w:rsid w:val="002D7FE8"/>
    <w:rsid w:val="002E07A8"/>
    <w:rsid w:val="002E38FD"/>
    <w:rsid w:val="002E3A4B"/>
    <w:rsid w:val="002E3F1E"/>
    <w:rsid w:val="002E7BC9"/>
    <w:rsid w:val="002F175C"/>
    <w:rsid w:val="002F4A0E"/>
    <w:rsid w:val="002F7DE0"/>
    <w:rsid w:val="00301498"/>
    <w:rsid w:val="00302827"/>
    <w:rsid w:val="00302E18"/>
    <w:rsid w:val="003063DA"/>
    <w:rsid w:val="003118F5"/>
    <w:rsid w:val="00311E3E"/>
    <w:rsid w:val="003229D8"/>
    <w:rsid w:val="0032466D"/>
    <w:rsid w:val="00326BC5"/>
    <w:rsid w:val="00327E38"/>
    <w:rsid w:val="0033042C"/>
    <w:rsid w:val="00337AD6"/>
    <w:rsid w:val="00341E96"/>
    <w:rsid w:val="00352709"/>
    <w:rsid w:val="0035643D"/>
    <w:rsid w:val="003619B5"/>
    <w:rsid w:val="00361AC3"/>
    <w:rsid w:val="00365763"/>
    <w:rsid w:val="00371178"/>
    <w:rsid w:val="00372988"/>
    <w:rsid w:val="00372E77"/>
    <w:rsid w:val="00377080"/>
    <w:rsid w:val="003867AC"/>
    <w:rsid w:val="00386B5D"/>
    <w:rsid w:val="00392E47"/>
    <w:rsid w:val="003A6810"/>
    <w:rsid w:val="003B33A9"/>
    <w:rsid w:val="003B61BB"/>
    <w:rsid w:val="003B7AF9"/>
    <w:rsid w:val="003C2CC4"/>
    <w:rsid w:val="003C534D"/>
    <w:rsid w:val="003D11A6"/>
    <w:rsid w:val="003D1F02"/>
    <w:rsid w:val="003D382C"/>
    <w:rsid w:val="003D4855"/>
    <w:rsid w:val="003D4B23"/>
    <w:rsid w:val="003E11FE"/>
    <w:rsid w:val="003E130E"/>
    <w:rsid w:val="003E428E"/>
    <w:rsid w:val="003E5484"/>
    <w:rsid w:val="003F3120"/>
    <w:rsid w:val="0040283B"/>
    <w:rsid w:val="00407806"/>
    <w:rsid w:val="00410C89"/>
    <w:rsid w:val="004204C4"/>
    <w:rsid w:val="00420710"/>
    <w:rsid w:val="004225DB"/>
    <w:rsid w:val="00422E03"/>
    <w:rsid w:val="00426B9B"/>
    <w:rsid w:val="00432211"/>
    <w:rsid w:val="004325CB"/>
    <w:rsid w:val="00440259"/>
    <w:rsid w:val="00440DBF"/>
    <w:rsid w:val="00442A83"/>
    <w:rsid w:val="004453A5"/>
    <w:rsid w:val="004455B6"/>
    <w:rsid w:val="00447911"/>
    <w:rsid w:val="0045495B"/>
    <w:rsid w:val="004561E5"/>
    <w:rsid w:val="0046070C"/>
    <w:rsid w:val="0046172B"/>
    <w:rsid w:val="0046221A"/>
    <w:rsid w:val="0047061D"/>
    <w:rsid w:val="004720A6"/>
    <w:rsid w:val="00472166"/>
    <w:rsid w:val="004733E8"/>
    <w:rsid w:val="00474EF6"/>
    <w:rsid w:val="00481573"/>
    <w:rsid w:val="00483341"/>
    <w:rsid w:val="00483842"/>
    <w:rsid w:val="0048397A"/>
    <w:rsid w:val="00485CBB"/>
    <w:rsid w:val="00485F0B"/>
    <w:rsid w:val="00486651"/>
    <w:rsid w:val="004866B7"/>
    <w:rsid w:val="004B1F10"/>
    <w:rsid w:val="004B1F91"/>
    <w:rsid w:val="004B7852"/>
    <w:rsid w:val="004C2461"/>
    <w:rsid w:val="004C7462"/>
    <w:rsid w:val="004D20FF"/>
    <w:rsid w:val="004D3F58"/>
    <w:rsid w:val="004E094B"/>
    <w:rsid w:val="004E345D"/>
    <w:rsid w:val="004E73DC"/>
    <w:rsid w:val="004E77B2"/>
    <w:rsid w:val="00502634"/>
    <w:rsid w:val="00503C05"/>
    <w:rsid w:val="00504B2D"/>
    <w:rsid w:val="005056C4"/>
    <w:rsid w:val="00520C70"/>
    <w:rsid w:val="0052136D"/>
    <w:rsid w:val="0052531A"/>
    <w:rsid w:val="00525EEC"/>
    <w:rsid w:val="005274FD"/>
    <w:rsid w:val="0052775E"/>
    <w:rsid w:val="005337E1"/>
    <w:rsid w:val="005341B2"/>
    <w:rsid w:val="0054034C"/>
    <w:rsid w:val="005410BC"/>
    <w:rsid w:val="005420F2"/>
    <w:rsid w:val="0055377E"/>
    <w:rsid w:val="0056209A"/>
    <w:rsid w:val="005628B6"/>
    <w:rsid w:val="00564720"/>
    <w:rsid w:val="00581AD3"/>
    <w:rsid w:val="00581EFD"/>
    <w:rsid w:val="005941EC"/>
    <w:rsid w:val="0059705A"/>
    <w:rsid w:val="0059724D"/>
    <w:rsid w:val="00597FAA"/>
    <w:rsid w:val="005B320C"/>
    <w:rsid w:val="005B3DB3"/>
    <w:rsid w:val="005B4E13"/>
    <w:rsid w:val="005C0EF5"/>
    <w:rsid w:val="005C2EA1"/>
    <w:rsid w:val="005C342F"/>
    <w:rsid w:val="005C5F0E"/>
    <w:rsid w:val="005C6797"/>
    <w:rsid w:val="005C7D1E"/>
    <w:rsid w:val="005D0A16"/>
    <w:rsid w:val="005D0EA4"/>
    <w:rsid w:val="005E021D"/>
    <w:rsid w:val="005E16A9"/>
    <w:rsid w:val="005F0DE7"/>
    <w:rsid w:val="005F7B75"/>
    <w:rsid w:val="006001EE"/>
    <w:rsid w:val="00605042"/>
    <w:rsid w:val="00607D07"/>
    <w:rsid w:val="00611336"/>
    <w:rsid w:val="00611FC4"/>
    <w:rsid w:val="00612957"/>
    <w:rsid w:val="006146A4"/>
    <w:rsid w:val="0061617F"/>
    <w:rsid w:val="006176FB"/>
    <w:rsid w:val="006276D8"/>
    <w:rsid w:val="00627A14"/>
    <w:rsid w:val="00631485"/>
    <w:rsid w:val="00640B26"/>
    <w:rsid w:val="00643CBC"/>
    <w:rsid w:val="00646C0D"/>
    <w:rsid w:val="00650211"/>
    <w:rsid w:val="00652D0A"/>
    <w:rsid w:val="00662BB6"/>
    <w:rsid w:val="00671B51"/>
    <w:rsid w:val="00672CC9"/>
    <w:rsid w:val="0067362F"/>
    <w:rsid w:val="006757DA"/>
    <w:rsid w:val="00675982"/>
    <w:rsid w:val="00676606"/>
    <w:rsid w:val="00683FED"/>
    <w:rsid w:val="00684C21"/>
    <w:rsid w:val="00694609"/>
    <w:rsid w:val="006966BF"/>
    <w:rsid w:val="006A2530"/>
    <w:rsid w:val="006A702B"/>
    <w:rsid w:val="006C3589"/>
    <w:rsid w:val="006D37AF"/>
    <w:rsid w:val="006D51D0"/>
    <w:rsid w:val="006D5FB9"/>
    <w:rsid w:val="006D658E"/>
    <w:rsid w:val="006E564B"/>
    <w:rsid w:val="006E7191"/>
    <w:rsid w:val="006F1FCD"/>
    <w:rsid w:val="00700060"/>
    <w:rsid w:val="00702DC8"/>
    <w:rsid w:val="00703577"/>
    <w:rsid w:val="00705894"/>
    <w:rsid w:val="00715B03"/>
    <w:rsid w:val="00717E57"/>
    <w:rsid w:val="00721902"/>
    <w:rsid w:val="0072632A"/>
    <w:rsid w:val="00732788"/>
    <w:rsid w:val="007327D5"/>
    <w:rsid w:val="00742AAB"/>
    <w:rsid w:val="007523DD"/>
    <w:rsid w:val="00756140"/>
    <w:rsid w:val="007604CA"/>
    <w:rsid w:val="007629C8"/>
    <w:rsid w:val="00766804"/>
    <w:rsid w:val="0077047D"/>
    <w:rsid w:val="0077130F"/>
    <w:rsid w:val="00775A55"/>
    <w:rsid w:val="007828E4"/>
    <w:rsid w:val="00787393"/>
    <w:rsid w:val="00791072"/>
    <w:rsid w:val="00792D1C"/>
    <w:rsid w:val="007945EB"/>
    <w:rsid w:val="00797DB4"/>
    <w:rsid w:val="007A11AA"/>
    <w:rsid w:val="007A77A2"/>
    <w:rsid w:val="007B6BA5"/>
    <w:rsid w:val="007C04A0"/>
    <w:rsid w:val="007C16A1"/>
    <w:rsid w:val="007C3390"/>
    <w:rsid w:val="007C4F4B"/>
    <w:rsid w:val="007C7974"/>
    <w:rsid w:val="007D3AD4"/>
    <w:rsid w:val="007E01E9"/>
    <w:rsid w:val="007E63F3"/>
    <w:rsid w:val="007F17C4"/>
    <w:rsid w:val="007F4931"/>
    <w:rsid w:val="007F6611"/>
    <w:rsid w:val="007F6C83"/>
    <w:rsid w:val="007F6F58"/>
    <w:rsid w:val="007F731A"/>
    <w:rsid w:val="00801A45"/>
    <w:rsid w:val="00803B5A"/>
    <w:rsid w:val="0080631D"/>
    <w:rsid w:val="00811920"/>
    <w:rsid w:val="00815AD0"/>
    <w:rsid w:val="00815EDB"/>
    <w:rsid w:val="00817C72"/>
    <w:rsid w:val="00820BDC"/>
    <w:rsid w:val="00821169"/>
    <w:rsid w:val="00822330"/>
    <w:rsid w:val="008242D7"/>
    <w:rsid w:val="008257B1"/>
    <w:rsid w:val="0082665E"/>
    <w:rsid w:val="00826FFF"/>
    <w:rsid w:val="00832334"/>
    <w:rsid w:val="0083403F"/>
    <w:rsid w:val="00843725"/>
    <w:rsid w:val="00843767"/>
    <w:rsid w:val="00847A53"/>
    <w:rsid w:val="0085359A"/>
    <w:rsid w:val="00856D06"/>
    <w:rsid w:val="008679D9"/>
    <w:rsid w:val="00876890"/>
    <w:rsid w:val="00882CAE"/>
    <w:rsid w:val="0088441F"/>
    <w:rsid w:val="00884CBE"/>
    <w:rsid w:val="008878DE"/>
    <w:rsid w:val="00892FED"/>
    <w:rsid w:val="008979B1"/>
    <w:rsid w:val="008A1ED5"/>
    <w:rsid w:val="008A325A"/>
    <w:rsid w:val="008A3577"/>
    <w:rsid w:val="008A64A9"/>
    <w:rsid w:val="008A6B25"/>
    <w:rsid w:val="008A6C4F"/>
    <w:rsid w:val="008A7850"/>
    <w:rsid w:val="008B2335"/>
    <w:rsid w:val="008B2E36"/>
    <w:rsid w:val="008C6065"/>
    <w:rsid w:val="008D2063"/>
    <w:rsid w:val="008D65DC"/>
    <w:rsid w:val="008E0678"/>
    <w:rsid w:val="008E3F6D"/>
    <w:rsid w:val="008E7930"/>
    <w:rsid w:val="008F31D2"/>
    <w:rsid w:val="008F38FC"/>
    <w:rsid w:val="008F63A9"/>
    <w:rsid w:val="0091572A"/>
    <w:rsid w:val="00915EF6"/>
    <w:rsid w:val="0092041B"/>
    <w:rsid w:val="009223CA"/>
    <w:rsid w:val="00940F93"/>
    <w:rsid w:val="009448C3"/>
    <w:rsid w:val="00946E87"/>
    <w:rsid w:val="009526EE"/>
    <w:rsid w:val="00953100"/>
    <w:rsid w:val="00961F3E"/>
    <w:rsid w:val="009760F3"/>
    <w:rsid w:val="00976CFB"/>
    <w:rsid w:val="00981897"/>
    <w:rsid w:val="00983129"/>
    <w:rsid w:val="00984F23"/>
    <w:rsid w:val="009860BF"/>
    <w:rsid w:val="00986BDD"/>
    <w:rsid w:val="009902D0"/>
    <w:rsid w:val="009923B6"/>
    <w:rsid w:val="00992569"/>
    <w:rsid w:val="0099330F"/>
    <w:rsid w:val="00996054"/>
    <w:rsid w:val="009A0830"/>
    <w:rsid w:val="009A0E8D"/>
    <w:rsid w:val="009A246F"/>
    <w:rsid w:val="009A515F"/>
    <w:rsid w:val="009B26E7"/>
    <w:rsid w:val="009B39BE"/>
    <w:rsid w:val="009B5B9D"/>
    <w:rsid w:val="009B64BB"/>
    <w:rsid w:val="009C26E9"/>
    <w:rsid w:val="009C2963"/>
    <w:rsid w:val="009C2AE4"/>
    <w:rsid w:val="009D020E"/>
    <w:rsid w:val="009D499F"/>
    <w:rsid w:val="009E7CC0"/>
    <w:rsid w:val="009F453C"/>
    <w:rsid w:val="009F7C66"/>
    <w:rsid w:val="00A00697"/>
    <w:rsid w:val="00A00A3F"/>
    <w:rsid w:val="00A01489"/>
    <w:rsid w:val="00A034AB"/>
    <w:rsid w:val="00A14268"/>
    <w:rsid w:val="00A16B40"/>
    <w:rsid w:val="00A2481F"/>
    <w:rsid w:val="00A259E8"/>
    <w:rsid w:val="00A3026E"/>
    <w:rsid w:val="00A338F1"/>
    <w:rsid w:val="00A3434C"/>
    <w:rsid w:val="00A35BE0"/>
    <w:rsid w:val="00A37F51"/>
    <w:rsid w:val="00A417F1"/>
    <w:rsid w:val="00A441FB"/>
    <w:rsid w:val="00A54440"/>
    <w:rsid w:val="00A579D4"/>
    <w:rsid w:val="00A57F75"/>
    <w:rsid w:val="00A6129C"/>
    <w:rsid w:val="00A61858"/>
    <w:rsid w:val="00A65810"/>
    <w:rsid w:val="00A72F22"/>
    <w:rsid w:val="00A7360F"/>
    <w:rsid w:val="00A748A6"/>
    <w:rsid w:val="00A76852"/>
    <w:rsid w:val="00A769F4"/>
    <w:rsid w:val="00A76E6B"/>
    <w:rsid w:val="00A776B4"/>
    <w:rsid w:val="00A91C7D"/>
    <w:rsid w:val="00A91FE1"/>
    <w:rsid w:val="00A94361"/>
    <w:rsid w:val="00A95879"/>
    <w:rsid w:val="00AA293C"/>
    <w:rsid w:val="00AB0BA7"/>
    <w:rsid w:val="00AB28A7"/>
    <w:rsid w:val="00AC65C2"/>
    <w:rsid w:val="00AD24E0"/>
    <w:rsid w:val="00AD3273"/>
    <w:rsid w:val="00AD3AA8"/>
    <w:rsid w:val="00AD4356"/>
    <w:rsid w:val="00AE0722"/>
    <w:rsid w:val="00AE40B3"/>
    <w:rsid w:val="00AE691A"/>
    <w:rsid w:val="00AE6D2F"/>
    <w:rsid w:val="00B06032"/>
    <w:rsid w:val="00B06EC0"/>
    <w:rsid w:val="00B225ED"/>
    <w:rsid w:val="00B229B6"/>
    <w:rsid w:val="00B22D21"/>
    <w:rsid w:val="00B30179"/>
    <w:rsid w:val="00B30966"/>
    <w:rsid w:val="00B33CB8"/>
    <w:rsid w:val="00B421C1"/>
    <w:rsid w:val="00B44F40"/>
    <w:rsid w:val="00B45692"/>
    <w:rsid w:val="00B46A87"/>
    <w:rsid w:val="00B53C21"/>
    <w:rsid w:val="00B555F2"/>
    <w:rsid w:val="00B55C71"/>
    <w:rsid w:val="00B56E4A"/>
    <w:rsid w:val="00B56E9C"/>
    <w:rsid w:val="00B57020"/>
    <w:rsid w:val="00B64B1F"/>
    <w:rsid w:val="00B6553F"/>
    <w:rsid w:val="00B70CAD"/>
    <w:rsid w:val="00B75552"/>
    <w:rsid w:val="00B75E50"/>
    <w:rsid w:val="00B77D05"/>
    <w:rsid w:val="00B81206"/>
    <w:rsid w:val="00B81BB2"/>
    <w:rsid w:val="00B81E12"/>
    <w:rsid w:val="00B95B08"/>
    <w:rsid w:val="00BA3C21"/>
    <w:rsid w:val="00BB12C5"/>
    <w:rsid w:val="00BB767C"/>
    <w:rsid w:val="00BC0303"/>
    <w:rsid w:val="00BC3FA0"/>
    <w:rsid w:val="00BC66AB"/>
    <w:rsid w:val="00BC74E9"/>
    <w:rsid w:val="00BD56A0"/>
    <w:rsid w:val="00BE176B"/>
    <w:rsid w:val="00BE2F3F"/>
    <w:rsid w:val="00BF6579"/>
    <w:rsid w:val="00BF68A8"/>
    <w:rsid w:val="00BF6F23"/>
    <w:rsid w:val="00C04568"/>
    <w:rsid w:val="00C06E67"/>
    <w:rsid w:val="00C079B1"/>
    <w:rsid w:val="00C11A03"/>
    <w:rsid w:val="00C12E38"/>
    <w:rsid w:val="00C22C0C"/>
    <w:rsid w:val="00C25BD8"/>
    <w:rsid w:val="00C4527F"/>
    <w:rsid w:val="00C463DD"/>
    <w:rsid w:val="00C4724C"/>
    <w:rsid w:val="00C47ADA"/>
    <w:rsid w:val="00C5718E"/>
    <w:rsid w:val="00C61C54"/>
    <w:rsid w:val="00C629A0"/>
    <w:rsid w:val="00C64629"/>
    <w:rsid w:val="00C72632"/>
    <w:rsid w:val="00C73704"/>
    <w:rsid w:val="00C745C3"/>
    <w:rsid w:val="00C7558C"/>
    <w:rsid w:val="00C8667A"/>
    <w:rsid w:val="00C927E7"/>
    <w:rsid w:val="00C96DF2"/>
    <w:rsid w:val="00CA5004"/>
    <w:rsid w:val="00CB2F3F"/>
    <w:rsid w:val="00CB3E03"/>
    <w:rsid w:val="00CB4C05"/>
    <w:rsid w:val="00CD3296"/>
    <w:rsid w:val="00CD4AA6"/>
    <w:rsid w:val="00CD71C4"/>
    <w:rsid w:val="00CE0C1B"/>
    <w:rsid w:val="00CE4A8F"/>
    <w:rsid w:val="00D0420F"/>
    <w:rsid w:val="00D058A1"/>
    <w:rsid w:val="00D141B8"/>
    <w:rsid w:val="00D2031B"/>
    <w:rsid w:val="00D206A5"/>
    <w:rsid w:val="00D248B6"/>
    <w:rsid w:val="00D25FE2"/>
    <w:rsid w:val="00D263E1"/>
    <w:rsid w:val="00D26E07"/>
    <w:rsid w:val="00D27D14"/>
    <w:rsid w:val="00D30E6E"/>
    <w:rsid w:val="00D36D25"/>
    <w:rsid w:val="00D42E33"/>
    <w:rsid w:val="00D43252"/>
    <w:rsid w:val="00D47EEA"/>
    <w:rsid w:val="00D51ABC"/>
    <w:rsid w:val="00D51E94"/>
    <w:rsid w:val="00D54F90"/>
    <w:rsid w:val="00D57758"/>
    <w:rsid w:val="00D6117B"/>
    <w:rsid w:val="00D62A9B"/>
    <w:rsid w:val="00D773DF"/>
    <w:rsid w:val="00D8270F"/>
    <w:rsid w:val="00D83A13"/>
    <w:rsid w:val="00D867D3"/>
    <w:rsid w:val="00D90252"/>
    <w:rsid w:val="00D90624"/>
    <w:rsid w:val="00D95303"/>
    <w:rsid w:val="00D978C6"/>
    <w:rsid w:val="00DA3C1C"/>
    <w:rsid w:val="00DA583A"/>
    <w:rsid w:val="00DB340D"/>
    <w:rsid w:val="00DB6A2B"/>
    <w:rsid w:val="00DC1C9C"/>
    <w:rsid w:val="00DC21A2"/>
    <w:rsid w:val="00DC6D39"/>
    <w:rsid w:val="00E046DF"/>
    <w:rsid w:val="00E063E0"/>
    <w:rsid w:val="00E1152D"/>
    <w:rsid w:val="00E126D2"/>
    <w:rsid w:val="00E12FF6"/>
    <w:rsid w:val="00E22B0C"/>
    <w:rsid w:val="00E26638"/>
    <w:rsid w:val="00E27346"/>
    <w:rsid w:val="00E35301"/>
    <w:rsid w:val="00E35475"/>
    <w:rsid w:val="00E40A45"/>
    <w:rsid w:val="00E4160B"/>
    <w:rsid w:val="00E448BF"/>
    <w:rsid w:val="00E463A3"/>
    <w:rsid w:val="00E560CA"/>
    <w:rsid w:val="00E5727C"/>
    <w:rsid w:val="00E6112D"/>
    <w:rsid w:val="00E61319"/>
    <w:rsid w:val="00E63325"/>
    <w:rsid w:val="00E6391B"/>
    <w:rsid w:val="00E6644F"/>
    <w:rsid w:val="00E700EA"/>
    <w:rsid w:val="00E71BC8"/>
    <w:rsid w:val="00E7260F"/>
    <w:rsid w:val="00E73948"/>
    <w:rsid w:val="00E73F5D"/>
    <w:rsid w:val="00E76790"/>
    <w:rsid w:val="00E77E4E"/>
    <w:rsid w:val="00E87F0E"/>
    <w:rsid w:val="00E96630"/>
    <w:rsid w:val="00EA2A77"/>
    <w:rsid w:val="00EA67C7"/>
    <w:rsid w:val="00EB2349"/>
    <w:rsid w:val="00EB7139"/>
    <w:rsid w:val="00EC1A02"/>
    <w:rsid w:val="00EC4A26"/>
    <w:rsid w:val="00ED21DB"/>
    <w:rsid w:val="00ED7159"/>
    <w:rsid w:val="00ED7A2A"/>
    <w:rsid w:val="00EF146A"/>
    <w:rsid w:val="00EF1D7F"/>
    <w:rsid w:val="00EF65FF"/>
    <w:rsid w:val="00F0516B"/>
    <w:rsid w:val="00F148EC"/>
    <w:rsid w:val="00F16389"/>
    <w:rsid w:val="00F261C5"/>
    <w:rsid w:val="00F2705D"/>
    <w:rsid w:val="00F31E5F"/>
    <w:rsid w:val="00F3452C"/>
    <w:rsid w:val="00F471C0"/>
    <w:rsid w:val="00F474AB"/>
    <w:rsid w:val="00F50018"/>
    <w:rsid w:val="00F52563"/>
    <w:rsid w:val="00F5400A"/>
    <w:rsid w:val="00F54377"/>
    <w:rsid w:val="00F55B8F"/>
    <w:rsid w:val="00F6009B"/>
    <w:rsid w:val="00F6100A"/>
    <w:rsid w:val="00F656E4"/>
    <w:rsid w:val="00F65F9A"/>
    <w:rsid w:val="00F74189"/>
    <w:rsid w:val="00F74691"/>
    <w:rsid w:val="00F818C3"/>
    <w:rsid w:val="00F87527"/>
    <w:rsid w:val="00F93781"/>
    <w:rsid w:val="00F95AB8"/>
    <w:rsid w:val="00F95B72"/>
    <w:rsid w:val="00FA0042"/>
    <w:rsid w:val="00FA5366"/>
    <w:rsid w:val="00FA732B"/>
    <w:rsid w:val="00FB613B"/>
    <w:rsid w:val="00FC05F9"/>
    <w:rsid w:val="00FC4D29"/>
    <w:rsid w:val="00FC68B7"/>
    <w:rsid w:val="00FC6DB5"/>
    <w:rsid w:val="00FD3F98"/>
    <w:rsid w:val="00FE0220"/>
    <w:rsid w:val="00FE106A"/>
    <w:rsid w:val="00FE7450"/>
    <w:rsid w:val="00FF145D"/>
    <w:rsid w:val="00FF26AA"/>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497"/>
  <w15:chartTrackingRefBased/>
  <w15:docId w15:val="{FEFAF123-363F-4F64-973C-2D720218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F02"/>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FootnoteTextChar">
    <w:name w:val="Footnote Text Char"/>
    <w:aliases w:val="5_G Char"/>
    <w:link w:val="FootnoteText"/>
    <w:semiHidden/>
    <w:locked/>
    <w:rsid w:val="000002E7"/>
    <w:rPr>
      <w:sz w:val="18"/>
      <w:lang w:val="en-GB" w:eastAsia="en-US" w:bidi="ar-SA"/>
    </w:rPr>
  </w:style>
  <w:style w:type="character" w:customStyle="1" w:styleId="H23GChar">
    <w:name w:val="_ H_2/3_G Char"/>
    <w:link w:val="H23G"/>
    <w:rsid w:val="000002E7"/>
    <w:rPr>
      <w:b/>
      <w:lang w:val="en-GB" w:eastAsia="en-US" w:bidi="ar-SA"/>
    </w:rPr>
  </w:style>
  <w:style w:type="character" w:customStyle="1" w:styleId="Heading1Char">
    <w:name w:val="Heading 1 Char"/>
    <w:aliases w:val="Table_G Char"/>
    <w:link w:val="Heading1"/>
    <w:rsid w:val="00E87F0E"/>
    <w:rPr>
      <w:lang w:val="en-GB" w:eastAsia="en-US" w:bidi="ar-SA"/>
    </w:rPr>
  </w:style>
  <w:style w:type="paragraph" w:styleId="BalloonText">
    <w:name w:val="Balloon Text"/>
    <w:basedOn w:val="Normal"/>
    <w:semiHidden/>
    <w:rsid w:val="005C5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6230">
      <w:bodyDiv w:val="1"/>
      <w:marLeft w:val="0"/>
      <w:marRight w:val="0"/>
      <w:marTop w:val="0"/>
      <w:marBottom w:val="0"/>
      <w:divBdr>
        <w:top w:val="none" w:sz="0" w:space="0" w:color="auto"/>
        <w:left w:val="none" w:sz="0" w:space="0" w:color="auto"/>
        <w:bottom w:val="none" w:sz="0" w:space="0" w:color="auto"/>
        <w:right w:val="none" w:sz="0" w:space="0" w:color="auto"/>
      </w:divBdr>
    </w:div>
    <w:div w:id="565578707">
      <w:bodyDiv w:val="1"/>
      <w:marLeft w:val="0"/>
      <w:marRight w:val="0"/>
      <w:marTop w:val="0"/>
      <w:marBottom w:val="0"/>
      <w:divBdr>
        <w:top w:val="none" w:sz="0" w:space="0" w:color="auto"/>
        <w:left w:val="none" w:sz="0" w:space="0" w:color="auto"/>
        <w:bottom w:val="none" w:sz="0" w:space="0" w:color="auto"/>
        <w:right w:val="none" w:sz="0" w:space="0" w:color="auto"/>
      </w:divBdr>
    </w:div>
    <w:div w:id="1146701764">
      <w:bodyDiv w:val="1"/>
      <w:marLeft w:val="0"/>
      <w:marRight w:val="0"/>
      <w:marTop w:val="0"/>
      <w:marBottom w:val="0"/>
      <w:divBdr>
        <w:top w:val="none" w:sz="0" w:space="0" w:color="auto"/>
        <w:left w:val="none" w:sz="0" w:space="0" w:color="auto"/>
        <w:bottom w:val="none" w:sz="0" w:space="0" w:color="auto"/>
        <w:right w:val="none" w:sz="0" w:space="0" w:color="auto"/>
      </w:divBdr>
      <w:divsChild>
        <w:div w:id="176464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945412">
      <w:bodyDiv w:val="1"/>
      <w:marLeft w:val="0"/>
      <w:marRight w:val="0"/>
      <w:marTop w:val="0"/>
      <w:marBottom w:val="0"/>
      <w:divBdr>
        <w:top w:val="none" w:sz="0" w:space="0" w:color="auto"/>
        <w:left w:val="none" w:sz="0" w:space="0" w:color="auto"/>
        <w:bottom w:val="none" w:sz="0" w:space="0" w:color="auto"/>
        <w:right w:val="none" w:sz="0" w:space="0" w:color="auto"/>
      </w:divBdr>
    </w:div>
    <w:div w:id="1284534162">
      <w:bodyDiv w:val="1"/>
      <w:marLeft w:val="0"/>
      <w:marRight w:val="0"/>
      <w:marTop w:val="0"/>
      <w:marBottom w:val="0"/>
      <w:divBdr>
        <w:top w:val="none" w:sz="0" w:space="0" w:color="auto"/>
        <w:left w:val="none" w:sz="0" w:space="0" w:color="auto"/>
        <w:bottom w:val="none" w:sz="0" w:space="0" w:color="auto"/>
        <w:right w:val="none" w:sz="0" w:space="0" w:color="auto"/>
      </w:divBdr>
    </w:div>
    <w:div w:id="1365254474">
      <w:bodyDiv w:val="1"/>
      <w:marLeft w:val="0"/>
      <w:marRight w:val="0"/>
      <w:marTop w:val="0"/>
      <w:marBottom w:val="0"/>
      <w:divBdr>
        <w:top w:val="none" w:sz="0" w:space="0" w:color="auto"/>
        <w:left w:val="none" w:sz="0" w:space="0" w:color="auto"/>
        <w:bottom w:val="none" w:sz="0" w:space="0" w:color="auto"/>
        <w:right w:val="none" w:sz="0" w:space="0" w:color="auto"/>
      </w:divBdr>
    </w:div>
    <w:div w:id="1414201597">
      <w:bodyDiv w:val="1"/>
      <w:marLeft w:val="0"/>
      <w:marRight w:val="0"/>
      <w:marTop w:val="0"/>
      <w:marBottom w:val="0"/>
      <w:divBdr>
        <w:top w:val="none" w:sz="0" w:space="0" w:color="auto"/>
        <w:left w:val="none" w:sz="0" w:space="0" w:color="auto"/>
        <w:bottom w:val="none" w:sz="0" w:space="0" w:color="auto"/>
        <w:right w:val="none" w:sz="0" w:space="0" w:color="auto"/>
      </w:divBdr>
      <w:divsChild>
        <w:div w:id="34478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358216">
      <w:bodyDiv w:val="1"/>
      <w:marLeft w:val="0"/>
      <w:marRight w:val="0"/>
      <w:marTop w:val="0"/>
      <w:marBottom w:val="0"/>
      <w:divBdr>
        <w:top w:val="none" w:sz="0" w:space="0" w:color="auto"/>
        <w:left w:val="none" w:sz="0" w:space="0" w:color="auto"/>
        <w:bottom w:val="none" w:sz="0" w:space="0" w:color="auto"/>
        <w:right w:val="none" w:sz="0" w:space="0" w:color="auto"/>
      </w:divBdr>
    </w:div>
    <w:div w:id="19265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27EB8-20E8-4A32-A4ED-00507C0DEC52}">
  <ds:schemaRefs>
    <ds:schemaRef ds:uri="http://schemas.microsoft.com/sharepoint/v3/contenttype/forms"/>
  </ds:schemaRefs>
</ds:datastoreItem>
</file>

<file path=customXml/itemProps2.xml><?xml version="1.0" encoding="utf-8"?>
<ds:datastoreItem xmlns:ds="http://schemas.openxmlformats.org/officeDocument/2006/customXml" ds:itemID="{6634C592-15D4-46F0-8BE1-8077DDC3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TRANS_WP29_2009_E</Template>
  <TotalTime>55</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5691</CharactersWithSpaces>
  <SharedDoc>false</SharedDoc>
  <HLinks>
    <vt:vector size="36" baseType="variant">
      <vt:variant>
        <vt:i4>5767187</vt:i4>
      </vt:variant>
      <vt:variant>
        <vt:i4>15</vt:i4>
      </vt:variant>
      <vt:variant>
        <vt:i4>0</vt:i4>
      </vt:variant>
      <vt:variant>
        <vt:i4>5</vt:i4>
      </vt:variant>
      <vt:variant>
        <vt:lpwstr>http://dd.dgacm.org/editorialmanual/</vt:lpwstr>
      </vt:variant>
      <vt:variant>
        <vt:lpwstr/>
      </vt:variant>
      <vt:variant>
        <vt:i4>5308438</vt:i4>
      </vt:variant>
      <vt:variant>
        <vt:i4>12</vt:i4>
      </vt:variant>
      <vt:variant>
        <vt:i4>0</vt:i4>
      </vt:variant>
      <vt:variant>
        <vt:i4>5</vt:i4>
      </vt:variant>
      <vt:variant>
        <vt:lpwstr>http://www.unece.org/trans/main/welcwp29.htm</vt:lpwstr>
      </vt:variant>
      <vt:variant>
        <vt:lpwstr/>
      </vt:variant>
      <vt:variant>
        <vt:i4>6750290</vt:i4>
      </vt:variant>
      <vt:variant>
        <vt:i4>9</vt:i4>
      </vt:variant>
      <vt:variant>
        <vt:i4>0</vt:i4>
      </vt:variant>
      <vt:variant>
        <vt:i4>5</vt:i4>
      </vt:variant>
      <vt:variant>
        <vt:lpwstr>mailto:grsp@unece.org</vt:lpwstr>
      </vt:variant>
      <vt:variant>
        <vt:lpwstr/>
      </vt:variant>
      <vt:variant>
        <vt:i4>6684740</vt:i4>
      </vt:variant>
      <vt:variant>
        <vt:i4>6</vt:i4>
      </vt:variant>
      <vt:variant>
        <vt:i4>0</vt:i4>
      </vt:variant>
      <vt:variant>
        <vt:i4>5</vt:i4>
      </vt:variant>
      <vt:variant>
        <vt:lpwstr>mailto:grrf@unece.org</vt:lpwstr>
      </vt:variant>
      <vt:variant>
        <vt:lpwstr/>
      </vt:variant>
      <vt:variant>
        <vt:i4>1703977</vt:i4>
      </vt:variant>
      <vt:variant>
        <vt:i4>3</vt:i4>
      </vt:variant>
      <vt:variant>
        <vt:i4>0</vt:i4>
      </vt:variant>
      <vt:variant>
        <vt:i4>5</vt:i4>
      </vt:variant>
      <vt:variant>
        <vt:lpwstr>mailto:grb@unece.org</vt:lpwstr>
      </vt:variant>
      <vt:variant>
        <vt:lpwstr/>
      </vt:variant>
      <vt:variant>
        <vt:i4>5767187</vt:i4>
      </vt:variant>
      <vt:variant>
        <vt:i4>0</vt:i4>
      </vt:variant>
      <vt:variant>
        <vt:i4>0</vt:i4>
      </vt:variant>
      <vt:variant>
        <vt:i4>5</vt:i4>
      </vt:variant>
      <vt:variant>
        <vt:lpwstr>http://dd.dgacm.org/editorialmanual/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Schramm</dc:creator>
  <cp:keywords/>
  <dc:description/>
  <cp:lastModifiedBy>Douglas Hannah</cp:lastModifiedBy>
  <cp:revision>3</cp:revision>
  <cp:lastPrinted>2025-09-19T11:18:00Z</cp:lastPrinted>
  <dcterms:created xsi:type="dcterms:W3CDTF">2025-10-01T07:03:00Z</dcterms:created>
  <dcterms:modified xsi:type="dcterms:W3CDTF">2025-10-01T08:32:00Z</dcterms:modified>
</cp:coreProperties>
</file>