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4FF673FF" w14:textId="77777777" w:rsidTr="00B20551">
        <w:trPr>
          <w:cantSplit/>
          <w:trHeight w:hRule="exact" w:val="851"/>
        </w:trPr>
        <w:tc>
          <w:tcPr>
            <w:tcW w:w="1276" w:type="dxa"/>
            <w:tcBorders>
              <w:bottom w:val="single" w:sz="4" w:space="0" w:color="auto"/>
            </w:tcBorders>
            <w:vAlign w:val="bottom"/>
          </w:tcPr>
          <w:p w14:paraId="112E78B2" w14:textId="77777777" w:rsidR="009E6CB7" w:rsidRDefault="009E6CB7" w:rsidP="00B20551">
            <w:pPr>
              <w:spacing w:after="80"/>
            </w:pPr>
          </w:p>
        </w:tc>
        <w:tc>
          <w:tcPr>
            <w:tcW w:w="2268" w:type="dxa"/>
            <w:tcBorders>
              <w:bottom w:val="single" w:sz="4" w:space="0" w:color="auto"/>
            </w:tcBorders>
            <w:vAlign w:val="bottom"/>
          </w:tcPr>
          <w:p w14:paraId="3ED8F212"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3CB793A" w14:textId="77777777" w:rsidR="009E6CB7" w:rsidRPr="00D47EEA" w:rsidRDefault="00510FF8" w:rsidP="00510FF8">
            <w:pPr>
              <w:jc w:val="right"/>
            </w:pPr>
            <w:r w:rsidRPr="00510FF8">
              <w:rPr>
                <w:sz w:val="40"/>
              </w:rPr>
              <w:t>ECE</w:t>
            </w:r>
            <w:r>
              <w:t>/TRANS/WP.29/2019/103</w:t>
            </w:r>
          </w:p>
        </w:tc>
      </w:tr>
      <w:tr w:rsidR="009E6CB7" w14:paraId="21652BBF" w14:textId="77777777" w:rsidTr="00B20551">
        <w:trPr>
          <w:cantSplit/>
          <w:trHeight w:hRule="exact" w:val="2835"/>
        </w:trPr>
        <w:tc>
          <w:tcPr>
            <w:tcW w:w="1276" w:type="dxa"/>
            <w:tcBorders>
              <w:top w:val="single" w:sz="4" w:space="0" w:color="auto"/>
              <w:bottom w:val="single" w:sz="12" w:space="0" w:color="auto"/>
            </w:tcBorders>
          </w:tcPr>
          <w:p w14:paraId="3CCCD3E1" w14:textId="77777777" w:rsidR="009E6CB7" w:rsidRDefault="00686A48" w:rsidP="00B20551">
            <w:pPr>
              <w:spacing w:before="120"/>
            </w:pPr>
            <w:r>
              <w:rPr>
                <w:noProof/>
                <w:lang w:val="fr-CH" w:eastAsia="fr-CH"/>
              </w:rPr>
              <w:drawing>
                <wp:inline distT="0" distB="0" distL="0" distR="0" wp14:anchorId="7341FF80" wp14:editId="45F3CA3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8E93B34"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4690F2E9" w14:textId="77777777" w:rsidR="009E6CB7" w:rsidRDefault="00510FF8" w:rsidP="00510FF8">
            <w:pPr>
              <w:spacing w:before="240" w:line="240" w:lineRule="exact"/>
            </w:pPr>
            <w:r>
              <w:t>Distr.: General</w:t>
            </w:r>
          </w:p>
          <w:p w14:paraId="41C3B740" w14:textId="77777777" w:rsidR="00510FF8" w:rsidRDefault="00825443" w:rsidP="00510FF8">
            <w:pPr>
              <w:spacing w:line="240" w:lineRule="exact"/>
            </w:pPr>
            <w:r>
              <w:t>28</w:t>
            </w:r>
            <w:r w:rsidR="00510FF8">
              <w:t xml:space="preserve"> August 2019</w:t>
            </w:r>
          </w:p>
          <w:p w14:paraId="0C59ED97" w14:textId="77777777" w:rsidR="00510FF8" w:rsidRDefault="00510FF8" w:rsidP="00510FF8">
            <w:pPr>
              <w:spacing w:line="240" w:lineRule="exact"/>
            </w:pPr>
          </w:p>
          <w:p w14:paraId="70FC7D70" w14:textId="77777777" w:rsidR="00510FF8" w:rsidRDefault="00510FF8" w:rsidP="00510FF8">
            <w:pPr>
              <w:spacing w:line="240" w:lineRule="exact"/>
            </w:pPr>
            <w:r>
              <w:t>Original: English</w:t>
            </w:r>
          </w:p>
        </w:tc>
      </w:tr>
    </w:tbl>
    <w:p w14:paraId="414C142E" w14:textId="77777777" w:rsidR="00510FF8" w:rsidRPr="007C7AC6" w:rsidRDefault="00510FF8" w:rsidP="00510FF8">
      <w:pPr>
        <w:spacing w:before="120"/>
        <w:rPr>
          <w:b/>
          <w:sz w:val="28"/>
          <w:szCs w:val="28"/>
        </w:rPr>
      </w:pPr>
      <w:r w:rsidRPr="007C7AC6">
        <w:rPr>
          <w:b/>
          <w:sz w:val="28"/>
          <w:szCs w:val="28"/>
        </w:rPr>
        <w:t>Economic Commission for Europe</w:t>
      </w:r>
    </w:p>
    <w:p w14:paraId="1EAF01BA" w14:textId="77777777" w:rsidR="00510FF8" w:rsidRPr="007C7AC6" w:rsidRDefault="00510FF8" w:rsidP="00510FF8">
      <w:pPr>
        <w:spacing w:before="120"/>
        <w:rPr>
          <w:sz w:val="28"/>
          <w:szCs w:val="28"/>
        </w:rPr>
      </w:pPr>
      <w:r w:rsidRPr="007C7AC6">
        <w:rPr>
          <w:sz w:val="28"/>
          <w:szCs w:val="28"/>
        </w:rPr>
        <w:t>Inland Transport Committee</w:t>
      </w:r>
    </w:p>
    <w:p w14:paraId="3AE20E51" w14:textId="77777777" w:rsidR="00510FF8" w:rsidRPr="007C7AC6" w:rsidRDefault="00510FF8" w:rsidP="00510FF8">
      <w:pPr>
        <w:spacing w:before="120"/>
        <w:rPr>
          <w:b/>
          <w:sz w:val="24"/>
          <w:szCs w:val="24"/>
        </w:rPr>
      </w:pPr>
      <w:r w:rsidRPr="007C7AC6">
        <w:rPr>
          <w:b/>
          <w:sz w:val="24"/>
          <w:szCs w:val="24"/>
        </w:rPr>
        <w:t>World Forum for Harmonization of Vehicle Regulations</w:t>
      </w:r>
    </w:p>
    <w:p w14:paraId="0D4C19C9" w14:textId="77777777" w:rsidR="00510FF8" w:rsidRDefault="00510FF8" w:rsidP="00510FF8">
      <w:pPr>
        <w:tabs>
          <w:tab w:val="center" w:pos="4819"/>
        </w:tabs>
        <w:spacing w:before="120"/>
        <w:rPr>
          <w:b/>
          <w:lang w:val="en-US"/>
        </w:rPr>
      </w:pPr>
      <w:r>
        <w:rPr>
          <w:b/>
          <w:lang w:val="en-US"/>
        </w:rPr>
        <w:t>179th session</w:t>
      </w:r>
    </w:p>
    <w:p w14:paraId="3B85FE20" w14:textId="77777777" w:rsidR="00510FF8" w:rsidRDefault="00510FF8" w:rsidP="00510FF8">
      <w:pPr>
        <w:rPr>
          <w:lang w:val="en-US"/>
        </w:rPr>
      </w:pPr>
      <w:r>
        <w:rPr>
          <w:lang w:val="en-US"/>
        </w:rPr>
        <w:t>Geneva, 12-1</w:t>
      </w:r>
      <w:r w:rsidR="00825443">
        <w:rPr>
          <w:lang w:val="en-US"/>
        </w:rPr>
        <w:t>4</w:t>
      </w:r>
      <w:r>
        <w:rPr>
          <w:lang w:val="en-US"/>
        </w:rPr>
        <w:t xml:space="preserve"> November 2019</w:t>
      </w:r>
    </w:p>
    <w:p w14:paraId="1E72DDC1" w14:textId="77777777" w:rsidR="00510FF8" w:rsidRDefault="00510FF8" w:rsidP="00510FF8">
      <w:r>
        <w:t>Item 4.8.1 of the provisional agenda</w:t>
      </w:r>
    </w:p>
    <w:p w14:paraId="37B1FD92" w14:textId="77777777" w:rsidR="00510FF8" w:rsidRPr="00D059B0" w:rsidRDefault="00510FF8" w:rsidP="00510FF8">
      <w:pPr>
        <w:rPr>
          <w:b/>
        </w:rPr>
      </w:pPr>
      <w:r>
        <w:rPr>
          <w:b/>
        </w:rPr>
        <w:t>1958 Agreement:</w:t>
      </w:r>
      <w:r>
        <w:rPr>
          <w:b/>
        </w:rPr>
        <w:br/>
      </w:r>
      <w:r w:rsidR="00825443">
        <w:rPr>
          <w:b/>
        </w:rPr>
        <w:t>c</w:t>
      </w:r>
      <w:r w:rsidRPr="008405E4">
        <w:rPr>
          <w:b/>
        </w:rPr>
        <w:t>onsideration of</w:t>
      </w:r>
      <w:r>
        <w:rPr>
          <w:b/>
        </w:rPr>
        <w:t xml:space="preserve"> draft amendments to existing </w:t>
      </w:r>
      <w:bookmarkStart w:id="0" w:name="_GoBack"/>
      <w:bookmarkEnd w:id="0"/>
      <w:r>
        <w:rPr>
          <w:b/>
        </w:rPr>
        <w:br/>
      </w:r>
      <w:r w:rsidRPr="008405E4">
        <w:rPr>
          <w:b/>
        </w:rPr>
        <w:t>UN Regulations submitted</w:t>
      </w:r>
      <w:r>
        <w:rPr>
          <w:b/>
        </w:rPr>
        <w:t xml:space="preserve"> </w:t>
      </w:r>
      <w:r w:rsidRPr="008405E4">
        <w:rPr>
          <w:b/>
        </w:rPr>
        <w:t>by</w:t>
      </w:r>
      <w:r>
        <w:rPr>
          <w:b/>
        </w:rPr>
        <w:t xml:space="preserve"> GRSP</w:t>
      </w:r>
      <w:r w:rsidRPr="008405E4">
        <w:rPr>
          <w:b/>
        </w:rPr>
        <w:t xml:space="preserve"> </w:t>
      </w:r>
    </w:p>
    <w:p w14:paraId="42599651" w14:textId="77777777" w:rsidR="00510FF8" w:rsidRPr="007C7AC6" w:rsidRDefault="00510FF8" w:rsidP="00510FF8">
      <w:pPr>
        <w:pStyle w:val="HChG"/>
        <w:jc w:val="both"/>
      </w:pPr>
      <w:r w:rsidRPr="007C7AC6">
        <w:tab/>
      </w:r>
      <w:r w:rsidRPr="007C7AC6">
        <w:tab/>
      </w:r>
      <w:r w:rsidRPr="007C7AC6">
        <w:rPr>
          <w:bCs/>
          <w:szCs w:val="28"/>
        </w:rPr>
        <w:t>Pr</w:t>
      </w:r>
      <w:r w:rsidRPr="007C7AC6">
        <w:rPr>
          <w:bCs/>
          <w:spacing w:val="1"/>
          <w:szCs w:val="28"/>
        </w:rPr>
        <w:t>o</w:t>
      </w:r>
      <w:r w:rsidRPr="007C7AC6">
        <w:rPr>
          <w:bCs/>
          <w:szCs w:val="28"/>
        </w:rPr>
        <w:t>pos</w:t>
      </w:r>
      <w:r w:rsidRPr="007C7AC6">
        <w:rPr>
          <w:bCs/>
          <w:spacing w:val="1"/>
          <w:szCs w:val="28"/>
        </w:rPr>
        <w:t>a</w:t>
      </w:r>
      <w:r w:rsidRPr="007C7AC6">
        <w:rPr>
          <w:bCs/>
          <w:szCs w:val="28"/>
        </w:rPr>
        <w:t>l</w:t>
      </w:r>
      <w:r w:rsidRPr="007C7AC6">
        <w:rPr>
          <w:bCs/>
          <w:spacing w:val="1"/>
          <w:szCs w:val="28"/>
        </w:rPr>
        <w:t xml:space="preserve"> </w:t>
      </w:r>
      <w:r w:rsidRPr="007C7AC6">
        <w:rPr>
          <w:bCs/>
          <w:szCs w:val="28"/>
        </w:rPr>
        <w:t>for the 0</w:t>
      </w:r>
      <w:r>
        <w:rPr>
          <w:bCs/>
          <w:szCs w:val="28"/>
        </w:rPr>
        <w:t>4</w:t>
      </w:r>
      <w:r w:rsidRPr="007C7AC6">
        <w:rPr>
          <w:bCs/>
          <w:szCs w:val="28"/>
        </w:rPr>
        <w:t xml:space="preserve"> series of amendments </w:t>
      </w:r>
      <w:r>
        <w:rPr>
          <w:bCs/>
          <w:szCs w:val="28"/>
        </w:rPr>
        <w:t>to UN</w:t>
      </w:r>
      <w:r w:rsidRPr="007C7AC6">
        <w:rPr>
          <w:bCs/>
          <w:spacing w:val="1"/>
          <w:szCs w:val="28"/>
        </w:rPr>
        <w:t xml:space="preserve"> </w:t>
      </w:r>
      <w:r w:rsidRPr="007C7AC6">
        <w:rPr>
          <w:bCs/>
          <w:szCs w:val="28"/>
        </w:rPr>
        <w:t>Re</w:t>
      </w:r>
      <w:r w:rsidRPr="007C7AC6">
        <w:rPr>
          <w:bCs/>
          <w:spacing w:val="1"/>
          <w:szCs w:val="28"/>
        </w:rPr>
        <w:t>g</w:t>
      </w:r>
      <w:r w:rsidRPr="007C7AC6">
        <w:rPr>
          <w:bCs/>
          <w:szCs w:val="28"/>
        </w:rPr>
        <w:t>u</w:t>
      </w:r>
      <w:r w:rsidRPr="007C7AC6">
        <w:rPr>
          <w:bCs/>
          <w:spacing w:val="1"/>
          <w:szCs w:val="28"/>
        </w:rPr>
        <w:t>la</w:t>
      </w:r>
      <w:r w:rsidRPr="007C7AC6">
        <w:rPr>
          <w:bCs/>
          <w:szCs w:val="28"/>
        </w:rPr>
        <w:t>ti</w:t>
      </w:r>
      <w:r w:rsidRPr="007C7AC6">
        <w:rPr>
          <w:bCs/>
          <w:spacing w:val="1"/>
          <w:szCs w:val="28"/>
        </w:rPr>
        <w:t>o</w:t>
      </w:r>
      <w:r w:rsidRPr="007C7AC6">
        <w:rPr>
          <w:bCs/>
          <w:szCs w:val="28"/>
        </w:rPr>
        <w:t>n N</w:t>
      </w:r>
      <w:r w:rsidRPr="007C7AC6">
        <w:rPr>
          <w:bCs/>
          <w:spacing w:val="1"/>
          <w:szCs w:val="28"/>
        </w:rPr>
        <w:t>o</w:t>
      </w:r>
      <w:r w:rsidRPr="007C7AC6">
        <w:rPr>
          <w:bCs/>
          <w:szCs w:val="28"/>
        </w:rPr>
        <w:t>.</w:t>
      </w:r>
      <w:r>
        <w:rPr>
          <w:bCs/>
          <w:spacing w:val="1"/>
          <w:szCs w:val="28"/>
        </w:rPr>
        <w:t xml:space="preserve"> 80</w:t>
      </w:r>
      <w:r w:rsidRPr="007C7AC6">
        <w:rPr>
          <w:bCs/>
          <w:spacing w:val="1"/>
          <w:szCs w:val="28"/>
        </w:rPr>
        <w:t xml:space="preserve"> </w:t>
      </w:r>
      <w:r w:rsidRPr="007C7AC6">
        <w:rPr>
          <w:bCs/>
          <w:szCs w:val="28"/>
        </w:rPr>
        <w:t>(</w:t>
      </w:r>
      <w:r>
        <w:t>Strength of seats and their anchorages</w:t>
      </w:r>
      <w:r w:rsidRPr="00584367">
        <w:t xml:space="preserve"> (</w:t>
      </w:r>
      <w:r>
        <w:t>buses</w:t>
      </w:r>
      <w:r w:rsidRPr="00584367">
        <w:t>)</w:t>
      </w:r>
      <w:r w:rsidRPr="007C7AC6">
        <w:rPr>
          <w:bCs/>
          <w:szCs w:val="28"/>
        </w:rPr>
        <w:t>)</w:t>
      </w:r>
    </w:p>
    <w:p w14:paraId="01E877D2" w14:textId="77777777" w:rsidR="00510FF8" w:rsidRPr="007C7AC6" w:rsidRDefault="00510FF8" w:rsidP="00510FF8">
      <w:pPr>
        <w:pStyle w:val="H1G"/>
      </w:pPr>
      <w:r w:rsidRPr="007C7AC6">
        <w:tab/>
      </w:r>
      <w:r w:rsidRPr="007C7AC6">
        <w:tab/>
        <w:t>Submitted by the expert</w:t>
      </w:r>
      <w:r>
        <w:t>s</w:t>
      </w:r>
      <w:r w:rsidRPr="007C7AC6">
        <w:t xml:space="preserve"> from </w:t>
      </w:r>
      <w:r>
        <w:t>the Working Party on Passive Safety</w:t>
      </w:r>
      <w:r w:rsidRPr="007B7E90">
        <w:rPr>
          <w:rStyle w:val="FootnoteReference"/>
          <w:b w:val="0"/>
          <w:sz w:val="20"/>
          <w:lang w:val="en-US"/>
        </w:rPr>
        <w:footnoteReference w:customMarkFollows="1" w:id="2"/>
        <w:t>*</w:t>
      </w:r>
    </w:p>
    <w:p w14:paraId="4E497753" w14:textId="77777777" w:rsidR="00510FF8" w:rsidRPr="007C7AC6" w:rsidRDefault="00510FF8" w:rsidP="00510FF8">
      <w:pPr>
        <w:spacing w:line="250" w:lineRule="auto"/>
        <w:ind w:left="1246" w:right="1192" w:firstLine="569"/>
        <w:jc w:val="both"/>
      </w:pPr>
      <w:r w:rsidRPr="008405E4">
        <w:rPr>
          <w:lang w:val="en-US"/>
        </w:rPr>
        <w:t xml:space="preserve">The text reproduced below was adopted by the </w:t>
      </w:r>
      <w:r>
        <w:t>Working Party on Passive Safety</w:t>
      </w:r>
      <w:r>
        <w:rPr>
          <w:lang w:val="en-US"/>
        </w:rPr>
        <w:t xml:space="preserve"> </w:t>
      </w:r>
      <w:r w:rsidRPr="008405E4">
        <w:rPr>
          <w:lang w:val="en-US"/>
        </w:rPr>
        <w:t>(GR</w:t>
      </w:r>
      <w:r>
        <w:rPr>
          <w:lang w:val="en-US"/>
        </w:rPr>
        <w:t>SP</w:t>
      </w:r>
      <w:r w:rsidRPr="008405E4">
        <w:rPr>
          <w:lang w:val="en-US"/>
        </w:rPr>
        <w:t xml:space="preserve">) at its </w:t>
      </w:r>
      <w:r>
        <w:rPr>
          <w:lang w:val="en-US"/>
        </w:rPr>
        <w:t xml:space="preserve">sixty-fifth </w:t>
      </w:r>
      <w:r w:rsidRPr="008405E4">
        <w:rPr>
          <w:lang w:val="en-US"/>
        </w:rPr>
        <w:t xml:space="preserve">session </w:t>
      </w:r>
      <w:r w:rsidRPr="00EE7C07">
        <w:rPr>
          <w:lang w:val="en-US"/>
        </w:rPr>
        <w:t>(ECE/TRANS/WP.29/GR</w:t>
      </w:r>
      <w:r>
        <w:rPr>
          <w:lang w:val="en-US"/>
        </w:rPr>
        <w:t>SP</w:t>
      </w:r>
      <w:r w:rsidRPr="00EE7C07">
        <w:rPr>
          <w:lang w:val="en-US"/>
        </w:rPr>
        <w:t>/</w:t>
      </w:r>
      <w:r>
        <w:rPr>
          <w:lang w:val="en-US"/>
        </w:rPr>
        <w:t>65</w:t>
      </w:r>
      <w:r w:rsidRPr="00EE7C07">
        <w:rPr>
          <w:lang w:val="en-US"/>
        </w:rPr>
        <w:t xml:space="preserve">, para. </w:t>
      </w:r>
      <w:r>
        <w:rPr>
          <w:lang w:val="en-US"/>
        </w:rPr>
        <w:t xml:space="preserve">26). It is </w:t>
      </w:r>
      <w:r w:rsidRPr="00EE7C07">
        <w:rPr>
          <w:lang w:val="en-US"/>
        </w:rPr>
        <w:t>based on</w:t>
      </w:r>
      <w:r>
        <w:rPr>
          <w:lang w:val="en-US"/>
        </w:rPr>
        <w:t xml:space="preserve"> GRSP-65-29-Rev.1, as reproduced in Annex IV of the report. </w:t>
      </w:r>
      <w:r w:rsidRPr="008405E4">
        <w:rPr>
          <w:lang w:val="en-US"/>
        </w:rPr>
        <w:t xml:space="preserve">It is submitted to the World Forum for Harmonization of Vehicle Regulations (WP.29) and to the Administrative Committee </w:t>
      </w:r>
      <w:r>
        <w:rPr>
          <w:lang w:val="en-US"/>
        </w:rPr>
        <w:t>(</w:t>
      </w:r>
      <w:r w:rsidRPr="008405E4">
        <w:rPr>
          <w:lang w:val="en-US"/>
        </w:rPr>
        <w:t>AC.1</w:t>
      </w:r>
      <w:r>
        <w:rPr>
          <w:lang w:val="en-US"/>
        </w:rPr>
        <w:t>)</w:t>
      </w:r>
      <w:r w:rsidRPr="008405E4">
        <w:rPr>
          <w:lang w:val="en-US"/>
        </w:rPr>
        <w:t xml:space="preserve"> for consideration at their </w:t>
      </w:r>
      <w:r>
        <w:rPr>
          <w:lang w:val="en-US"/>
        </w:rPr>
        <w:t xml:space="preserve">November </w:t>
      </w:r>
      <w:r w:rsidRPr="008405E4">
        <w:rPr>
          <w:lang w:val="en-US"/>
        </w:rPr>
        <w:t>201</w:t>
      </w:r>
      <w:r>
        <w:rPr>
          <w:lang w:val="en-US"/>
        </w:rPr>
        <w:t>9</w:t>
      </w:r>
      <w:r w:rsidRPr="008405E4">
        <w:rPr>
          <w:lang w:val="en-US"/>
        </w:rPr>
        <w:t xml:space="preserve"> sessions.</w:t>
      </w:r>
    </w:p>
    <w:p w14:paraId="7373824B" w14:textId="77777777" w:rsidR="00510FF8" w:rsidRDefault="00510FF8" w:rsidP="00510FF8">
      <w:pPr>
        <w:pStyle w:val="HChG"/>
      </w:pPr>
      <w:r w:rsidRPr="007C7AC6">
        <w:br w:type="page"/>
      </w:r>
    </w:p>
    <w:p w14:paraId="315A719B" w14:textId="77777777" w:rsidR="00510FF8" w:rsidRDefault="00510FF8" w:rsidP="00510FF8">
      <w:pPr>
        <w:pStyle w:val="HChG"/>
        <w:rPr>
          <w:bCs/>
          <w:szCs w:val="28"/>
        </w:rPr>
      </w:pPr>
      <w:r>
        <w:rPr>
          <w:b w:val="0"/>
          <w:bCs/>
        </w:rPr>
        <w:lastRenderedPageBreak/>
        <w:tab/>
      </w:r>
      <w:r>
        <w:rPr>
          <w:b w:val="0"/>
          <w:bCs/>
        </w:rPr>
        <w:tab/>
      </w:r>
      <w:r w:rsidRPr="007C7AC6">
        <w:rPr>
          <w:bCs/>
          <w:szCs w:val="28"/>
        </w:rPr>
        <w:t>0</w:t>
      </w:r>
      <w:r>
        <w:rPr>
          <w:bCs/>
          <w:szCs w:val="28"/>
        </w:rPr>
        <w:t>4</w:t>
      </w:r>
      <w:r w:rsidRPr="007C7AC6">
        <w:rPr>
          <w:bCs/>
          <w:szCs w:val="28"/>
        </w:rPr>
        <w:t xml:space="preserve"> series of amendments </w:t>
      </w:r>
      <w:r>
        <w:rPr>
          <w:bCs/>
          <w:szCs w:val="28"/>
        </w:rPr>
        <w:t>to</w:t>
      </w:r>
      <w:r w:rsidRPr="007C7AC6">
        <w:rPr>
          <w:bCs/>
          <w:spacing w:val="1"/>
          <w:szCs w:val="28"/>
        </w:rPr>
        <w:t xml:space="preserve"> </w:t>
      </w:r>
      <w:r>
        <w:rPr>
          <w:bCs/>
          <w:spacing w:val="1"/>
          <w:szCs w:val="28"/>
        </w:rPr>
        <w:t xml:space="preserve">UN </w:t>
      </w:r>
      <w:r w:rsidRPr="007C7AC6">
        <w:rPr>
          <w:bCs/>
          <w:szCs w:val="28"/>
        </w:rPr>
        <w:t>Re</w:t>
      </w:r>
      <w:r w:rsidRPr="007C7AC6">
        <w:rPr>
          <w:bCs/>
          <w:spacing w:val="1"/>
          <w:szCs w:val="28"/>
        </w:rPr>
        <w:t>g</w:t>
      </w:r>
      <w:r w:rsidRPr="007C7AC6">
        <w:rPr>
          <w:bCs/>
          <w:szCs w:val="28"/>
        </w:rPr>
        <w:t>u</w:t>
      </w:r>
      <w:r w:rsidRPr="007C7AC6">
        <w:rPr>
          <w:bCs/>
          <w:spacing w:val="1"/>
          <w:szCs w:val="28"/>
        </w:rPr>
        <w:t>la</w:t>
      </w:r>
      <w:r w:rsidRPr="007C7AC6">
        <w:rPr>
          <w:bCs/>
          <w:szCs w:val="28"/>
        </w:rPr>
        <w:t>ti</w:t>
      </w:r>
      <w:r w:rsidRPr="007C7AC6">
        <w:rPr>
          <w:bCs/>
          <w:spacing w:val="1"/>
          <w:szCs w:val="28"/>
        </w:rPr>
        <w:t>o</w:t>
      </w:r>
      <w:r w:rsidRPr="007C7AC6">
        <w:rPr>
          <w:bCs/>
          <w:szCs w:val="28"/>
        </w:rPr>
        <w:t>n N</w:t>
      </w:r>
      <w:r w:rsidRPr="007C7AC6">
        <w:rPr>
          <w:bCs/>
          <w:spacing w:val="1"/>
          <w:szCs w:val="28"/>
        </w:rPr>
        <w:t>o</w:t>
      </w:r>
      <w:r w:rsidRPr="007C7AC6">
        <w:rPr>
          <w:bCs/>
          <w:szCs w:val="28"/>
        </w:rPr>
        <w:t>.</w:t>
      </w:r>
      <w:r>
        <w:rPr>
          <w:bCs/>
          <w:spacing w:val="1"/>
          <w:szCs w:val="28"/>
        </w:rPr>
        <w:t> 80</w:t>
      </w:r>
      <w:r w:rsidRPr="007C7AC6">
        <w:rPr>
          <w:bCs/>
          <w:spacing w:val="1"/>
          <w:szCs w:val="28"/>
        </w:rPr>
        <w:t xml:space="preserve"> </w:t>
      </w:r>
      <w:r w:rsidRPr="007C7AC6">
        <w:rPr>
          <w:bCs/>
          <w:szCs w:val="28"/>
        </w:rPr>
        <w:t>(</w:t>
      </w:r>
      <w:r>
        <w:t>Strength of seats and their anchorages</w:t>
      </w:r>
      <w:r w:rsidRPr="00584367">
        <w:t xml:space="preserve"> (</w:t>
      </w:r>
      <w:r>
        <w:t>buses</w:t>
      </w:r>
      <w:r w:rsidRPr="00584367">
        <w:t>)</w:t>
      </w:r>
      <w:r w:rsidRPr="007C7AC6">
        <w:rPr>
          <w:bCs/>
          <w:szCs w:val="28"/>
        </w:rPr>
        <w:t>)</w:t>
      </w:r>
    </w:p>
    <w:p w14:paraId="75C5129C" w14:textId="77777777" w:rsidR="00510FF8" w:rsidRPr="001F42F8" w:rsidRDefault="00510FF8" w:rsidP="00510FF8">
      <w:pPr>
        <w:spacing w:before="120" w:after="120"/>
        <w:ind w:left="2268" w:right="1134" w:hanging="1134"/>
        <w:jc w:val="both"/>
      </w:pPr>
      <w:r w:rsidRPr="001F42F8">
        <w:rPr>
          <w:i/>
        </w:rPr>
        <w:t>Paragraph 4.3.,</w:t>
      </w:r>
      <w:r w:rsidRPr="001F42F8">
        <w:rPr>
          <w:iCs/>
        </w:rPr>
        <w:t xml:space="preserve"> amend to read</w:t>
      </w:r>
      <w:r w:rsidRPr="001F42F8">
        <w:t>:</w:t>
      </w:r>
    </w:p>
    <w:p w14:paraId="2467D991" w14:textId="77777777" w:rsidR="00510FF8" w:rsidRPr="001F42F8" w:rsidRDefault="00510FF8" w:rsidP="00510FF8">
      <w:pPr>
        <w:pStyle w:val="SingleTxtG"/>
        <w:ind w:left="2268" w:hanging="1134"/>
      </w:pPr>
      <w:r w:rsidRPr="001F42F8">
        <w:rPr>
          <w:rFonts w:eastAsia="Arial"/>
          <w:spacing w:val="9"/>
        </w:rPr>
        <w:t>"4</w:t>
      </w:r>
      <w:r w:rsidRPr="001F42F8">
        <w:rPr>
          <w:rFonts w:eastAsia="Arial"/>
        </w:rPr>
        <w:t>.</w:t>
      </w:r>
      <w:r w:rsidRPr="001F42F8">
        <w:rPr>
          <w:rFonts w:eastAsia="Arial"/>
          <w:spacing w:val="9"/>
        </w:rPr>
        <w:t>3</w:t>
      </w:r>
      <w:r w:rsidRPr="001F42F8">
        <w:rPr>
          <w:rFonts w:eastAsia="Arial"/>
        </w:rPr>
        <w:t>.</w:t>
      </w:r>
      <w:r w:rsidRPr="001F42F8">
        <w:rPr>
          <w:rFonts w:eastAsia="Arial"/>
        </w:rPr>
        <w:tab/>
      </w:r>
      <w:r w:rsidRPr="001F42F8">
        <w:t>An approval number shall be assigned to each type approved. Its first two digits (at present 04, corresponding to the 04 series of amendments) ..."</w:t>
      </w:r>
    </w:p>
    <w:p w14:paraId="3F1262EC" w14:textId="77777777" w:rsidR="00510FF8" w:rsidRPr="001F42F8" w:rsidRDefault="00510FF8" w:rsidP="00510FF8">
      <w:pPr>
        <w:spacing w:after="120"/>
        <w:ind w:left="2268" w:right="1134" w:hanging="1134"/>
        <w:jc w:val="both"/>
      </w:pPr>
      <w:r w:rsidRPr="001F42F8">
        <w:rPr>
          <w:i/>
        </w:rPr>
        <w:t>Insert new paragraph 5.5.,</w:t>
      </w:r>
      <w:r w:rsidRPr="001F42F8">
        <w:rPr>
          <w:iCs/>
        </w:rPr>
        <w:t xml:space="preserve"> amend to read</w:t>
      </w:r>
      <w:r w:rsidRPr="001F42F8">
        <w:t>:</w:t>
      </w:r>
    </w:p>
    <w:p w14:paraId="3F69CA02" w14:textId="77777777" w:rsidR="00510FF8" w:rsidRPr="001F42F8" w:rsidRDefault="00510FF8" w:rsidP="00510FF8">
      <w:pPr>
        <w:pStyle w:val="SingleTxtG"/>
        <w:ind w:left="2268" w:hanging="1134"/>
      </w:pPr>
      <w:r w:rsidRPr="001F42F8">
        <w:t>"5.5</w:t>
      </w:r>
      <w:r w:rsidRPr="001F42F8">
        <w:tab/>
        <w:t>Static test in Appendix 5 is not permitted if the seat is attached to the vehicle structure by means of any clamping without mechanical fixation. Mechanical fixation means a positive locking of the seat that prevents the seat from moving in the driving direction.</w:t>
      </w:r>
      <w:r w:rsidR="00313ED5">
        <w:t>"</w:t>
      </w:r>
    </w:p>
    <w:p w14:paraId="58777323" w14:textId="77777777" w:rsidR="00510FF8" w:rsidRPr="001F42F8" w:rsidRDefault="00510FF8" w:rsidP="00510FF8">
      <w:pPr>
        <w:pStyle w:val="SingleTxtG"/>
        <w:ind w:left="2268" w:hanging="1134"/>
        <w:rPr>
          <w:rFonts w:eastAsia="Arial"/>
          <w:iCs/>
        </w:rPr>
      </w:pPr>
      <w:r w:rsidRPr="001F42F8">
        <w:rPr>
          <w:rFonts w:eastAsia="Arial"/>
          <w:i/>
        </w:rPr>
        <w:t xml:space="preserve">Paragraph 5.5. (former), </w:t>
      </w:r>
      <w:r w:rsidRPr="001F42F8">
        <w:rPr>
          <w:rFonts w:eastAsia="Arial"/>
          <w:iCs/>
        </w:rPr>
        <w:t>renumber as paragraph 5.6</w:t>
      </w:r>
    </w:p>
    <w:p w14:paraId="7988D955" w14:textId="77777777" w:rsidR="00313ED5" w:rsidRPr="001F42F8" w:rsidRDefault="00313ED5" w:rsidP="00313ED5">
      <w:pPr>
        <w:ind w:left="2268" w:right="1134" w:hanging="1134"/>
        <w:jc w:val="both"/>
        <w:rPr>
          <w:rFonts w:eastAsia="Arial"/>
        </w:rPr>
      </w:pPr>
      <w:r w:rsidRPr="001F42F8">
        <w:rPr>
          <w:rFonts w:eastAsia="Arial"/>
          <w:i/>
          <w:iCs/>
        </w:rPr>
        <w:t xml:space="preserve">Paragraph </w:t>
      </w:r>
      <w:r>
        <w:rPr>
          <w:rFonts w:eastAsia="Arial"/>
          <w:i/>
          <w:iCs/>
        </w:rPr>
        <w:t>8</w:t>
      </w:r>
      <w:r w:rsidRPr="001F42F8">
        <w:rPr>
          <w:rFonts w:eastAsia="Arial"/>
        </w:rPr>
        <w:t>, amend to read:</w:t>
      </w:r>
    </w:p>
    <w:p w14:paraId="120686FF" w14:textId="77777777" w:rsidR="00313ED5" w:rsidRPr="001F42F8" w:rsidRDefault="00313ED5" w:rsidP="00313ED5">
      <w:pPr>
        <w:pStyle w:val="HChG"/>
        <w:rPr>
          <w:b w:val="0"/>
        </w:rPr>
      </w:pPr>
      <w:r w:rsidRPr="001F42F8">
        <w:rPr>
          <w:rFonts w:eastAsia="Calibri"/>
          <w:b w:val="0"/>
        </w:rPr>
        <w:tab/>
      </w:r>
      <w:r w:rsidRPr="001F42F8">
        <w:rPr>
          <w:rFonts w:eastAsia="Calibri"/>
          <w:b w:val="0"/>
        </w:rPr>
        <w:tab/>
        <w:t>"</w:t>
      </w:r>
      <w:r>
        <w:rPr>
          <w:bCs/>
        </w:rPr>
        <w:t>8</w:t>
      </w:r>
      <w:r w:rsidRPr="001F42F8">
        <w:rPr>
          <w:bCs/>
        </w:rPr>
        <w:t>.</w:t>
      </w:r>
      <w:r w:rsidRPr="001F42F8">
        <w:rPr>
          <w:bCs/>
        </w:rPr>
        <w:tab/>
      </w:r>
      <w:r w:rsidRPr="001F42F8">
        <w:rPr>
          <w:bCs/>
        </w:rPr>
        <w:tab/>
        <w:t>Conformity of production</w:t>
      </w:r>
    </w:p>
    <w:p w14:paraId="1F759485" w14:textId="77777777" w:rsidR="00313ED5" w:rsidRPr="001F42F8" w:rsidRDefault="00313ED5" w:rsidP="00313ED5">
      <w:pPr>
        <w:pStyle w:val="SingleTxtG"/>
        <w:ind w:left="2268" w:hanging="1134"/>
      </w:pPr>
      <w:r w:rsidRPr="001F42F8">
        <w:rPr>
          <w:rFonts w:eastAsia="Calibri"/>
        </w:rPr>
        <w:tab/>
        <w:t>The conformity of production procedures shall comply with those set out in the Agreement, (Schedule 1 E/ECE/TRANS/505/Rev.3), with the following requirements:"</w:t>
      </w:r>
    </w:p>
    <w:p w14:paraId="7CCF6869" w14:textId="77777777" w:rsidR="00510FF8" w:rsidRPr="001F42F8" w:rsidRDefault="00510FF8" w:rsidP="00510FF8">
      <w:pPr>
        <w:spacing w:after="120"/>
        <w:ind w:left="2268" w:right="1134" w:hanging="1134"/>
        <w:jc w:val="both"/>
        <w:rPr>
          <w:iCs/>
        </w:rPr>
      </w:pPr>
      <w:r w:rsidRPr="001F42F8">
        <w:rPr>
          <w:i/>
        </w:rPr>
        <w:t>Insert new Paragraphs 12.1</w:t>
      </w:r>
      <w:r w:rsidR="003B6B58">
        <w:rPr>
          <w:i/>
        </w:rPr>
        <w:t>0</w:t>
      </w:r>
      <w:r w:rsidRPr="001F42F8">
        <w:rPr>
          <w:i/>
        </w:rPr>
        <w:t xml:space="preserve"> to 12.1</w:t>
      </w:r>
      <w:r w:rsidR="003B6B58">
        <w:rPr>
          <w:i/>
        </w:rPr>
        <w:t>4</w:t>
      </w:r>
      <w:r w:rsidRPr="001F42F8">
        <w:rPr>
          <w:i/>
        </w:rPr>
        <w:t xml:space="preserve">, </w:t>
      </w:r>
      <w:r w:rsidRPr="001F42F8">
        <w:rPr>
          <w:iCs/>
        </w:rPr>
        <w:t>to read:</w:t>
      </w:r>
    </w:p>
    <w:p w14:paraId="3BE589E4" w14:textId="77777777" w:rsidR="00510FF8" w:rsidRPr="001F42F8" w:rsidRDefault="00510FF8" w:rsidP="00510FF8">
      <w:pPr>
        <w:pStyle w:val="SingleTxtG"/>
        <w:ind w:left="2268" w:hanging="1134"/>
        <w:rPr>
          <w:rFonts w:eastAsia="Arial"/>
        </w:rPr>
      </w:pPr>
      <w:r w:rsidRPr="001F42F8">
        <w:rPr>
          <w:rFonts w:eastAsia="Arial"/>
        </w:rPr>
        <w:t>"12.10.</w:t>
      </w:r>
      <w:r w:rsidRPr="001F42F8">
        <w:rPr>
          <w:rFonts w:eastAsia="Arial"/>
        </w:rPr>
        <w:tab/>
      </w:r>
      <w:r w:rsidRPr="001F42F8">
        <w:rPr>
          <w:rFonts w:eastAsia="Arial"/>
        </w:rPr>
        <w:tab/>
        <w:t>As from the official date of entry into force of the 04 series of amendments, no Contracting Party applying this UN Regulation shall refuse to grant or refuse to accept UN type-approvals under this UN Regulation as amended by the 04 series of amendments.</w:t>
      </w:r>
    </w:p>
    <w:p w14:paraId="6FE7D282" w14:textId="77777777" w:rsidR="00510FF8" w:rsidRPr="001F42F8" w:rsidRDefault="00510FF8" w:rsidP="00510FF8">
      <w:pPr>
        <w:pStyle w:val="SingleTxtG"/>
        <w:ind w:left="2268" w:hanging="1134"/>
        <w:rPr>
          <w:rFonts w:eastAsia="Arial"/>
        </w:rPr>
      </w:pPr>
      <w:r w:rsidRPr="001F42F8">
        <w:rPr>
          <w:rFonts w:eastAsia="Arial"/>
        </w:rPr>
        <w:t>12.11.</w:t>
      </w:r>
      <w:r w:rsidRPr="001F42F8">
        <w:rPr>
          <w:rFonts w:eastAsia="Arial"/>
        </w:rPr>
        <w:tab/>
        <w:t>As from 1 September 2021, Contracting Parties applying this UN Regulation shall not be obliged to accept UN type-approvals to the preceding series of amendments, first issued after 1 September 2021.</w:t>
      </w:r>
    </w:p>
    <w:p w14:paraId="2B83A789" w14:textId="77777777" w:rsidR="00510FF8" w:rsidRPr="001F42F8" w:rsidRDefault="00510FF8" w:rsidP="00510FF8">
      <w:pPr>
        <w:pStyle w:val="SingleTxtG"/>
        <w:ind w:left="2268" w:hanging="1134"/>
        <w:rPr>
          <w:rFonts w:eastAsia="Arial"/>
        </w:rPr>
      </w:pPr>
      <w:r w:rsidRPr="001F42F8">
        <w:rPr>
          <w:rFonts w:eastAsia="Arial"/>
        </w:rPr>
        <w:t>12.12.</w:t>
      </w:r>
      <w:r w:rsidRPr="001F42F8">
        <w:rPr>
          <w:rFonts w:eastAsia="Arial"/>
        </w:rPr>
        <w:tab/>
        <w:t>Until 1 September 2022, Contracting Parties applying this UN Regulation shall accept UN type-approvals to the preceding series of amendments, first issued before 1 September 2021.</w:t>
      </w:r>
    </w:p>
    <w:p w14:paraId="74BEF23B" w14:textId="77777777" w:rsidR="00510FF8" w:rsidRPr="001F42F8" w:rsidRDefault="00510FF8" w:rsidP="00510FF8">
      <w:pPr>
        <w:pStyle w:val="SingleTxtG"/>
        <w:ind w:left="2268" w:hanging="1134"/>
        <w:rPr>
          <w:rFonts w:eastAsia="Arial"/>
        </w:rPr>
      </w:pPr>
      <w:r w:rsidRPr="001F42F8">
        <w:rPr>
          <w:rFonts w:eastAsia="Arial"/>
        </w:rPr>
        <w:t>12.13.</w:t>
      </w:r>
      <w:r w:rsidRPr="001F42F8">
        <w:rPr>
          <w:rFonts w:eastAsia="Arial"/>
        </w:rPr>
        <w:tab/>
        <w:t>As from 1 September 2022, Contracting Parties applying this UN Regulation shall not be obliged to accept type-approvals issued to the preceding series of amendments to this Regulation.</w:t>
      </w:r>
    </w:p>
    <w:p w14:paraId="5C5FBBDD" w14:textId="77777777" w:rsidR="00510FF8" w:rsidRDefault="00510FF8" w:rsidP="00510FF8">
      <w:pPr>
        <w:spacing w:after="120"/>
        <w:ind w:left="2268" w:right="1134" w:hanging="1134"/>
        <w:jc w:val="both"/>
        <w:rPr>
          <w:rFonts w:eastAsia="Arial"/>
        </w:rPr>
      </w:pPr>
      <w:r w:rsidRPr="001F42F8">
        <w:rPr>
          <w:rFonts w:eastAsia="Arial"/>
        </w:rPr>
        <w:t>12.14.</w:t>
      </w:r>
      <w:r w:rsidRPr="001F42F8">
        <w:rPr>
          <w:rFonts w:eastAsia="Arial"/>
        </w:rPr>
        <w:tab/>
        <w:t>Contracting Parties applying this UN Regulation shall not refuse to grant UN type-approvals according to any preceding series of amendments to this UN Regulation or extensions thereof."</w:t>
      </w:r>
    </w:p>
    <w:p w14:paraId="5FB705FE" w14:textId="77777777" w:rsidR="004643C4" w:rsidRDefault="004643C4">
      <w:pPr>
        <w:suppressAutoHyphens w:val="0"/>
        <w:spacing w:line="240" w:lineRule="auto"/>
        <w:rPr>
          <w:rFonts w:eastAsia="Arial"/>
        </w:rPr>
      </w:pPr>
      <w:r>
        <w:rPr>
          <w:rFonts w:eastAsia="Arial"/>
        </w:rPr>
        <w:br w:type="page"/>
      </w:r>
    </w:p>
    <w:p w14:paraId="0B6DD305" w14:textId="77777777" w:rsidR="00510FF8" w:rsidRPr="001F42F8" w:rsidRDefault="00510FF8" w:rsidP="00510FF8">
      <w:pPr>
        <w:pStyle w:val="SingleTxtG"/>
      </w:pPr>
      <w:r w:rsidRPr="001F42F8">
        <w:rPr>
          <w:i/>
          <w:iCs/>
        </w:rPr>
        <w:lastRenderedPageBreak/>
        <w:t>Annex 3,</w:t>
      </w:r>
      <w:r w:rsidRPr="001F42F8">
        <w:t xml:space="preserve"> amend to read:</w:t>
      </w:r>
    </w:p>
    <w:p w14:paraId="0F450FF5" w14:textId="77777777" w:rsidR="00510FF8" w:rsidRPr="001F42F8" w:rsidRDefault="00510FF8" w:rsidP="00510FF8">
      <w:pPr>
        <w:pStyle w:val="HChG"/>
        <w:rPr>
          <w:rFonts w:eastAsia="Arial"/>
          <w:b w:val="0"/>
        </w:rPr>
      </w:pPr>
      <w:r w:rsidRPr="001F42F8">
        <w:rPr>
          <w:rFonts w:eastAsia="Arial"/>
          <w:b w:val="0"/>
        </w:rPr>
        <w:t>"</w:t>
      </w:r>
      <w:r w:rsidRPr="001F42F8">
        <w:rPr>
          <w:rFonts w:eastAsia="Arial"/>
          <w:bCs/>
        </w:rPr>
        <w:t>Annex</w:t>
      </w:r>
      <w:r w:rsidRPr="001F42F8">
        <w:rPr>
          <w:rFonts w:eastAsia="Arial"/>
          <w:bCs/>
          <w:spacing w:val="15"/>
        </w:rPr>
        <w:t xml:space="preserve"> </w:t>
      </w:r>
      <w:r w:rsidRPr="001F42F8">
        <w:rPr>
          <w:rFonts w:eastAsia="Arial"/>
          <w:bCs/>
        </w:rPr>
        <w:t>3</w:t>
      </w:r>
    </w:p>
    <w:p w14:paraId="6781D2C3" w14:textId="77777777" w:rsidR="00510FF8" w:rsidRPr="001F42F8" w:rsidRDefault="00510FF8" w:rsidP="00510FF8">
      <w:pPr>
        <w:pStyle w:val="H1G"/>
        <w:rPr>
          <w:b w:val="0"/>
        </w:rPr>
      </w:pPr>
      <w:r w:rsidRPr="001F42F8">
        <w:rPr>
          <w:rFonts w:eastAsia="Arial"/>
          <w:b w:val="0"/>
        </w:rPr>
        <w:tab/>
      </w:r>
      <w:r w:rsidRPr="001F42F8">
        <w:rPr>
          <w:rFonts w:eastAsia="Arial"/>
          <w:b w:val="0"/>
        </w:rPr>
        <w:tab/>
        <w:t>Arrangements of approval mark</w:t>
      </w:r>
    </w:p>
    <w:p w14:paraId="7A7F7BD9" w14:textId="77777777" w:rsidR="00510FF8" w:rsidRPr="001F42F8" w:rsidRDefault="00510FF8" w:rsidP="00510FF8">
      <w:pPr>
        <w:tabs>
          <w:tab w:val="left" w:pos="1320"/>
        </w:tabs>
        <w:ind w:left="2268" w:right="1134" w:hanging="1134"/>
        <w:rPr>
          <w:rFonts w:eastAsia="Arial"/>
        </w:rPr>
      </w:pPr>
      <w:r w:rsidRPr="001F42F8">
        <w:rPr>
          <w:rFonts w:eastAsia="Arial"/>
          <w:spacing w:val="8"/>
        </w:rPr>
        <w:t>1</w:t>
      </w:r>
      <w:r w:rsidRPr="001F42F8">
        <w:rPr>
          <w:rFonts w:eastAsia="Arial"/>
        </w:rPr>
        <w:t>.</w:t>
      </w:r>
      <w:r w:rsidRPr="001F42F8">
        <w:rPr>
          <w:rFonts w:eastAsia="Arial"/>
        </w:rPr>
        <w:tab/>
      </w:r>
      <w:r w:rsidRPr="001F42F8">
        <w:rPr>
          <w:rFonts w:eastAsia="Arial"/>
        </w:rPr>
        <w:tab/>
      </w:r>
      <w:r w:rsidRPr="001F42F8">
        <w:t>Arrangement in the approval mark for a seat</w:t>
      </w:r>
    </w:p>
    <w:p w14:paraId="07BF1B16" w14:textId="77777777" w:rsidR="00510FF8" w:rsidRPr="001F42F8" w:rsidRDefault="00510FF8" w:rsidP="004643C4">
      <w:pPr>
        <w:ind w:left="2268" w:right="1134" w:hanging="1134"/>
        <w:jc w:val="center"/>
        <w:rPr>
          <w:rFonts w:eastAsia="Arial"/>
        </w:rPr>
      </w:pPr>
      <w:r w:rsidRPr="001F42F8">
        <w:rPr>
          <w:rFonts w:eastAsia="Arial"/>
          <w:noProof/>
          <w:lang w:eastAsia="zh-CN"/>
        </w:rPr>
        <w:drawing>
          <wp:inline distT="0" distB="0" distL="0" distR="0" wp14:anchorId="34A14512" wp14:editId="29E39A02">
            <wp:extent cx="3562350" cy="7600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760095"/>
                    </a:xfrm>
                    <a:prstGeom prst="rect">
                      <a:avLst/>
                    </a:prstGeom>
                    <a:noFill/>
                    <a:ln>
                      <a:noFill/>
                    </a:ln>
                  </pic:spPr>
                </pic:pic>
              </a:graphicData>
            </a:graphic>
          </wp:inline>
        </w:drawing>
      </w:r>
    </w:p>
    <w:p w14:paraId="497EDA28" w14:textId="77777777" w:rsidR="00510FF8" w:rsidRPr="001F42F8" w:rsidRDefault="00510FF8" w:rsidP="00510FF8">
      <w:pPr>
        <w:pStyle w:val="SingleTxtG"/>
        <w:ind w:left="2268" w:hanging="1134"/>
      </w:pPr>
      <w:r w:rsidRPr="001F42F8">
        <w:rPr>
          <w:rFonts w:eastAsia="Arial"/>
        </w:rPr>
        <w:tab/>
      </w:r>
      <w:r w:rsidRPr="001F42F8">
        <w:t xml:space="preserve">The above approval mark affixed to a seat shows that the seat type concerned has, </w:t>
      </w:r>
      <w:proofErr w:type="gramStart"/>
      <w:r w:rsidRPr="001F42F8">
        <w:t>with regard to</w:t>
      </w:r>
      <w:proofErr w:type="gramEnd"/>
      <w:r w:rsidRPr="001F42F8">
        <w:t xml:space="preserve"> the strength of the seats, the test being carried out in accordance with paragraph 2 of Annex 4, been approved in the Netherlands (E4) under number 042439. The approval number indicates that the approval was granted in accordance with the requirements of Regulation No. 80 as amended by the 04 series of amendments.</w:t>
      </w:r>
    </w:p>
    <w:p w14:paraId="22840F18" w14:textId="77777777" w:rsidR="00510FF8" w:rsidRPr="001F42F8" w:rsidRDefault="00510FF8" w:rsidP="00510FF8">
      <w:pPr>
        <w:pStyle w:val="SingleTxtG"/>
        <w:ind w:left="2268" w:hanging="1134"/>
        <w:rPr>
          <w:rFonts w:eastAsia="Arial"/>
        </w:rPr>
      </w:pPr>
      <w:r w:rsidRPr="001F42F8">
        <w:rPr>
          <w:rFonts w:eastAsia="Arial"/>
        </w:rPr>
        <w:t>2.</w:t>
      </w:r>
      <w:r w:rsidRPr="001F42F8">
        <w:rPr>
          <w:rFonts w:eastAsia="Arial"/>
        </w:rPr>
        <w:tab/>
      </w:r>
      <w:r w:rsidRPr="001F42F8">
        <w:rPr>
          <w:rFonts w:eastAsia="Arial"/>
        </w:rPr>
        <w:tab/>
        <w:t>Arr</w:t>
      </w:r>
      <w:r w:rsidRPr="001F42F8">
        <w:rPr>
          <w:rFonts w:eastAsia="Arial"/>
          <w:spacing w:val="7"/>
        </w:rPr>
        <w:t>an</w:t>
      </w:r>
      <w:r w:rsidRPr="001F42F8">
        <w:rPr>
          <w:rFonts w:eastAsia="Arial"/>
        </w:rPr>
        <w:t>g</w:t>
      </w:r>
      <w:r w:rsidRPr="001F42F8">
        <w:rPr>
          <w:rFonts w:eastAsia="Arial"/>
          <w:spacing w:val="7"/>
        </w:rPr>
        <w:t>em</w:t>
      </w:r>
      <w:r w:rsidRPr="001F42F8">
        <w:rPr>
          <w:rFonts w:eastAsia="Arial"/>
        </w:rPr>
        <w:t>e</w:t>
      </w:r>
      <w:r w:rsidRPr="001F42F8">
        <w:rPr>
          <w:rFonts w:eastAsia="Arial"/>
          <w:spacing w:val="7"/>
        </w:rPr>
        <w:t>n</w:t>
      </w:r>
      <w:r w:rsidRPr="001F42F8">
        <w:rPr>
          <w:rFonts w:eastAsia="Arial"/>
        </w:rPr>
        <w:t>t</w:t>
      </w:r>
      <w:r w:rsidRPr="001F42F8">
        <w:rPr>
          <w:rFonts w:eastAsia="Arial"/>
          <w:spacing w:val="16"/>
        </w:rPr>
        <w:t xml:space="preserve"> </w:t>
      </w:r>
      <w:r w:rsidRPr="001F42F8">
        <w:rPr>
          <w:rFonts w:eastAsia="Arial"/>
        </w:rPr>
        <w:t>in</w:t>
      </w:r>
      <w:r w:rsidRPr="001F42F8">
        <w:rPr>
          <w:rFonts w:eastAsia="Arial"/>
          <w:spacing w:val="16"/>
        </w:rPr>
        <w:t xml:space="preserve"> </w:t>
      </w:r>
      <w:r w:rsidRPr="001F42F8">
        <w:rPr>
          <w:rFonts w:eastAsia="Arial"/>
          <w:spacing w:val="7"/>
        </w:rPr>
        <w:t>t</w:t>
      </w:r>
      <w:r w:rsidRPr="001F42F8">
        <w:rPr>
          <w:rFonts w:eastAsia="Arial"/>
        </w:rPr>
        <w:t>he</w:t>
      </w:r>
      <w:r w:rsidRPr="001F42F8">
        <w:rPr>
          <w:rFonts w:eastAsia="Arial"/>
          <w:spacing w:val="15"/>
        </w:rPr>
        <w:t xml:space="preserve"> </w:t>
      </w:r>
      <w:r w:rsidRPr="001F42F8">
        <w:rPr>
          <w:rFonts w:eastAsia="Arial"/>
          <w:spacing w:val="7"/>
        </w:rPr>
        <w:t>a</w:t>
      </w:r>
      <w:r w:rsidRPr="001F42F8">
        <w:rPr>
          <w:rFonts w:eastAsia="Arial"/>
        </w:rPr>
        <w:t>p</w:t>
      </w:r>
      <w:r w:rsidRPr="001F42F8">
        <w:rPr>
          <w:rFonts w:eastAsia="Arial"/>
          <w:spacing w:val="7"/>
        </w:rPr>
        <w:t>p</w:t>
      </w:r>
      <w:r w:rsidRPr="001F42F8">
        <w:rPr>
          <w:rFonts w:eastAsia="Arial"/>
        </w:rPr>
        <w:t>rov</w:t>
      </w:r>
      <w:r w:rsidRPr="001F42F8">
        <w:rPr>
          <w:rFonts w:eastAsia="Arial"/>
          <w:spacing w:val="7"/>
        </w:rPr>
        <w:t>a</w:t>
      </w:r>
      <w:r w:rsidRPr="001F42F8">
        <w:rPr>
          <w:rFonts w:eastAsia="Arial"/>
        </w:rPr>
        <w:t>l</w:t>
      </w:r>
      <w:r w:rsidRPr="001F42F8">
        <w:rPr>
          <w:rFonts w:eastAsia="Arial"/>
          <w:spacing w:val="16"/>
        </w:rPr>
        <w:t xml:space="preserve"> </w:t>
      </w:r>
      <w:r w:rsidRPr="001F42F8">
        <w:rPr>
          <w:rFonts w:eastAsia="Arial"/>
          <w:spacing w:val="7"/>
        </w:rPr>
        <w:t>ma</w:t>
      </w:r>
      <w:r w:rsidRPr="001F42F8">
        <w:rPr>
          <w:rFonts w:eastAsia="Arial"/>
        </w:rPr>
        <w:t>rk</w:t>
      </w:r>
      <w:r w:rsidRPr="001F42F8">
        <w:rPr>
          <w:rFonts w:eastAsia="Arial"/>
          <w:spacing w:val="16"/>
        </w:rPr>
        <w:t xml:space="preserve"> </w:t>
      </w:r>
      <w:r w:rsidRPr="001F42F8">
        <w:rPr>
          <w:rFonts w:eastAsia="Arial"/>
        </w:rPr>
        <w:t>f</w:t>
      </w:r>
      <w:r w:rsidRPr="001F42F8">
        <w:rPr>
          <w:rFonts w:eastAsia="Arial"/>
          <w:spacing w:val="7"/>
        </w:rPr>
        <w:t>o</w:t>
      </w:r>
      <w:r w:rsidRPr="001F42F8">
        <w:rPr>
          <w:rFonts w:eastAsia="Arial"/>
        </w:rPr>
        <w:t>r</w:t>
      </w:r>
      <w:r w:rsidRPr="001F42F8">
        <w:rPr>
          <w:rFonts w:eastAsia="Arial"/>
          <w:spacing w:val="15"/>
        </w:rPr>
        <w:t xml:space="preserve"> </w:t>
      </w:r>
      <w:r w:rsidRPr="001F42F8">
        <w:rPr>
          <w:rFonts w:eastAsia="Arial"/>
        </w:rPr>
        <w:t>a</w:t>
      </w:r>
      <w:r w:rsidRPr="001F42F8">
        <w:rPr>
          <w:rFonts w:eastAsia="Arial"/>
          <w:spacing w:val="16"/>
        </w:rPr>
        <w:t xml:space="preserve"> </w:t>
      </w:r>
      <w:r w:rsidRPr="001F42F8">
        <w:rPr>
          <w:rFonts w:eastAsia="Arial"/>
        </w:rPr>
        <w:t>v</w:t>
      </w:r>
      <w:r w:rsidRPr="001F42F8">
        <w:rPr>
          <w:rFonts w:eastAsia="Arial"/>
          <w:spacing w:val="7"/>
        </w:rPr>
        <w:t>e</w:t>
      </w:r>
      <w:r w:rsidRPr="001F42F8">
        <w:rPr>
          <w:rFonts w:eastAsia="Arial"/>
        </w:rPr>
        <w:t>h</w:t>
      </w:r>
      <w:r w:rsidRPr="001F42F8">
        <w:rPr>
          <w:rFonts w:eastAsia="Arial"/>
          <w:spacing w:val="7"/>
        </w:rPr>
        <w:t>i</w:t>
      </w:r>
      <w:r w:rsidRPr="001F42F8">
        <w:rPr>
          <w:rFonts w:eastAsia="Arial"/>
        </w:rPr>
        <w:t>c</w:t>
      </w:r>
      <w:r w:rsidRPr="001F42F8">
        <w:rPr>
          <w:rFonts w:eastAsia="Arial"/>
          <w:spacing w:val="7"/>
        </w:rPr>
        <w:t>l</w:t>
      </w:r>
      <w:r w:rsidRPr="001F42F8">
        <w:rPr>
          <w:rFonts w:eastAsia="Arial"/>
        </w:rPr>
        <w:t>e</w:t>
      </w:r>
      <w:r w:rsidRPr="001F42F8">
        <w:rPr>
          <w:rFonts w:eastAsia="Arial"/>
          <w:spacing w:val="16"/>
        </w:rPr>
        <w:t xml:space="preserve"> </w:t>
      </w:r>
      <w:r w:rsidRPr="001F42F8">
        <w:rPr>
          <w:rFonts w:eastAsia="Arial"/>
          <w:spacing w:val="7"/>
        </w:rPr>
        <w:t>t</w:t>
      </w:r>
      <w:r w:rsidRPr="001F42F8">
        <w:rPr>
          <w:rFonts w:eastAsia="Arial"/>
        </w:rPr>
        <w:t>ype</w:t>
      </w:r>
    </w:p>
    <w:p w14:paraId="3F43C809" w14:textId="77777777" w:rsidR="00510FF8" w:rsidRPr="001F42F8" w:rsidRDefault="00510FF8" w:rsidP="004643C4">
      <w:pPr>
        <w:tabs>
          <w:tab w:val="left" w:pos="1320"/>
        </w:tabs>
        <w:ind w:left="2268" w:right="1134" w:hanging="1134"/>
        <w:jc w:val="center"/>
        <w:rPr>
          <w:rFonts w:eastAsia="Arial"/>
        </w:rPr>
      </w:pPr>
      <w:r w:rsidRPr="001F42F8">
        <w:rPr>
          <w:rFonts w:eastAsia="Arial"/>
          <w:noProof/>
          <w:lang w:eastAsia="zh-CN"/>
        </w:rPr>
        <w:drawing>
          <wp:inline distT="0" distB="0" distL="0" distR="0" wp14:anchorId="1B9809BB" wp14:editId="32BA1DF5">
            <wp:extent cx="4055110" cy="10744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5110" cy="1074420"/>
                    </a:xfrm>
                    <a:prstGeom prst="rect">
                      <a:avLst/>
                    </a:prstGeom>
                    <a:noFill/>
                    <a:ln>
                      <a:noFill/>
                    </a:ln>
                  </pic:spPr>
                </pic:pic>
              </a:graphicData>
            </a:graphic>
          </wp:inline>
        </w:drawing>
      </w:r>
    </w:p>
    <w:p w14:paraId="265DE394" w14:textId="77777777" w:rsidR="00510FF8" w:rsidRPr="001F42F8" w:rsidRDefault="00510FF8" w:rsidP="00510FF8">
      <w:pPr>
        <w:ind w:left="2268" w:right="1134"/>
        <w:jc w:val="both"/>
        <w:rPr>
          <w:rFonts w:eastAsia="Arial"/>
        </w:rPr>
      </w:pPr>
      <w:r w:rsidRPr="001F42F8">
        <w:t xml:space="preserve">The above approval mark, affixed to a vehicle, shows that this type of vehicle has been approved in the Netherlands (E4) under number 042439 </w:t>
      </w:r>
      <w:proofErr w:type="gramStart"/>
      <w:r w:rsidRPr="001F42F8">
        <w:t>with regard to</w:t>
      </w:r>
      <w:proofErr w:type="gramEnd"/>
      <w:r w:rsidRPr="001F42F8">
        <w:t xml:space="preserve"> the strength of the anchorages on the vehicle. The approval number indicates that the approval was granted in accordance with the requirements of Regulation No. 80 as amended by the 04 series of amendments</w:t>
      </w:r>
      <w:r w:rsidRPr="001F42F8">
        <w:rPr>
          <w:rFonts w:eastAsia="Arial"/>
        </w:rPr>
        <w:t>."</w:t>
      </w:r>
    </w:p>
    <w:p w14:paraId="7AF0643A" w14:textId="77777777" w:rsidR="001C6663" w:rsidRPr="00510FF8" w:rsidRDefault="00510FF8" w:rsidP="004643C4">
      <w:pPr>
        <w:spacing w:before="240"/>
        <w:jc w:val="center"/>
      </w:pPr>
      <w:r>
        <w:rPr>
          <w:u w:val="single"/>
        </w:rPr>
        <w:tab/>
      </w:r>
      <w:r>
        <w:rPr>
          <w:u w:val="single"/>
        </w:rPr>
        <w:tab/>
      </w:r>
      <w:r>
        <w:rPr>
          <w:u w:val="single"/>
        </w:rPr>
        <w:tab/>
      </w:r>
    </w:p>
    <w:sectPr w:rsidR="001C6663" w:rsidRPr="00510FF8" w:rsidSect="0082544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D3A5" w14:textId="77777777" w:rsidR="00510FF8" w:rsidRDefault="00510FF8"/>
  </w:endnote>
  <w:endnote w:type="continuationSeparator" w:id="0">
    <w:p w14:paraId="78B8387A" w14:textId="77777777" w:rsidR="00510FF8" w:rsidRDefault="00510FF8"/>
  </w:endnote>
  <w:endnote w:type="continuationNotice" w:id="1">
    <w:p w14:paraId="2A8C190D" w14:textId="77777777" w:rsidR="00510FF8" w:rsidRDefault="00510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12DA1" w14:textId="77777777" w:rsidR="00510FF8" w:rsidRPr="00510FF8" w:rsidRDefault="00510FF8" w:rsidP="00510FF8">
    <w:pPr>
      <w:pStyle w:val="Footer"/>
      <w:tabs>
        <w:tab w:val="right" w:pos="9638"/>
      </w:tabs>
      <w:rPr>
        <w:sz w:val="18"/>
      </w:rPr>
    </w:pPr>
    <w:r w:rsidRPr="00510FF8">
      <w:rPr>
        <w:b/>
        <w:sz w:val="18"/>
      </w:rPr>
      <w:fldChar w:fldCharType="begin"/>
    </w:r>
    <w:r w:rsidRPr="00510FF8">
      <w:rPr>
        <w:b/>
        <w:sz w:val="18"/>
      </w:rPr>
      <w:instrText xml:space="preserve"> PAGE  \* MERGEFORMAT </w:instrText>
    </w:r>
    <w:r w:rsidRPr="00510FF8">
      <w:rPr>
        <w:b/>
        <w:sz w:val="18"/>
      </w:rPr>
      <w:fldChar w:fldCharType="separate"/>
    </w:r>
    <w:r w:rsidRPr="00510FF8">
      <w:rPr>
        <w:b/>
        <w:noProof/>
        <w:sz w:val="18"/>
      </w:rPr>
      <w:t>2</w:t>
    </w:r>
    <w:r w:rsidRPr="00510FF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0750" w14:textId="77777777" w:rsidR="00510FF8" w:rsidRPr="00510FF8" w:rsidRDefault="00510FF8" w:rsidP="00510FF8">
    <w:pPr>
      <w:pStyle w:val="Footer"/>
      <w:tabs>
        <w:tab w:val="right" w:pos="9638"/>
      </w:tabs>
      <w:rPr>
        <w:b/>
        <w:sz w:val="18"/>
      </w:rPr>
    </w:pPr>
    <w:r>
      <w:tab/>
    </w:r>
    <w:r w:rsidRPr="00510FF8">
      <w:rPr>
        <w:b/>
        <w:sz w:val="18"/>
      </w:rPr>
      <w:fldChar w:fldCharType="begin"/>
    </w:r>
    <w:r w:rsidRPr="00510FF8">
      <w:rPr>
        <w:b/>
        <w:sz w:val="18"/>
      </w:rPr>
      <w:instrText xml:space="preserve"> PAGE  \* MERGEFORMAT </w:instrText>
    </w:r>
    <w:r w:rsidRPr="00510FF8">
      <w:rPr>
        <w:b/>
        <w:sz w:val="18"/>
      </w:rPr>
      <w:fldChar w:fldCharType="separate"/>
    </w:r>
    <w:r w:rsidRPr="00510FF8">
      <w:rPr>
        <w:b/>
        <w:noProof/>
        <w:sz w:val="18"/>
      </w:rPr>
      <w:t>3</w:t>
    </w:r>
    <w:r w:rsidRPr="00510F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5C61" w14:textId="77777777" w:rsidR="00BB4F86" w:rsidRDefault="00BB4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BFD5F" w14:textId="77777777" w:rsidR="00510FF8" w:rsidRPr="000B175B" w:rsidRDefault="00510FF8" w:rsidP="000B175B">
      <w:pPr>
        <w:tabs>
          <w:tab w:val="right" w:pos="2155"/>
        </w:tabs>
        <w:spacing w:after="80"/>
        <w:ind w:left="680"/>
        <w:rPr>
          <w:u w:val="single"/>
        </w:rPr>
      </w:pPr>
      <w:r>
        <w:rPr>
          <w:u w:val="single"/>
        </w:rPr>
        <w:tab/>
      </w:r>
    </w:p>
  </w:footnote>
  <w:footnote w:type="continuationSeparator" w:id="0">
    <w:p w14:paraId="2B9C2104" w14:textId="77777777" w:rsidR="00510FF8" w:rsidRPr="00FC68B7" w:rsidRDefault="00510FF8" w:rsidP="00FC68B7">
      <w:pPr>
        <w:tabs>
          <w:tab w:val="left" w:pos="2155"/>
        </w:tabs>
        <w:spacing w:after="80"/>
        <w:ind w:left="680"/>
        <w:rPr>
          <w:u w:val="single"/>
        </w:rPr>
      </w:pPr>
      <w:r>
        <w:rPr>
          <w:u w:val="single"/>
        </w:rPr>
        <w:tab/>
      </w:r>
    </w:p>
  </w:footnote>
  <w:footnote w:type="continuationNotice" w:id="1">
    <w:p w14:paraId="0EEB9FD4" w14:textId="77777777" w:rsidR="00510FF8" w:rsidRDefault="00510FF8"/>
  </w:footnote>
  <w:footnote w:id="2">
    <w:p w14:paraId="7FC477FE" w14:textId="77777777" w:rsidR="00510FF8" w:rsidRPr="00EC4B12" w:rsidRDefault="00510FF8" w:rsidP="00510FF8">
      <w:pPr>
        <w:pStyle w:val="FootnoteText"/>
        <w:jc w:val="both"/>
        <w:rPr>
          <w:lang w:val="en-US"/>
        </w:rPr>
      </w:pPr>
      <w:r>
        <w:tab/>
      </w:r>
      <w:r w:rsidRPr="00825443">
        <w:rPr>
          <w:rStyle w:val="FootnoteReference"/>
          <w:sz w:val="20"/>
          <w:vertAlign w:val="baseline"/>
        </w:rPr>
        <w:t>*</w:t>
      </w:r>
      <w:r w:rsidRPr="007406A7">
        <w:tab/>
      </w:r>
      <w:r w:rsidRPr="00B15178">
        <w:rPr>
          <w:szCs w:val="18"/>
          <w:lang w:val="en-US"/>
        </w:rPr>
        <w:t xml:space="preserve">In accordance with the </w:t>
      </w:r>
      <w:proofErr w:type="spellStart"/>
      <w:r w:rsidRPr="00B15178">
        <w:rPr>
          <w:szCs w:val="18"/>
          <w:lang w:val="en-US"/>
        </w:rPr>
        <w:t>programme</w:t>
      </w:r>
      <w:proofErr w:type="spellEnd"/>
      <w:r w:rsidRPr="00B15178">
        <w:rPr>
          <w:szCs w:val="18"/>
          <w:lang w:val="en-US"/>
        </w:rPr>
        <w:t xml:space="preserve"> of work of the Inland Transport Committee for 2018–2019 (ECE/TRANS/274, para. 123 and ECE/TRANS/2018/21/Add.1, Cluster 3.1), the World Forum will develop, harmonize and update U</w:t>
      </w:r>
      <w:r>
        <w:rPr>
          <w:szCs w:val="18"/>
          <w:lang w:val="en-US"/>
        </w:rPr>
        <w:t>N r</w:t>
      </w:r>
      <w:r w:rsidRPr="00B15178">
        <w:rPr>
          <w:szCs w:val="18"/>
          <w:lang w:val="en-US"/>
        </w:rPr>
        <w:t>egulations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5AE9" w14:textId="113C2C22" w:rsidR="00510FF8" w:rsidRPr="00510FF8" w:rsidRDefault="00A049DC">
    <w:pPr>
      <w:pStyle w:val="Header"/>
    </w:pPr>
    <w:r>
      <w:fldChar w:fldCharType="begin"/>
    </w:r>
    <w:r>
      <w:instrText xml:space="preserve"> TITLE  \* MERGEFORMAT </w:instrText>
    </w:r>
    <w:r>
      <w:fldChar w:fldCharType="separate"/>
    </w:r>
    <w:r>
      <w:t>ECE/TRANS/WP.29/2019/103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12DE7" w14:textId="77777777" w:rsidR="00510FF8" w:rsidRPr="00BB4F86" w:rsidRDefault="00BB4F86" w:rsidP="00510FF8">
    <w:pPr>
      <w:pStyle w:val="Header"/>
      <w:jc w:val="right"/>
      <w:rPr>
        <w:lang w:val="fr-CH"/>
      </w:rPr>
    </w:pPr>
    <w:r>
      <w:rPr>
        <w:lang w:val="fr-CH"/>
      </w:rPr>
      <w:t>ECE/TRANS/WP.29/2019/103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843D" w14:textId="77777777" w:rsidR="00BB4F86" w:rsidRDefault="00BB4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F8"/>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B175B"/>
    <w:rsid w:val="000B3A0F"/>
    <w:rsid w:val="000E0415"/>
    <w:rsid w:val="000F7715"/>
    <w:rsid w:val="00156B99"/>
    <w:rsid w:val="00165CEB"/>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7237A"/>
    <w:rsid w:val="002974E9"/>
    <w:rsid w:val="002A306B"/>
    <w:rsid w:val="002A7F94"/>
    <w:rsid w:val="002B109A"/>
    <w:rsid w:val="002C6D45"/>
    <w:rsid w:val="002D6E53"/>
    <w:rsid w:val="002F046D"/>
    <w:rsid w:val="002F3023"/>
    <w:rsid w:val="00301764"/>
    <w:rsid w:val="00313ED5"/>
    <w:rsid w:val="003229D8"/>
    <w:rsid w:val="00336C97"/>
    <w:rsid w:val="00337F88"/>
    <w:rsid w:val="00342432"/>
    <w:rsid w:val="0035223F"/>
    <w:rsid w:val="00352D4B"/>
    <w:rsid w:val="0035638C"/>
    <w:rsid w:val="003A46BB"/>
    <w:rsid w:val="003A4EC7"/>
    <w:rsid w:val="003A7295"/>
    <w:rsid w:val="003B1F60"/>
    <w:rsid w:val="003B6B58"/>
    <w:rsid w:val="003C2CC4"/>
    <w:rsid w:val="003D4B23"/>
    <w:rsid w:val="003E278A"/>
    <w:rsid w:val="00413520"/>
    <w:rsid w:val="004325CB"/>
    <w:rsid w:val="00440A07"/>
    <w:rsid w:val="00462880"/>
    <w:rsid w:val="004643C4"/>
    <w:rsid w:val="00476F24"/>
    <w:rsid w:val="004A5D33"/>
    <w:rsid w:val="004C55B0"/>
    <w:rsid w:val="004F6BA0"/>
    <w:rsid w:val="00503BEA"/>
    <w:rsid w:val="00510FF8"/>
    <w:rsid w:val="00533616"/>
    <w:rsid w:val="00535ABA"/>
    <w:rsid w:val="0053768B"/>
    <w:rsid w:val="005420F2"/>
    <w:rsid w:val="0054285C"/>
    <w:rsid w:val="00584173"/>
    <w:rsid w:val="00595520"/>
    <w:rsid w:val="005A44B9"/>
    <w:rsid w:val="005B1BA0"/>
    <w:rsid w:val="005B3DB3"/>
    <w:rsid w:val="005C0268"/>
    <w:rsid w:val="005D15CA"/>
    <w:rsid w:val="005F08DF"/>
    <w:rsid w:val="005F3066"/>
    <w:rsid w:val="005F3E61"/>
    <w:rsid w:val="00604DDD"/>
    <w:rsid w:val="006115CC"/>
    <w:rsid w:val="00611FC4"/>
    <w:rsid w:val="006176FB"/>
    <w:rsid w:val="00630FCB"/>
    <w:rsid w:val="00640B26"/>
    <w:rsid w:val="0065766B"/>
    <w:rsid w:val="006770B2"/>
    <w:rsid w:val="00686A48"/>
    <w:rsid w:val="0068763C"/>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C68"/>
    <w:rsid w:val="007959FE"/>
    <w:rsid w:val="007A0CF1"/>
    <w:rsid w:val="007B6BA5"/>
    <w:rsid w:val="007C3390"/>
    <w:rsid w:val="007C42D8"/>
    <w:rsid w:val="007C4F4B"/>
    <w:rsid w:val="007D6F65"/>
    <w:rsid w:val="007D7362"/>
    <w:rsid w:val="007F5CE2"/>
    <w:rsid w:val="007F6611"/>
    <w:rsid w:val="00810BAC"/>
    <w:rsid w:val="008175E9"/>
    <w:rsid w:val="008242D7"/>
    <w:rsid w:val="00825443"/>
    <w:rsid w:val="0082577B"/>
    <w:rsid w:val="00825CB5"/>
    <w:rsid w:val="00866893"/>
    <w:rsid w:val="00866F02"/>
    <w:rsid w:val="00867D18"/>
    <w:rsid w:val="00871F9A"/>
    <w:rsid w:val="00871FD5"/>
    <w:rsid w:val="0088172E"/>
    <w:rsid w:val="00881EFA"/>
    <w:rsid w:val="008879CB"/>
    <w:rsid w:val="008979B1"/>
    <w:rsid w:val="008A6B25"/>
    <w:rsid w:val="008A6C4F"/>
    <w:rsid w:val="008B389E"/>
    <w:rsid w:val="008D045E"/>
    <w:rsid w:val="008D3F25"/>
    <w:rsid w:val="008D4D82"/>
    <w:rsid w:val="008E0E46"/>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7B81"/>
    <w:rsid w:val="009B7EB7"/>
    <w:rsid w:val="009D01C0"/>
    <w:rsid w:val="009D6A08"/>
    <w:rsid w:val="009E0A16"/>
    <w:rsid w:val="009E6CB7"/>
    <w:rsid w:val="009E7970"/>
    <w:rsid w:val="009F2EAC"/>
    <w:rsid w:val="009F57E3"/>
    <w:rsid w:val="00A049DC"/>
    <w:rsid w:val="00A10F4F"/>
    <w:rsid w:val="00A11067"/>
    <w:rsid w:val="00A1704A"/>
    <w:rsid w:val="00A36AC2"/>
    <w:rsid w:val="00A425EB"/>
    <w:rsid w:val="00A72F22"/>
    <w:rsid w:val="00A733BC"/>
    <w:rsid w:val="00A748A6"/>
    <w:rsid w:val="00A76A69"/>
    <w:rsid w:val="00A879A4"/>
    <w:rsid w:val="00AA0FF8"/>
    <w:rsid w:val="00AC0F2C"/>
    <w:rsid w:val="00AC502A"/>
    <w:rsid w:val="00AE1E26"/>
    <w:rsid w:val="00AF58C1"/>
    <w:rsid w:val="00B04A3F"/>
    <w:rsid w:val="00B06643"/>
    <w:rsid w:val="00B15055"/>
    <w:rsid w:val="00B20551"/>
    <w:rsid w:val="00B30179"/>
    <w:rsid w:val="00B31E0B"/>
    <w:rsid w:val="00B33FC7"/>
    <w:rsid w:val="00B37B15"/>
    <w:rsid w:val="00B4162A"/>
    <w:rsid w:val="00B45C02"/>
    <w:rsid w:val="00B70B63"/>
    <w:rsid w:val="00B72A1E"/>
    <w:rsid w:val="00B81E12"/>
    <w:rsid w:val="00BA339B"/>
    <w:rsid w:val="00BB23CC"/>
    <w:rsid w:val="00BB4F86"/>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463DD"/>
    <w:rsid w:val="00C745C3"/>
    <w:rsid w:val="00C978F5"/>
    <w:rsid w:val="00CA24A4"/>
    <w:rsid w:val="00CA480F"/>
    <w:rsid w:val="00CB348D"/>
    <w:rsid w:val="00CD46F5"/>
    <w:rsid w:val="00CE4A8F"/>
    <w:rsid w:val="00CF071D"/>
    <w:rsid w:val="00D0123D"/>
    <w:rsid w:val="00D15B04"/>
    <w:rsid w:val="00D2031B"/>
    <w:rsid w:val="00D25FE2"/>
    <w:rsid w:val="00D37DA9"/>
    <w:rsid w:val="00D406A7"/>
    <w:rsid w:val="00D43252"/>
    <w:rsid w:val="00D44D86"/>
    <w:rsid w:val="00D50B7D"/>
    <w:rsid w:val="00D52012"/>
    <w:rsid w:val="00D704E5"/>
    <w:rsid w:val="00D72727"/>
    <w:rsid w:val="00D978C6"/>
    <w:rsid w:val="00DA0956"/>
    <w:rsid w:val="00DA357F"/>
    <w:rsid w:val="00DA3E12"/>
    <w:rsid w:val="00DC18AD"/>
    <w:rsid w:val="00DF7CAE"/>
    <w:rsid w:val="00E423C0"/>
    <w:rsid w:val="00E6414C"/>
    <w:rsid w:val="00E7260F"/>
    <w:rsid w:val="00E8702D"/>
    <w:rsid w:val="00E905F4"/>
    <w:rsid w:val="00E916A9"/>
    <w:rsid w:val="00E916DE"/>
    <w:rsid w:val="00E925AD"/>
    <w:rsid w:val="00E96630"/>
    <w:rsid w:val="00ED18DC"/>
    <w:rsid w:val="00ED6201"/>
    <w:rsid w:val="00ED7A2A"/>
    <w:rsid w:val="00EF1D7F"/>
    <w:rsid w:val="00F0137E"/>
    <w:rsid w:val="00F04E44"/>
    <w:rsid w:val="00F21786"/>
    <w:rsid w:val="00F25D06"/>
    <w:rsid w:val="00F31CFF"/>
    <w:rsid w:val="00F3742B"/>
    <w:rsid w:val="00F41FDB"/>
    <w:rsid w:val="00F50597"/>
    <w:rsid w:val="00F56D63"/>
    <w:rsid w:val="00F609A9"/>
    <w:rsid w:val="00F80C99"/>
    <w:rsid w:val="00F867EC"/>
    <w:rsid w:val="00F91B2B"/>
    <w:rsid w:val="00FC03CD"/>
    <w:rsid w:val="00FC0646"/>
    <w:rsid w:val="00FC68B7"/>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C87ECC"/>
  <w15:docId w15:val="{6DBA2DF6-21E4-4713-9E29-3CF374B8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510FF8"/>
    <w:rPr>
      <w:lang w:val="en-GB"/>
    </w:rPr>
  </w:style>
  <w:style w:type="character" w:customStyle="1" w:styleId="HChGChar">
    <w:name w:val="_ H _Ch_G Char"/>
    <w:link w:val="HChG"/>
    <w:rsid w:val="00510FF8"/>
    <w:rPr>
      <w:b/>
      <w:sz w:val="28"/>
      <w:lang w:val="en-GB"/>
    </w:rPr>
  </w:style>
  <w:style w:type="character" w:customStyle="1" w:styleId="H1GChar">
    <w:name w:val="_ H_1_G Char"/>
    <w:link w:val="H1G"/>
    <w:rsid w:val="00510FF8"/>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98D01-AED4-46ED-ADC3-5358595D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TRANS_WP29_E.dotm</Template>
  <TotalTime>4</TotalTime>
  <Pages>3</Pages>
  <Words>583</Words>
  <Characters>3328</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ECE/TRANS/WP.29/2019/103</vt:lpstr>
      <vt:lpstr/>
    </vt:vector>
  </TitlesOfParts>
  <Company>CSD</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ECE/TRANS/WP.29/2019/103</dc:title>
  <dc:creator>Edoardo Gianotti</dc:creator>
  <cp:lastModifiedBy>Marie-Claude Collet</cp:lastModifiedBy>
  <cp:revision>4</cp:revision>
  <cp:lastPrinted>2019-08-28T15:01:00Z</cp:lastPrinted>
  <dcterms:created xsi:type="dcterms:W3CDTF">2019-08-28T07:46:00Z</dcterms:created>
  <dcterms:modified xsi:type="dcterms:W3CDTF">2019-08-28T15:01:00Z</dcterms:modified>
</cp:coreProperties>
</file>