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bookmarkStart w:id="0" w:name="_Hlk182228235"/>
            <w:bookmarkEnd w:id="0"/>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47D15517" w:rsidR="00687FE8" w:rsidRPr="0035122C" w:rsidRDefault="00687FE8" w:rsidP="005176DB">
            <w:pPr>
              <w:jc w:val="right"/>
            </w:pPr>
            <w:r w:rsidRPr="0035122C">
              <w:rPr>
                <w:sz w:val="40"/>
              </w:rPr>
              <w:t>ECE</w:t>
            </w:r>
            <w:r w:rsidRPr="0035122C">
              <w:t>/TRANS/WP.29/GRVA/202</w:t>
            </w:r>
            <w:r w:rsidR="0001409C">
              <w:t>5</w:t>
            </w:r>
            <w:r w:rsidRPr="0035122C">
              <w:t>/</w:t>
            </w:r>
            <w:r w:rsidR="00493F84">
              <w:t>1</w:t>
            </w:r>
            <w:r w:rsidR="005855E7">
              <w:t>6</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61DE551D" w:rsidR="00687FE8" w:rsidRPr="0035122C" w:rsidRDefault="00685D1F" w:rsidP="005176DB">
            <w:pPr>
              <w:spacing w:line="240" w:lineRule="exact"/>
            </w:pPr>
            <w:r>
              <w:t>11</w:t>
            </w:r>
            <w:r w:rsidR="006A3B40" w:rsidRPr="00493F84">
              <w:t xml:space="preserve"> </w:t>
            </w:r>
            <w:r w:rsidR="00493F84" w:rsidRPr="00493F84">
              <w:t>November</w:t>
            </w:r>
            <w:r w:rsidR="006A3B40" w:rsidRPr="00493F84">
              <w:t xml:space="preserve"> 202</w:t>
            </w:r>
            <w:r w:rsidR="00720536" w:rsidRPr="00493F84">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1" w:name="_Hlk518466992"/>
      <w:r w:rsidRPr="004E6CD9">
        <w:rPr>
          <w:b/>
          <w:bCs/>
        </w:rPr>
        <w:t>Working Party on Automated/Autonomous and Connected Vehicl</w:t>
      </w:r>
      <w:bookmarkEnd w:id="1"/>
      <w:r w:rsidRPr="004E6CD9">
        <w:rPr>
          <w:b/>
          <w:bCs/>
        </w:rPr>
        <w:t>es</w:t>
      </w:r>
    </w:p>
    <w:p w14:paraId="215D5913" w14:textId="748584A3" w:rsidR="00357AE9" w:rsidRPr="00DD0611" w:rsidRDefault="005855E7" w:rsidP="00357AE9">
      <w:pPr>
        <w:spacing w:before="120"/>
        <w:rPr>
          <w:b/>
        </w:rPr>
      </w:pPr>
      <w:bookmarkStart w:id="2" w:name="OLE_LINK2"/>
      <w:r>
        <w:rPr>
          <w:b/>
        </w:rPr>
        <w:t xml:space="preserve">Twenty-first </w:t>
      </w:r>
      <w:r w:rsidR="00357AE9" w:rsidRPr="00DD0611">
        <w:rPr>
          <w:b/>
        </w:rPr>
        <w:t>session</w:t>
      </w:r>
    </w:p>
    <w:p w14:paraId="6E74218E" w14:textId="61B9D9AA" w:rsidR="005E09D4" w:rsidRPr="00E561D4" w:rsidRDefault="005E09D4" w:rsidP="005E09D4">
      <w:r w:rsidRPr="00DD0611">
        <w:t xml:space="preserve">Geneva, </w:t>
      </w:r>
      <w:r w:rsidR="0001409C">
        <w:t xml:space="preserve">20-24 </w:t>
      </w:r>
      <w:r w:rsidR="00720536">
        <w:t>J</w:t>
      </w:r>
      <w:r w:rsidR="0001409C">
        <w:t>anuary</w:t>
      </w:r>
      <w:r w:rsidRPr="00DD0611">
        <w:t xml:space="preserve"> 20</w:t>
      </w:r>
      <w:r w:rsidR="00DD0611" w:rsidRPr="00DD0611">
        <w:t>2</w:t>
      </w:r>
      <w:r w:rsidR="0001409C">
        <w:t>5</w:t>
      </w:r>
    </w:p>
    <w:p w14:paraId="4A5CF706" w14:textId="2C324293" w:rsidR="0088344D" w:rsidRPr="004E6CD9" w:rsidRDefault="00357AE9" w:rsidP="00357AE9">
      <w:r w:rsidRPr="00E561D4">
        <w:t xml:space="preserve">Item </w:t>
      </w:r>
      <w:r w:rsidR="002E5F07">
        <w:t>8(</w:t>
      </w:r>
      <w:r w:rsidR="00776D5D">
        <w:t>c</w:t>
      </w:r>
      <w:r w:rsidR="002E5F07">
        <w:t>)</w:t>
      </w:r>
      <w:r w:rsidRPr="00BF5B1D">
        <w:t xml:space="preserve"> of</w:t>
      </w:r>
      <w:r w:rsidRPr="00E561D4">
        <w:t xml:space="preserve"> the provisional agenda</w:t>
      </w:r>
    </w:p>
    <w:p w14:paraId="7502B07F" w14:textId="716A878E" w:rsidR="00F0738D" w:rsidRDefault="000009B3" w:rsidP="00E940C1">
      <w:pPr>
        <w:rPr>
          <w:b/>
          <w:bCs/>
        </w:rPr>
      </w:pPr>
      <w:r>
        <w:rPr>
          <w:b/>
          <w:bCs/>
        </w:rPr>
        <w:t>UN Regulations Nos. 13, 13-H, 139, 140 and UN GTR No. 8</w:t>
      </w:r>
      <w:r w:rsidRPr="0001409C">
        <w:rPr>
          <w:b/>
          <w:bCs/>
        </w:rPr>
        <w:t>:</w:t>
      </w:r>
    </w:p>
    <w:p w14:paraId="54627F91" w14:textId="2B46D3E8" w:rsidR="00357AE9" w:rsidRPr="004E6CD9" w:rsidRDefault="00776D5D" w:rsidP="00E940C1">
      <w:pPr>
        <w:rPr>
          <w:b/>
          <w:bCs/>
        </w:rPr>
      </w:pPr>
      <w:r>
        <w:rPr>
          <w:b/>
          <w:bCs/>
        </w:rPr>
        <w:t>Clarifications</w:t>
      </w:r>
    </w:p>
    <w:p w14:paraId="57F4570E" w14:textId="789E42C2" w:rsidR="00687FE8" w:rsidRPr="004E6CD9" w:rsidRDefault="00687FE8" w:rsidP="00357AE9">
      <w:pPr>
        <w:pStyle w:val="HChG"/>
      </w:pPr>
      <w:r w:rsidRPr="004E6CD9">
        <w:tab/>
      </w:r>
      <w:r w:rsidRPr="004E6CD9">
        <w:tab/>
      </w:r>
      <w:bookmarkEnd w:id="2"/>
      <w:r w:rsidR="00E82A93" w:rsidRPr="00E82A93">
        <w:t>Proposal for amendments to UN Regulation No. 13 (</w:t>
      </w:r>
      <w:r w:rsidR="005855E7">
        <w:t>Heavy vehicle braking</w:t>
      </w:r>
      <w:r w:rsidR="00E82A93" w:rsidRPr="00E82A93">
        <w:t>)</w:t>
      </w:r>
    </w:p>
    <w:p w14:paraId="53BC9677" w14:textId="0D07B4CF"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 xml:space="preserve">experts from </w:t>
      </w:r>
      <w:r w:rsidR="00776D5D">
        <w:t xml:space="preserve">the </w:t>
      </w:r>
      <w:r w:rsidR="00776D5D" w:rsidRPr="003F6804">
        <w:rPr>
          <w:color w:val="000000" w:themeColor="text1"/>
          <w:lang w:val="en-US"/>
        </w:rPr>
        <w:t>European Association of Automotive Suppliers</w:t>
      </w:r>
      <w:r w:rsidR="00776D5D" w:rsidRPr="004E6CD9">
        <w:rPr>
          <w:rStyle w:val="FootnoteReference"/>
          <w:sz w:val="20"/>
          <w:vertAlign w:val="baseline"/>
        </w:rPr>
        <w:t xml:space="preserve"> </w:t>
      </w:r>
      <w:r w:rsidR="009523A3" w:rsidRPr="004E6CD9">
        <w:rPr>
          <w:rStyle w:val="FootnoteReference"/>
          <w:sz w:val="20"/>
          <w:vertAlign w:val="baseline"/>
        </w:rPr>
        <w:footnoteReference w:customMarkFollows="1" w:id="2"/>
        <w:t>*</w:t>
      </w:r>
    </w:p>
    <w:p w14:paraId="16A2BBC4" w14:textId="76A0E2A5" w:rsidR="004E6CD9" w:rsidRPr="001F0200" w:rsidRDefault="003F3604" w:rsidP="00776D5D">
      <w:pPr>
        <w:pStyle w:val="SingleTxtG"/>
        <w:tabs>
          <w:tab w:val="left" w:pos="1701"/>
        </w:tabs>
        <w:rPr>
          <w:snapToGrid w:val="0"/>
        </w:rPr>
      </w:pPr>
      <w:r>
        <w:rPr>
          <w:color w:val="000000" w:themeColor="text1"/>
          <w:lang w:val="en-US"/>
        </w:rPr>
        <w:tab/>
      </w:r>
      <w:r w:rsidRPr="003F6804">
        <w:rPr>
          <w:color w:val="000000" w:themeColor="text1"/>
          <w:lang w:val="en-US"/>
        </w:rPr>
        <w:t xml:space="preserve">The text reproduced below was prepared by the expert from the European Association of Automotive Suppliers (CLEPA) </w:t>
      </w:r>
      <w:r w:rsidRPr="000515B9">
        <w:rPr>
          <w:lang w:val="en-US"/>
        </w:rPr>
        <w:t xml:space="preserve">to resolve the problem of decreasing </w:t>
      </w:r>
      <w:r>
        <w:rPr>
          <w:lang w:val="en-US"/>
        </w:rPr>
        <w:t xml:space="preserve">trailer </w:t>
      </w:r>
      <w:r w:rsidRPr="000515B9">
        <w:rPr>
          <w:lang w:val="en-US"/>
        </w:rPr>
        <w:t>brake performance caused by brake pads</w:t>
      </w:r>
      <w:r>
        <w:rPr>
          <w:lang w:val="en-US"/>
        </w:rPr>
        <w:t xml:space="preserve"> and linings “falling asleep”</w:t>
      </w:r>
      <w:r w:rsidRPr="000515B9">
        <w:rPr>
          <w:lang w:val="en-US"/>
        </w:rPr>
        <w:t xml:space="preserve">. </w:t>
      </w:r>
      <w:r w:rsidR="00A36FCF" w:rsidRPr="00AF16D4">
        <w:rPr>
          <w:snapToGrid w:val="0"/>
        </w:rPr>
        <w:t>The modifications to the existing text of the Regulation are marked in bold for new characters and in bold strikethrough for</w:t>
      </w:r>
      <w:r w:rsidR="00A36FCF" w:rsidRPr="00A36FCF">
        <w:rPr>
          <w:snapToGrid w:val="0"/>
        </w:rPr>
        <w:t xml:space="preserve"> deleted characters.</w:t>
      </w:r>
      <w:r w:rsidR="004E6CD9" w:rsidRPr="004E6CD9">
        <w:br w:type="page"/>
      </w:r>
    </w:p>
    <w:p w14:paraId="7E88CF21" w14:textId="106BF07E" w:rsidR="00B91F8E" w:rsidRPr="00776D5D" w:rsidRDefault="004E6CD9" w:rsidP="00A84BFB">
      <w:pPr>
        <w:pStyle w:val="HChG"/>
        <w:ind w:right="522"/>
        <w:rPr>
          <w:i/>
          <w:iCs/>
        </w:rPr>
      </w:pPr>
      <w:r w:rsidRPr="004E6CD9">
        <w:lastRenderedPageBreak/>
        <w:tab/>
      </w:r>
      <w:r w:rsidR="00B91F8E" w:rsidRPr="004E6CD9">
        <w:t>I.</w:t>
      </w:r>
      <w:r w:rsidR="00B91F8E" w:rsidRPr="004E6CD9">
        <w:tab/>
      </w:r>
      <w:r w:rsidR="00B91F8E" w:rsidRPr="00995010">
        <w:t>Proposal</w:t>
      </w:r>
    </w:p>
    <w:p w14:paraId="1D4B64B2" w14:textId="77777777" w:rsidR="00776D5D" w:rsidRDefault="00FD08CD" w:rsidP="00FD08CD">
      <w:pPr>
        <w:pStyle w:val="SingleTxtG"/>
        <w:rPr>
          <w:i/>
          <w:iCs/>
        </w:rPr>
      </w:pPr>
      <w:bookmarkStart w:id="3" w:name="_Hlk150272690"/>
      <w:bookmarkStart w:id="4" w:name="_Hlk150272746"/>
      <w:bookmarkStart w:id="5" w:name="_Hlk150272800"/>
      <w:r w:rsidRPr="00776D5D">
        <w:rPr>
          <w:i/>
          <w:iCs/>
        </w:rPr>
        <w:t xml:space="preserve">Annex 10, </w:t>
      </w:r>
    </w:p>
    <w:p w14:paraId="3B74A8EF" w14:textId="15D6788E" w:rsidR="00FD08CD" w:rsidRDefault="00776D5D" w:rsidP="00FD08CD">
      <w:pPr>
        <w:pStyle w:val="SingleTxtG"/>
      </w:pPr>
      <w:r>
        <w:rPr>
          <w:i/>
          <w:iCs/>
        </w:rPr>
        <w:t>P</w:t>
      </w:r>
      <w:r w:rsidR="00FD08CD" w:rsidRPr="00776D5D">
        <w:rPr>
          <w:i/>
          <w:iCs/>
        </w:rPr>
        <w:t>aragraph 1.1.</w:t>
      </w:r>
      <w:r>
        <w:rPr>
          <w:i/>
          <w:iCs/>
        </w:rPr>
        <w:t>,</w:t>
      </w:r>
      <w:r w:rsidR="00FD08CD" w:rsidRPr="007455AE">
        <w:t xml:space="preserve"> amend to read:</w:t>
      </w:r>
    </w:p>
    <w:p w14:paraId="0581BC42" w14:textId="77777777" w:rsidR="00FD08CD" w:rsidRPr="00F62FE0" w:rsidRDefault="00FD08CD" w:rsidP="00FD08CD">
      <w:pPr>
        <w:pStyle w:val="SingleTxtG"/>
        <w:ind w:left="2268" w:hanging="1134"/>
        <w:rPr>
          <w:sz w:val="12"/>
          <w:szCs w:val="12"/>
          <w:lang w:val="en-US"/>
        </w:rPr>
      </w:pPr>
      <w:r w:rsidRPr="00F62FE0">
        <w:rPr>
          <w:lang w:val="en-US"/>
        </w:rPr>
        <w:t xml:space="preserve">1.1. </w:t>
      </w:r>
      <w:r>
        <w:rPr>
          <w:lang w:val="en-US"/>
        </w:rPr>
        <w:tab/>
      </w:r>
      <w:r w:rsidRPr="00F62FE0">
        <w:rPr>
          <w:lang w:val="en-US"/>
        </w:rPr>
        <w:t>Vehicles of categories M</w:t>
      </w:r>
      <w:r w:rsidRPr="00F62FE0">
        <w:rPr>
          <w:sz w:val="13"/>
          <w:szCs w:val="13"/>
          <w:lang w:val="en-US"/>
        </w:rPr>
        <w:t>2</w:t>
      </w:r>
      <w:r w:rsidRPr="00F62FE0">
        <w:rPr>
          <w:lang w:val="en-US"/>
        </w:rPr>
        <w:t>, M</w:t>
      </w:r>
      <w:r w:rsidRPr="00F62FE0">
        <w:rPr>
          <w:sz w:val="13"/>
          <w:szCs w:val="13"/>
          <w:lang w:val="en-US"/>
        </w:rPr>
        <w:t>3</w:t>
      </w:r>
      <w:r w:rsidRPr="00F62FE0">
        <w:rPr>
          <w:lang w:val="en-US"/>
        </w:rPr>
        <w:t>, N, O</w:t>
      </w:r>
      <w:r w:rsidRPr="00F62FE0">
        <w:rPr>
          <w:sz w:val="13"/>
          <w:szCs w:val="13"/>
          <w:lang w:val="en-US"/>
        </w:rPr>
        <w:t>2</w:t>
      </w:r>
      <w:r w:rsidRPr="00F62FE0">
        <w:rPr>
          <w:lang w:val="en-US"/>
        </w:rPr>
        <w:t>, O</w:t>
      </w:r>
      <w:r w:rsidRPr="00F62FE0">
        <w:rPr>
          <w:sz w:val="13"/>
          <w:szCs w:val="13"/>
          <w:lang w:val="en-US"/>
        </w:rPr>
        <w:t xml:space="preserve">3 </w:t>
      </w:r>
      <w:r w:rsidRPr="00F62FE0">
        <w:rPr>
          <w:lang w:val="en-US"/>
        </w:rPr>
        <w:t>and O</w:t>
      </w:r>
      <w:r w:rsidRPr="00F62FE0">
        <w:rPr>
          <w:sz w:val="13"/>
          <w:szCs w:val="13"/>
          <w:lang w:val="en-US"/>
        </w:rPr>
        <w:t xml:space="preserve">4 </w:t>
      </w:r>
      <w:r w:rsidRPr="00F62FE0">
        <w:rPr>
          <w:lang w:val="en-US"/>
        </w:rPr>
        <w:t>shall meet all the requirements of this annex. If a special device is used, this shall operate automatically.</w:t>
      </w:r>
      <w:r w:rsidRPr="00F62FE0">
        <w:rPr>
          <w:sz w:val="12"/>
          <w:szCs w:val="12"/>
          <w:lang w:val="en-US"/>
        </w:rPr>
        <w:t xml:space="preserve">1 </w:t>
      </w:r>
    </w:p>
    <w:p w14:paraId="5D1FE4E0" w14:textId="77777777" w:rsidR="00FD08CD" w:rsidRPr="00F62FE0" w:rsidRDefault="00FD08CD" w:rsidP="00FD08CD">
      <w:pPr>
        <w:pStyle w:val="SingleTxtG"/>
        <w:ind w:left="2268"/>
        <w:rPr>
          <w:lang w:val="en-US"/>
        </w:rPr>
      </w:pPr>
      <w:r w:rsidRPr="00F62FE0">
        <w:rPr>
          <w:lang w:val="en-US"/>
        </w:rPr>
        <w:t xml:space="preserve">However, vehicles in the above categories which are equipped with an anti-lock braking system and fulfil the relevant requirements of Annex 13, shall also fulfil all the relevant requirements of this annex with the following exceptions: </w:t>
      </w:r>
    </w:p>
    <w:p w14:paraId="2B9C485B" w14:textId="11F76E96" w:rsidR="00FD08CD" w:rsidRDefault="00FD08CD" w:rsidP="00FD08CD">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38C540B8" w14:textId="0E101BF8" w:rsidR="00FD08CD" w:rsidRPr="004B5D20" w:rsidRDefault="00FD08CD" w:rsidP="005D33AA">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4B5D20">
        <w:rPr>
          <w:b/>
          <w:bCs/>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0250A86A" w14:textId="069713A0" w:rsidR="00FD08CD" w:rsidRPr="004B5D20" w:rsidRDefault="00776D5D" w:rsidP="005D33AA">
      <w:pPr>
        <w:spacing w:after="120"/>
        <w:ind w:left="2268" w:right="1134" w:hanging="1134"/>
        <w:jc w:val="both"/>
      </w:pPr>
      <w:r w:rsidRPr="004B5D20">
        <w:rPr>
          <w:i/>
          <w:iCs/>
        </w:rPr>
        <w:t>P</w:t>
      </w:r>
      <w:r w:rsidR="00FD08CD" w:rsidRPr="004B5D20">
        <w:rPr>
          <w:i/>
          <w:iCs/>
        </w:rPr>
        <w:t>aragraph 5.1.3.</w:t>
      </w:r>
      <w:r w:rsidR="00FD08CD" w:rsidRPr="004B5D20">
        <w:t xml:space="preserve"> amend to read:</w:t>
      </w:r>
    </w:p>
    <w:p w14:paraId="6B59AE9E" w14:textId="77777777" w:rsidR="00FD08CD" w:rsidRPr="004B5D20" w:rsidRDefault="00FD08CD" w:rsidP="005D33AA">
      <w:pPr>
        <w:pStyle w:val="SingleTxtG"/>
        <w:tabs>
          <w:tab w:val="left" w:pos="2268"/>
        </w:tabs>
        <w:ind w:left="2268" w:hanging="1134"/>
        <w:rPr>
          <w:b/>
          <w:color w:val="0070C0"/>
          <w:sz w:val="14"/>
          <w:szCs w:val="14"/>
        </w:rPr>
      </w:pPr>
      <w:r w:rsidRPr="004B5D20">
        <w:t xml:space="preserve">5.1.3. </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4B5D20">
        <w:rPr>
          <w:strike/>
        </w:rPr>
        <w:t>2</w:t>
      </w:r>
      <w:r w:rsidRPr="004B5D20">
        <w:t xml:space="preserve"> </w:t>
      </w:r>
      <w:r w:rsidRPr="004B5D20">
        <w:rPr>
          <w:b/>
          <w:bCs/>
        </w:rPr>
        <w:t>5</w:t>
      </w:r>
      <w:r w:rsidRPr="004B5D20">
        <w:t xml:space="preserve"> of this annex for all pressures between 20 and 750 kPa, in both the laden and unladen states of load.</w:t>
      </w:r>
    </w:p>
    <w:p w14:paraId="34E88E8A" w14:textId="6CD89340" w:rsidR="00FD08CD" w:rsidRPr="004B5D20" w:rsidRDefault="00FD08CD" w:rsidP="005D33AA">
      <w:pPr>
        <w:spacing w:after="120"/>
        <w:ind w:left="2268" w:right="1134" w:hanging="1134"/>
        <w:jc w:val="both"/>
      </w:pPr>
      <w:r w:rsidRPr="004B5D20">
        <w:rPr>
          <w:i/>
          <w:iCs/>
        </w:rPr>
        <w:t>Annex 10, paragraph 5.2.1.</w:t>
      </w:r>
      <w:r w:rsidR="00776D5D" w:rsidRPr="004B5D20">
        <w:rPr>
          <w:i/>
          <w:iCs/>
        </w:rPr>
        <w:t>,</w:t>
      </w:r>
      <w:r w:rsidRPr="004B5D20">
        <w:t xml:space="preserve"> amend to read:</w:t>
      </w:r>
    </w:p>
    <w:p w14:paraId="58B116B4" w14:textId="77777777" w:rsidR="00FD08CD" w:rsidRPr="004B5D20" w:rsidRDefault="00FD08CD" w:rsidP="005D33AA">
      <w:pPr>
        <w:pStyle w:val="SingleTxtG"/>
        <w:tabs>
          <w:tab w:val="left" w:pos="2268"/>
        </w:tabs>
        <w:ind w:left="2268" w:hanging="1134"/>
      </w:pPr>
      <w:r w:rsidRPr="004B5D20">
        <w:t xml:space="preserve">5.2.1. </w:t>
      </w:r>
      <w:r w:rsidRPr="004B5D20">
        <w:tab/>
        <w:t xml:space="preserve">The permissible relationship between the braking rate TR/PR and the pressure pm shall lie within two areas derived from diagram </w:t>
      </w:r>
      <w:r w:rsidRPr="004B5D20">
        <w:rPr>
          <w:strike/>
        </w:rPr>
        <w:t>2</w:t>
      </w:r>
      <w:r w:rsidRPr="004B5D20">
        <w:t xml:space="preserve"> </w:t>
      </w:r>
      <w:r w:rsidRPr="004B5D20">
        <w:rPr>
          <w:b/>
          <w:bCs/>
        </w:rPr>
        <w:t>5</w:t>
      </w:r>
      <w:r w:rsidRPr="004B5D20">
        <w:t xml:space="preserve"> of this annex, by multiplying the vertical scale by 0.95. This requirement shall be met at all pressures between 20 and 750 kPa, in both the laden and unladen states of load.</w:t>
      </w:r>
    </w:p>
    <w:p w14:paraId="1503572A" w14:textId="77777777" w:rsidR="001D0501" w:rsidRPr="004B5D20" w:rsidRDefault="001D0501" w:rsidP="00570F9F">
      <w:pPr>
        <w:pStyle w:val="SingleTxtG"/>
      </w:pPr>
    </w:p>
    <w:p w14:paraId="02AFFCB7" w14:textId="7FAD9F8D" w:rsidR="00227522" w:rsidRPr="00227522" w:rsidRDefault="001D0501" w:rsidP="00227522">
      <w:pPr>
        <w:pStyle w:val="SingleTxtG"/>
        <w:tabs>
          <w:tab w:val="left" w:pos="2268"/>
        </w:tabs>
        <w:rPr>
          <w:i/>
          <w:iCs/>
        </w:rPr>
      </w:pPr>
      <w:r w:rsidRPr="004B5D20">
        <w:rPr>
          <w:i/>
          <w:iCs/>
        </w:rPr>
        <w:t>Annex 10, Diagram 2</w:t>
      </w:r>
      <w:r>
        <w:rPr>
          <w:i/>
          <w:iCs/>
        </w:rPr>
        <w:t xml:space="preserve">, title, </w:t>
      </w:r>
      <w:r w:rsidRPr="001D0501">
        <w:t>amend to read:</w:t>
      </w:r>
    </w:p>
    <w:p w14:paraId="0DAB7631" w14:textId="77777777" w:rsidR="00227522" w:rsidRPr="000116B7" w:rsidRDefault="00227522" w:rsidP="00227522">
      <w:pPr>
        <w:spacing w:line="240" w:lineRule="auto"/>
        <w:ind w:left="1134"/>
        <w:rPr>
          <w:b/>
          <w:bCs/>
          <w:strike/>
          <w:lang w:val="en-US"/>
        </w:rPr>
      </w:pPr>
      <w:r w:rsidRPr="000116B7">
        <w:t>Diagram 2</w:t>
      </w:r>
      <w:r w:rsidRPr="000116B7">
        <w:br/>
      </w:r>
      <w:r w:rsidRPr="000116B7">
        <w:rPr>
          <w:b/>
          <w:bCs/>
          <w:lang w:val="en-US"/>
        </w:rPr>
        <w:t xml:space="preserve">Towing vehicles </w:t>
      </w:r>
      <w:r w:rsidRPr="000116B7">
        <w:rPr>
          <w:b/>
          <w:bCs/>
          <w:strike/>
          <w:lang w:val="en-US"/>
        </w:rPr>
        <w:t xml:space="preserve">and </w:t>
      </w:r>
      <w:proofErr w:type="gramStart"/>
      <w:r w:rsidRPr="000116B7">
        <w:rPr>
          <w:b/>
          <w:bCs/>
          <w:strike/>
          <w:lang w:val="en-US"/>
        </w:rPr>
        <w:t>trailers</w:t>
      </w:r>
      <w:proofErr w:type="gramEnd"/>
    </w:p>
    <w:p w14:paraId="05E1F365" w14:textId="77777777" w:rsidR="00227522" w:rsidRPr="000116B7" w:rsidRDefault="00227522" w:rsidP="00227522">
      <w:pPr>
        <w:spacing w:line="240" w:lineRule="auto"/>
        <w:ind w:left="1134"/>
        <w:rPr>
          <w:lang w:val="en-US"/>
        </w:rPr>
      </w:pPr>
      <w:r w:rsidRPr="000116B7">
        <w:rPr>
          <w:lang w:val="en-US"/>
        </w:rPr>
        <w:t xml:space="preserve">(except tractors for semi-trailers </w:t>
      </w:r>
      <w:r w:rsidRPr="000116B7">
        <w:rPr>
          <w:strike/>
          <w:lang w:val="en-US"/>
        </w:rPr>
        <w:t>and semi-trailers and full trailers</w:t>
      </w:r>
      <w:r w:rsidRPr="000116B7">
        <w:rPr>
          <w:lang w:val="en-US"/>
        </w:rPr>
        <w:t>)</w:t>
      </w:r>
    </w:p>
    <w:p w14:paraId="48432901" w14:textId="77777777" w:rsidR="00227522" w:rsidRPr="000116B7" w:rsidRDefault="00227522" w:rsidP="00227522">
      <w:pPr>
        <w:spacing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12EDA013" w14:textId="77777777" w:rsidR="00227522" w:rsidRDefault="00227522" w:rsidP="00227522">
      <w:pPr>
        <w:spacing w:line="240" w:lineRule="auto"/>
        <w:ind w:left="1134"/>
        <w:rPr>
          <w:sz w:val="16"/>
          <w:szCs w:val="16"/>
          <w:lang w:val="en-US"/>
        </w:rPr>
      </w:pPr>
    </w:p>
    <w:p w14:paraId="6E214A08" w14:textId="0E220A19" w:rsidR="00227522" w:rsidRPr="00A57A74" w:rsidRDefault="00227522" w:rsidP="00227522">
      <w:pPr>
        <w:spacing w:line="240" w:lineRule="auto"/>
        <w:ind w:left="1134"/>
        <w:rPr>
          <w:sz w:val="16"/>
          <w:szCs w:val="16"/>
          <w:lang w:val="en-US"/>
        </w:rPr>
      </w:pPr>
      <w:r w:rsidRPr="004B5D20">
        <w:rPr>
          <w:i/>
          <w:iCs/>
        </w:rPr>
        <w:t>Annex 10, Diagram 2 and Diagram 4A</w:t>
      </w:r>
      <w:r w:rsidRPr="004B5D20">
        <w:t>, amend to read:</w:t>
      </w:r>
    </w:p>
    <w:p w14:paraId="1D33FC17" w14:textId="5388F7DC" w:rsidR="00227522" w:rsidRPr="00227522" w:rsidRDefault="00227522" w:rsidP="00227522">
      <w:pPr>
        <w:pStyle w:val="SingleTxtG"/>
        <w:jc w:val="left"/>
      </w:pPr>
    </w:p>
    <w:p w14:paraId="6DC76EE5" w14:textId="7A8FED57" w:rsidR="001D0501" w:rsidRDefault="001D0501" w:rsidP="00D160DC">
      <w:pPr>
        <w:pStyle w:val="SingleTxtG"/>
        <w:tabs>
          <w:tab w:val="left" w:pos="2268"/>
        </w:tabs>
        <w:rPr>
          <w:b/>
          <w:sz w:val="32"/>
          <w:szCs w:val="32"/>
        </w:rPr>
      </w:pPr>
    </w:p>
    <w:p w14:paraId="067FD8F0" w14:textId="2AAC5C1D" w:rsidR="001F6C00" w:rsidRDefault="001F6C00" w:rsidP="00D160DC">
      <w:pPr>
        <w:pStyle w:val="SingleTxtG"/>
        <w:tabs>
          <w:tab w:val="left" w:pos="2268"/>
        </w:tabs>
        <w:rPr>
          <w:b/>
          <w:sz w:val="32"/>
          <w:szCs w:val="32"/>
        </w:rPr>
      </w:pPr>
    </w:p>
    <w:p w14:paraId="116292C2" w14:textId="77777777" w:rsidR="000116B7" w:rsidRDefault="000116B7" w:rsidP="00D160DC">
      <w:pPr>
        <w:pStyle w:val="SingleTxtG"/>
        <w:tabs>
          <w:tab w:val="left" w:pos="2268"/>
        </w:tabs>
        <w:rPr>
          <w:b/>
          <w:sz w:val="32"/>
          <w:szCs w:val="32"/>
        </w:rPr>
      </w:pPr>
    </w:p>
    <w:p w14:paraId="06A536FF" w14:textId="77777777" w:rsidR="000116B7" w:rsidRDefault="000116B7" w:rsidP="00D160DC">
      <w:pPr>
        <w:pStyle w:val="SingleTxtG"/>
        <w:tabs>
          <w:tab w:val="left" w:pos="2268"/>
        </w:tabs>
        <w:rPr>
          <w:b/>
          <w:sz w:val="32"/>
          <w:szCs w:val="32"/>
        </w:rPr>
      </w:pPr>
    </w:p>
    <w:p w14:paraId="1B635CA3" w14:textId="78CC5ECE" w:rsidR="000116B7" w:rsidRDefault="000116B7">
      <w:pPr>
        <w:suppressAutoHyphens w:val="0"/>
        <w:spacing w:line="240" w:lineRule="auto"/>
        <w:rPr>
          <w:b/>
          <w:sz w:val="32"/>
          <w:szCs w:val="32"/>
        </w:rPr>
      </w:pPr>
      <w:r>
        <w:rPr>
          <w:b/>
          <w:sz w:val="32"/>
          <w:szCs w:val="32"/>
        </w:rPr>
        <w:br w:type="page"/>
      </w:r>
    </w:p>
    <w:p w14:paraId="62721102" w14:textId="25B2CB78" w:rsidR="00FA5BB8" w:rsidRDefault="006A4A60" w:rsidP="00EE2B61">
      <w:pPr>
        <w:pStyle w:val="PlainText"/>
        <w:spacing w:after="120"/>
        <w:ind w:left="2268" w:right="1134" w:hanging="1134"/>
        <w:jc w:val="both"/>
        <w:rPr>
          <w:rFonts w:cs="Times New Roman"/>
        </w:rPr>
      </w:pPr>
      <w:r w:rsidRPr="008941B2">
        <w:rPr>
          <w:b/>
          <w:noProof/>
          <w:sz w:val="32"/>
          <w:szCs w:val="32"/>
        </w:rPr>
        <w:lastRenderedPageBreak/>
        <mc:AlternateContent>
          <mc:Choice Requires="wps">
            <w:drawing>
              <wp:anchor distT="0" distB="0" distL="114300" distR="114300" simplePos="0" relativeHeight="251660288" behindDoc="0" locked="0" layoutInCell="1" allowOverlap="1" wp14:anchorId="7AB0787F" wp14:editId="150D1092">
                <wp:simplePos x="0" y="0"/>
                <wp:positionH relativeFrom="column">
                  <wp:posOffset>243840</wp:posOffset>
                </wp:positionH>
                <wp:positionV relativeFrom="paragraph">
                  <wp:posOffset>-123825</wp:posOffset>
                </wp:positionV>
                <wp:extent cx="1660550" cy="432181"/>
                <wp:effectExtent l="0" t="0" r="0" b="0"/>
                <wp:wrapNone/>
                <wp:docPr id="10" name="Textfeld 4"/>
                <wp:cNvGraphicFramePr/>
                <a:graphic xmlns:a="http://schemas.openxmlformats.org/drawingml/2006/main">
                  <a:graphicData uri="http://schemas.microsoft.com/office/word/2010/wordprocessingShape">
                    <wps:wsp>
                      <wps:cNvSpPr txBox="1"/>
                      <wps:spPr>
                        <a:xfrm>
                          <a:off x="0" y="0"/>
                          <a:ext cx="1660550" cy="432181"/>
                        </a:xfrm>
                        <a:prstGeom prst="rect">
                          <a:avLst/>
                        </a:prstGeom>
                        <a:noFill/>
                      </wps:spPr>
                      <wps:txbx>
                        <w:txbxContent>
                          <w:p w14:paraId="01E38EB9" w14:textId="77777777" w:rsidR="001F6C00" w:rsidRPr="008941B2" w:rsidRDefault="003C48C9" w:rsidP="001F6C00">
                            <w:pPr>
                              <w:rPr>
                                <w:rFonts w:ascii="Cambria Math" w:hAnsi="+mn-cs" w:cstheme="minorBidi" w:hint="eastAsia"/>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B0787F" id="_x0000_t202" coordsize="21600,21600" o:spt="202" path="m,l,21600r21600,l21600,xe">
                <v:stroke joinstyle="miter"/>
                <v:path gradientshapeok="t" o:connecttype="rect"/>
              </v:shapetype>
              <v:shape id="Textfeld 4" o:spid="_x0000_s1026" type="#_x0000_t202" style="position:absolute;left:0;text-align:left;margin-left:19.2pt;margin-top:-9.75pt;width:130.75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" filled="f" stroked="f">
                <v:textbox inset="11mm,0,0,0">
                  <w:txbxContent>
                    <w:p w14:paraId="01E38EB9" w14:textId="77777777" w:rsidR="001F6C00" w:rsidRPr="008941B2" w:rsidRDefault="003C48C9" w:rsidP="001F6C00">
                      <w:pPr>
                        <w:rPr>
                          <w:rFonts w:ascii="Cambria Math" w:hAnsi="+mn-cs" w:cstheme="minorBidi" w:hint="eastAsia"/>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62E00BF7" wp14:editId="40C87200">
            <wp:extent cx="3997233" cy="42120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91" b="8205"/>
                    <a:stretch/>
                  </pic:blipFill>
                  <pic:spPr bwMode="auto">
                    <a:xfrm>
                      <a:off x="0" y="0"/>
                      <a:ext cx="4000706" cy="4215659"/>
                    </a:xfrm>
                    <a:prstGeom prst="rect">
                      <a:avLst/>
                    </a:prstGeom>
                    <a:ln>
                      <a:noFill/>
                    </a:ln>
                    <a:extLst>
                      <a:ext uri="{53640926-AAD7-44D8-BBD7-CCE9431645EC}">
                        <a14:shadowObscured xmlns:a14="http://schemas.microsoft.com/office/drawing/2010/main"/>
                      </a:ext>
                    </a:extLst>
                  </pic:spPr>
                </pic:pic>
              </a:graphicData>
            </a:graphic>
          </wp:inline>
        </w:drawing>
      </w:r>
    </w:p>
    <w:p w14:paraId="67FEF073" w14:textId="7774B9FF" w:rsidR="000116B7" w:rsidRDefault="000116B7" w:rsidP="009A4ED1">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51A3B6E7" w14:textId="77777777" w:rsidR="00847033" w:rsidRDefault="00847033" w:rsidP="00F539F1">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040594EC" w14:textId="77777777" w:rsidR="000116B7" w:rsidRDefault="000116B7" w:rsidP="000116B7">
      <w:pPr>
        <w:pStyle w:val="Heading1"/>
      </w:pPr>
      <w:r>
        <w:t>Diagram </w:t>
      </w:r>
      <w:proofErr w:type="gramStart"/>
      <w:r>
        <w:t>4A</w:t>
      </w:r>
      <w:proofErr w:type="gramEnd"/>
    </w:p>
    <w:p w14:paraId="652EDC1A" w14:textId="77777777" w:rsidR="000116B7" w:rsidRPr="00BE5003" w:rsidRDefault="000116B7" w:rsidP="000116B7">
      <w:pPr>
        <w:pStyle w:val="Heading1"/>
        <w:rPr>
          <w:b/>
        </w:rPr>
      </w:pPr>
      <w:r w:rsidRPr="00BE5003">
        <w:rPr>
          <w:b/>
        </w:rPr>
        <w:t>Semi-trailers</w:t>
      </w:r>
    </w:p>
    <w:p w14:paraId="0E737CCF" w14:textId="77777777" w:rsidR="00004723" w:rsidRDefault="000116B7" w:rsidP="00004723">
      <w:pPr>
        <w:pStyle w:val="SingleTxtG"/>
        <w:spacing w:after="240"/>
        <w:rPr>
          <w:bCs/>
          <w:i/>
          <w:iCs/>
          <w:noProof/>
          <w:u w:val="single"/>
        </w:rPr>
      </w:pPr>
      <w:r>
        <w:t>(</w:t>
      </w:r>
      <w:proofErr w:type="gramStart"/>
      <w:r>
        <w:t>see</w:t>
      </w:r>
      <w:proofErr w:type="gramEnd"/>
      <w:r>
        <w:t xml:space="preserve"> paragraph 4. of this annex)</w:t>
      </w:r>
      <w:r w:rsidR="00F7588C" w:rsidRPr="00F7588C">
        <w:rPr>
          <w:bCs/>
          <w:i/>
          <w:iCs/>
          <w:noProof/>
          <w:u w:val="single"/>
        </w:rPr>
        <w:t xml:space="preserve"> </w:t>
      </w:r>
    </w:p>
    <w:p w14:paraId="51BEBE64" w14:textId="7DA06C9B" w:rsidR="000116B7" w:rsidRDefault="00F7588C" w:rsidP="00004723">
      <w:pPr>
        <w:pStyle w:val="SingleTxtG"/>
        <w:spacing w:after="240"/>
      </w:pPr>
      <w:r w:rsidRPr="00BB5E03">
        <w:rPr>
          <w:bCs/>
          <w:i/>
          <w:iCs/>
          <w:noProof/>
          <w:u w:val="single"/>
        </w:rPr>
        <w:drawing>
          <wp:inline distT="0" distB="0" distL="0" distR="0" wp14:anchorId="452D9873" wp14:editId="5CFDBDFC">
            <wp:extent cx="3472115" cy="3744000"/>
            <wp:effectExtent l="0" t="0" r="0" b="8890"/>
            <wp:docPr id="1475343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9404" b="-1186"/>
                    <a:stretch/>
                  </pic:blipFill>
                  <pic:spPr bwMode="auto">
                    <a:xfrm>
                      <a:off x="0" y="0"/>
                      <a:ext cx="3472115" cy="3744000"/>
                    </a:xfrm>
                    <a:prstGeom prst="rect">
                      <a:avLst/>
                    </a:prstGeom>
                    <a:ln>
                      <a:noFill/>
                    </a:ln>
                    <a:extLst>
                      <a:ext uri="{53640926-AAD7-44D8-BBD7-CCE9431645EC}">
                        <a14:shadowObscured xmlns:a14="http://schemas.microsoft.com/office/drawing/2010/main"/>
                      </a:ext>
                    </a:extLst>
                  </pic:spPr>
                </pic:pic>
              </a:graphicData>
            </a:graphic>
          </wp:inline>
        </w:drawing>
      </w:r>
    </w:p>
    <w:p w14:paraId="058C9DA0" w14:textId="050D4E70" w:rsidR="00227522" w:rsidRPr="00227522" w:rsidRDefault="00227522" w:rsidP="006757CD">
      <w:pPr>
        <w:pStyle w:val="PlainText"/>
        <w:spacing w:after="240"/>
        <w:ind w:left="2268" w:right="1134" w:hanging="1134"/>
        <w:jc w:val="both"/>
        <w:rPr>
          <w:rFonts w:cs="Times New Roman"/>
          <w:i/>
          <w:iCs/>
        </w:rPr>
      </w:pPr>
      <w:r>
        <w:rPr>
          <w:rFonts w:cs="Times New Roman"/>
          <w:i/>
          <w:iCs/>
        </w:rPr>
        <w:lastRenderedPageBreak/>
        <w:t xml:space="preserve">Insert a new diagram 5, </w:t>
      </w:r>
      <w:r w:rsidRPr="00227522">
        <w:rPr>
          <w:rFonts w:cs="Times New Roman"/>
        </w:rPr>
        <w:t>as follow:</w:t>
      </w:r>
      <w:r>
        <w:rPr>
          <w:rFonts w:cs="Times New Roman"/>
          <w:i/>
          <w:iCs/>
        </w:rPr>
        <w:t xml:space="preserve"> </w:t>
      </w:r>
    </w:p>
    <w:bookmarkEnd w:id="3"/>
    <w:bookmarkEnd w:id="4"/>
    <w:bookmarkEnd w:id="5"/>
    <w:p w14:paraId="7E704907" w14:textId="77777777" w:rsidR="00F04D5C" w:rsidRPr="00616A4A" w:rsidRDefault="00F04D5C" w:rsidP="00F04D5C">
      <w:pPr>
        <w:spacing w:line="240" w:lineRule="auto"/>
        <w:ind w:left="1134"/>
        <w:rPr>
          <w:b/>
          <w:bCs/>
          <w:lang w:val="en-US"/>
        </w:rPr>
      </w:pPr>
      <w:r w:rsidRPr="00616A4A">
        <w:rPr>
          <w:b/>
          <w:bCs/>
          <w:lang w:val="en-US"/>
        </w:rPr>
        <w:t>Diagram 5</w:t>
      </w:r>
    </w:p>
    <w:p w14:paraId="34AE9B90" w14:textId="77777777" w:rsidR="00F04D5C" w:rsidRPr="00616A4A" w:rsidRDefault="00F04D5C" w:rsidP="00F04D5C">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2992AD45" w14:textId="4579D8D4" w:rsidR="00F04D5C" w:rsidRPr="00616A4A" w:rsidRDefault="00F04D5C" w:rsidP="00F04D5C">
      <w:pPr>
        <w:spacing w:line="240" w:lineRule="auto"/>
        <w:ind w:left="1134"/>
        <w:rPr>
          <w:b/>
          <w:bCs/>
          <w:lang w:val="en-US"/>
        </w:rPr>
      </w:pPr>
      <w:r w:rsidRPr="00616A4A">
        <w:rPr>
          <w:b/>
          <w:bCs/>
          <w:lang w:val="en-US"/>
        </w:rPr>
        <w:t>(see paragraph 5 of this annex)</w:t>
      </w:r>
    </w:p>
    <w:p w14:paraId="3432E3C5" w14:textId="1B22144E" w:rsidR="001004CC" w:rsidRPr="00393237" w:rsidRDefault="006A4A60" w:rsidP="00F04D5C">
      <w:pPr>
        <w:pStyle w:val="HChG"/>
        <w:tabs>
          <w:tab w:val="clear" w:pos="851"/>
          <w:tab w:val="left" w:pos="1207"/>
        </w:tabs>
        <w:ind w:hanging="567"/>
      </w:pPr>
      <w:r w:rsidRPr="00A90AE3">
        <w:rPr>
          <w:noProof/>
        </w:rPr>
        <w:drawing>
          <wp:anchor distT="0" distB="0" distL="114300" distR="114300" simplePos="0" relativeHeight="251664384" behindDoc="0" locked="0" layoutInCell="1" allowOverlap="1" wp14:anchorId="6FE84003" wp14:editId="08F50D96">
            <wp:simplePos x="0" y="0"/>
            <wp:positionH relativeFrom="margin">
              <wp:posOffset>623224</wp:posOffset>
            </wp:positionH>
            <wp:positionV relativeFrom="page">
              <wp:posOffset>1766397</wp:posOffset>
            </wp:positionV>
            <wp:extent cx="3602990" cy="3916680"/>
            <wp:effectExtent l="0" t="0" r="0" b="7620"/>
            <wp:wrapTopAndBottom/>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02990" cy="3916680"/>
                    </a:xfrm>
                    <a:prstGeom prst="rect">
                      <a:avLst/>
                    </a:prstGeom>
                  </pic:spPr>
                </pic:pic>
              </a:graphicData>
            </a:graphic>
            <wp14:sizeRelH relativeFrom="margin">
              <wp14:pctWidth>0</wp14:pctWidth>
            </wp14:sizeRelH>
            <wp14:sizeRelV relativeFrom="margin">
              <wp14:pctHeight>0</wp14:pctHeight>
            </wp14:sizeRelV>
          </wp:anchor>
        </w:drawing>
      </w:r>
      <w:r w:rsidR="00A231BD">
        <w:t>II.</w:t>
      </w:r>
      <w:r w:rsidR="00A231BD">
        <w:tab/>
      </w:r>
      <w:r w:rsidR="001004CC" w:rsidRPr="00393237">
        <w:t>Justification</w:t>
      </w:r>
    </w:p>
    <w:p w14:paraId="6D74B8AD" w14:textId="0BFEB531" w:rsidR="00846724" w:rsidRDefault="00776D5D" w:rsidP="00846724">
      <w:pPr>
        <w:pStyle w:val="SingleTxtG"/>
      </w:pPr>
      <w:bookmarkStart w:id="6" w:name="_Hlk19813127"/>
      <w:bookmarkStart w:id="7" w:name="_Hlk162795370"/>
      <w:r>
        <w:t>1.</w:t>
      </w:r>
      <w:r>
        <w:tab/>
      </w:r>
      <w:r w:rsidR="00846724" w:rsidRPr="00834DA2">
        <w:t xml:space="preserve">Annex </w:t>
      </w:r>
      <w:r w:rsidR="00846724">
        <w:t>10</w:t>
      </w:r>
      <w:r w:rsidR="00846724" w:rsidRPr="00834DA2">
        <w:t xml:space="preserve">, paragraph </w:t>
      </w:r>
      <w:r w:rsidR="00846724">
        <w:t>1.1</w:t>
      </w:r>
      <w:r w:rsidR="00FA00D8">
        <w:t>.</w:t>
      </w:r>
      <w:r w:rsidR="00846724" w:rsidRPr="00834DA2">
        <w:t xml:space="preserve"> of Regulation No. </w:t>
      </w:r>
      <w:r w:rsidR="00846724">
        <w:t xml:space="preserve">13 defines the </w:t>
      </w:r>
      <w:r w:rsidR="00846724" w:rsidRPr="001A1B87">
        <w:t>requirements for compatibility between towing vehicles and</w:t>
      </w:r>
      <w:r w:rsidR="00846724">
        <w:t xml:space="preserve"> t</w:t>
      </w:r>
      <w:r w:rsidR="00846724" w:rsidRPr="001A1B87">
        <w:t>railers</w:t>
      </w:r>
      <w:r w:rsidR="00846724">
        <w:t>.</w:t>
      </w:r>
    </w:p>
    <w:p w14:paraId="31DDA79B" w14:textId="06C3F351" w:rsidR="00846724" w:rsidRDefault="00776D5D" w:rsidP="00846724">
      <w:pPr>
        <w:pStyle w:val="SingleTxtG"/>
        <w:rPr>
          <w:lang w:val="en-US"/>
        </w:rPr>
      </w:pPr>
      <w:r>
        <w:rPr>
          <w:lang w:val="en-US"/>
        </w:rPr>
        <w:t>2.</w:t>
      </w:r>
      <w:r>
        <w:rPr>
          <w:lang w:val="en-US"/>
        </w:rPr>
        <w:tab/>
      </w:r>
      <w:r w:rsidR="00846724" w:rsidRPr="330AC7DB">
        <w:rPr>
          <w:lang w:val="en-US"/>
        </w:rPr>
        <w:t>The compatibility bands were created more than 50 years ago when antilock braking systems were not available. The goal was to have a similar brake performance of both towing vehicles and trailers and to reach simultaneously locking of wheels of both towing vehicle and trailer to ensure best stability of the combination​. Truck and trailer</w:t>
      </w:r>
      <w:r w:rsidR="00846724">
        <w:rPr>
          <w:lang w:val="en-US"/>
        </w:rPr>
        <w:t xml:space="preserve"> axles</w:t>
      </w:r>
      <w:r w:rsidR="00846724" w:rsidRPr="330AC7DB">
        <w:rPr>
          <w:lang w:val="en-US"/>
        </w:rPr>
        <w:t xml:space="preserve"> shall decelerate their own portion of mass.</w:t>
      </w:r>
    </w:p>
    <w:p w14:paraId="1F73A85F" w14:textId="3904C0C0" w:rsidR="00846724" w:rsidRDefault="00776D5D" w:rsidP="00846724">
      <w:pPr>
        <w:pStyle w:val="SingleTxtG"/>
        <w:rPr>
          <w:lang w:val="en-US"/>
        </w:rPr>
      </w:pPr>
      <w:r>
        <w:rPr>
          <w:lang w:val="en-US"/>
        </w:rPr>
        <w:t>3.</w:t>
      </w:r>
      <w:r>
        <w:rPr>
          <w:lang w:val="en-US"/>
        </w:rPr>
        <w:tab/>
      </w:r>
      <w:r w:rsidR="00846724" w:rsidRPr="001A1B87">
        <w:rPr>
          <w:lang w:val="en-US"/>
        </w:rPr>
        <w:t xml:space="preserve">For </w:t>
      </w:r>
      <w:r w:rsidR="00846724">
        <w:rPr>
          <w:lang w:val="en-US"/>
        </w:rPr>
        <w:t>towing vehicles and</w:t>
      </w:r>
      <w:r w:rsidR="00846724" w:rsidRPr="001A1B87">
        <w:rPr>
          <w:lang w:val="en-US"/>
        </w:rPr>
        <w:t xml:space="preserve"> </w:t>
      </w:r>
      <w:r w:rsidR="00846724">
        <w:rPr>
          <w:lang w:val="en-US"/>
        </w:rPr>
        <w:t>t</w:t>
      </w:r>
      <w:r w:rsidR="00846724" w:rsidRPr="001A1B87">
        <w:rPr>
          <w:lang w:val="en-US"/>
        </w:rPr>
        <w:t xml:space="preserve">railers with </w:t>
      </w:r>
      <w:r w:rsidR="00846724">
        <w:rPr>
          <w:lang w:val="en-US"/>
        </w:rPr>
        <w:t>Antilock Braking Systems (</w:t>
      </w:r>
      <w:r w:rsidR="00846724" w:rsidRPr="001A1B87">
        <w:rPr>
          <w:lang w:val="en-US"/>
        </w:rPr>
        <w:t>ABS</w:t>
      </w:r>
      <w:r w:rsidR="00846724">
        <w:rPr>
          <w:lang w:val="en-US"/>
        </w:rPr>
        <w:t>)</w:t>
      </w:r>
      <w:r w:rsidR="00846724" w:rsidRPr="001A1B87">
        <w:rPr>
          <w:lang w:val="en-US"/>
        </w:rPr>
        <w:t xml:space="preserve"> </w:t>
      </w:r>
      <w:r w:rsidR="00846724">
        <w:rPr>
          <w:lang w:val="en-US"/>
        </w:rPr>
        <w:t xml:space="preserve">an exemption has been implemented. These vehicles do not need to fulfill the unladen compatibility bands, because the Antilock Braking Systems will avoid locking of wheels and ensure vehicle stability even with full brake application under all load conditions. </w:t>
      </w:r>
    </w:p>
    <w:p w14:paraId="330F0DCB" w14:textId="34F182C8" w:rsidR="00846724" w:rsidRPr="00776D5D" w:rsidRDefault="00776D5D" w:rsidP="00776D5D">
      <w:pPr>
        <w:suppressAutoHyphens w:val="0"/>
        <w:spacing w:after="120"/>
        <w:ind w:left="567" w:firstLine="567"/>
        <w:rPr>
          <w:lang w:val="en-US"/>
        </w:rPr>
      </w:pPr>
      <w:r w:rsidRPr="00776D5D">
        <w:rPr>
          <w:lang w:val="en-US"/>
        </w:rPr>
        <w:t>4.</w:t>
      </w:r>
      <w:r w:rsidRPr="00776D5D">
        <w:rPr>
          <w:lang w:val="en-US"/>
        </w:rPr>
        <w:tab/>
      </w:r>
      <w:r w:rsidR="00846724" w:rsidRPr="00776D5D">
        <w:rPr>
          <w:lang w:val="en-US"/>
        </w:rPr>
        <w:t>Problem:</w:t>
      </w:r>
    </w:p>
    <w:p w14:paraId="6390F0F2" w14:textId="37D6866D" w:rsidR="00846724" w:rsidRDefault="00776D5D" w:rsidP="00846724">
      <w:pPr>
        <w:pStyle w:val="SingleTxtG"/>
        <w:rPr>
          <w:lang w:val="en-US"/>
        </w:rPr>
      </w:pPr>
      <w:r>
        <w:rPr>
          <w:lang w:val="en-US"/>
        </w:rPr>
        <w:t>(a)</w:t>
      </w:r>
      <w:r>
        <w:rPr>
          <w:lang w:val="en-US"/>
        </w:rPr>
        <w:tab/>
      </w:r>
      <w:r w:rsidR="00846724">
        <w:rPr>
          <w:lang w:val="en-US"/>
        </w:rPr>
        <w:t xml:space="preserve">The number of trucks with strong endurance braking systems is increasing since a long time. With increasing electrification of vehicles more highly efficient energy recuperating systems will be installed in future. This leads to the situation that the use of friction brakes is more and more reduced. </w:t>
      </w:r>
    </w:p>
    <w:p w14:paraId="4A7869B3" w14:textId="475B4988" w:rsidR="00846724" w:rsidRDefault="00776D5D" w:rsidP="00846724">
      <w:pPr>
        <w:pStyle w:val="SingleTxtG"/>
        <w:rPr>
          <w:lang w:val="en-US"/>
        </w:rPr>
      </w:pPr>
      <w:r>
        <w:rPr>
          <w:lang w:val="en-US"/>
        </w:rPr>
        <w:t>(b)</w:t>
      </w:r>
      <w:r>
        <w:rPr>
          <w:lang w:val="en-US"/>
        </w:rPr>
        <w:tab/>
      </w:r>
      <w:r w:rsidR="00846724">
        <w:rPr>
          <w:lang w:val="en-US"/>
        </w:rPr>
        <w:t xml:space="preserve">Depending on the use of the commercial vehicle, brake pads and linings often do not reach a temperature that is needed for the development of optimum brake performance. In particular in trailers a loss of </w:t>
      </w:r>
      <w:r w:rsidR="00846724" w:rsidRPr="001A1B87">
        <w:rPr>
          <w:lang w:val="en-US"/>
        </w:rPr>
        <w:t>brak</w:t>
      </w:r>
      <w:r w:rsidR="00846724">
        <w:rPr>
          <w:lang w:val="en-US"/>
        </w:rPr>
        <w:t>e</w:t>
      </w:r>
      <w:r w:rsidR="00846724" w:rsidRPr="001A1B87">
        <w:rPr>
          <w:lang w:val="en-US"/>
        </w:rPr>
        <w:t xml:space="preserve"> force</w:t>
      </w:r>
      <w:r w:rsidR="00846724">
        <w:rPr>
          <w:lang w:val="en-US"/>
        </w:rPr>
        <w:t xml:space="preserve"> is experienced due to brake pads and linings that lose their performance - they “fall asleep” and need to be replaced although they are not worn out.</w:t>
      </w:r>
    </w:p>
    <w:p w14:paraId="087BE68D" w14:textId="4B071692" w:rsidR="00846724" w:rsidRPr="001A1B87" w:rsidRDefault="00776D5D" w:rsidP="00846724">
      <w:pPr>
        <w:pStyle w:val="SingleTxtG"/>
        <w:rPr>
          <w:lang w:val="en-US"/>
        </w:rPr>
      </w:pPr>
      <w:r>
        <w:rPr>
          <w:lang w:val="en-US"/>
        </w:rPr>
        <w:lastRenderedPageBreak/>
        <w:t>(c)</w:t>
      </w:r>
      <w:r>
        <w:rPr>
          <w:lang w:val="en-US"/>
        </w:rPr>
        <w:tab/>
      </w:r>
      <w:r w:rsidR="00846724">
        <w:rPr>
          <w:lang w:val="en-US"/>
        </w:rPr>
        <w:t>On the other hand, t</w:t>
      </w:r>
      <w:r w:rsidR="00846724" w:rsidRPr="3070EEC0">
        <w:rPr>
          <w:lang w:val="en-US"/>
        </w:rPr>
        <w:t>he maxim</w:t>
      </w:r>
      <w:r w:rsidR="00846724">
        <w:rPr>
          <w:lang w:val="en-US"/>
        </w:rPr>
        <w:t>um</w:t>
      </w:r>
      <w:r w:rsidR="00846724" w:rsidRPr="3070EEC0">
        <w:rPr>
          <w:lang w:val="en-US"/>
        </w:rPr>
        <w:t xml:space="preserve"> brake force</w:t>
      </w:r>
      <w:r>
        <w:rPr>
          <w:lang w:val="en-US"/>
        </w:rPr>
        <w:t>,</w:t>
      </w:r>
      <w:r w:rsidR="00846724" w:rsidRPr="3070EEC0">
        <w:rPr>
          <w:lang w:val="en-US"/>
        </w:rPr>
        <w:t xml:space="preserve"> which </w:t>
      </w:r>
      <w:r w:rsidR="00846724">
        <w:rPr>
          <w:lang w:val="en-US"/>
        </w:rPr>
        <w:t>may</w:t>
      </w:r>
      <w:r w:rsidR="00846724" w:rsidRPr="3070EEC0">
        <w:rPr>
          <w:lang w:val="en-US"/>
        </w:rPr>
        <w:t xml:space="preserve"> be installed in </w:t>
      </w:r>
      <w:r w:rsidR="00846724" w:rsidRPr="005B6A67">
        <w:rPr>
          <w:lang w:val="en-US"/>
        </w:rPr>
        <w:t>trailer</w:t>
      </w:r>
      <w:r w:rsidR="00846724" w:rsidRPr="3070EEC0">
        <w:rPr>
          <w:lang w:val="en-US"/>
        </w:rPr>
        <w:t xml:space="preserve">s is limited by the upper </w:t>
      </w:r>
      <w:r w:rsidR="00846724">
        <w:rPr>
          <w:lang w:val="en-US"/>
        </w:rPr>
        <w:t xml:space="preserve">line </w:t>
      </w:r>
      <w:r w:rsidR="00846724" w:rsidRPr="3070EEC0">
        <w:rPr>
          <w:lang w:val="en-US"/>
        </w:rPr>
        <w:t xml:space="preserve">of the compatibility band​ as </w:t>
      </w:r>
      <w:r w:rsidR="00846724">
        <w:rPr>
          <w:lang w:val="en-US"/>
        </w:rPr>
        <w:t xml:space="preserve">currently </w:t>
      </w:r>
      <w:r w:rsidR="00846724" w:rsidRPr="3070EEC0">
        <w:rPr>
          <w:lang w:val="en-US"/>
        </w:rPr>
        <w:t>shown in</w:t>
      </w:r>
      <w:r w:rsidR="00846724" w:rsidRPr="3070EEC0">
        <w:t xml:space="preserve"> diagrams 2</w:t>
      </w:r>
      <w:r w:rsidR="00846724">
        <w:t xml:space="preserve"> (for truck and </w:t>
      </w:r>
      <w:proofErr w:type="gramStart"/>
      <w:r w:rsidR="00846724">
        <w:t>full-trailer</w:t>
      </w:r>
      <w:proofErr w:type="gramEnd"/>
      <w:r w:rsidR="00846724">
        <w:t>) and</w:t>
      </w:r>
      <w:r w:rsidR="00846724" w:rsidRPr="3070EEC0">
        <w:t xml:space="preserve"> 4</w:t>
      </w:r>
      <w:r w:rsidR="00846724">
        <w:t>A</w:t>
      </w:r>
      <w:r w:rsidR="00846724" w:rsidRPr="3070EEC0">
        <w:rPr>
          <w:lang w:val="en-US"/>
        </w:rPr>
        <w:t xml:space="preserve"> </w:t>
      </w:r>
      <w:r w:rsidR="00846724">
        <w:rPr>
          <w:lang w:val="en-US"/>
        </w:rPr>
        <w:t xml:space="preserve">(for semi-trailer) </w:t>
      </w:r>
      <w:r w:rsidR="00846724" w:rsidRPr="3070EEC0">
        <w:rPr>
          <w:lang w:val="en-US"/>
        </w:rPr>
        <w:t xml:space="preserve">of Annex 10. </w:t>
      </w:r>
    </w:p>
    <w:p w14:paraId="4548D2D8" w14:textId="54786EF7" w:rsidR="00776D5D" w:rsidRDefault="00776D5D" w:rsidP="00776D5D">
      <w:pPr>
        <w:spacing w:after="120"/>
        <w:ind w:left="1134"/>
        <w:jc w:val="both"/>
        <w:rPr>
          <w:lang w:val="en-US"/>
        </w:rPr>
      </w:pPr>
      <w:r>
        <w:rPr>
          <w:lang w:val="en-US"/>
        </w:rPr>
        <w:t>5.</w:t>
      </w:r>
      <w:r>
        <w:rPr>
          <w:lang w:val="en-US"/>
        </w:rPr>
        <w:tab/>
      </w:r>
      <w:r w:rsidR="00846724" w:rsidRPr="00776D5D">
        <w:rPr>
          <w:lang w:val="en-US"/>
        </w:rPr>
        <w:t xml:space="preserve">Solution: </w:t>
      </w:r>
    </w:p>
    <w:p w14:paraId="39869684" w14:textId="77777777" w:rsidR="00776D5D" w:rsidRDefault="00776D5D" w:rsidP="00776D5D">
      <w:pPr>
        <w:pStyle w:val="SingleTxtG"/>
        <w:rPr>
          <w:lang w:val="en-US"/>
        </w:rPr>
      </w:pPr>
      <w:r>
        <w:rPr>
          <w:lang w:val="en-US"/>
        </w:rPr>
        <w:t>(a)</w:t>
      </w:r>
      <w:r>
        <w:rPr>
          <w:lang w:val="en-US"/>
        </w:rPr>
        <w:tab/>
      </w:r>
      <w:r w:rsidR="00846724" w:rsidRPr="35CE0393">
        <w:rPr>
          <w:lang w:val="en-US"/>
        </w:rPr>
        <w:t xml:space="preserve">Extension of the compatibility </w:t>
      </w:r>
      <w:r w:rsidR="00846724" w:rsidRPr="35CE0393">
        <w:rPr>
          <w:color w:val="000000" w:themeColor="text1"/>
          <w:lang w:val="en-US"/>
        </w:rPr>
        <w:t>bands at higher control pressure (p</w:t>
      </w:r>
      <w:r w:rsidR="00846724" w:rsidRPr="00076A04">
        <w:rPr>
          <w:color w:val="000000" w:themeColor="text1"/>
          <w:vertAlign w:val="subscript"/>
          <w:lang w:val="en-US"/>
        </w:rPr>
        <w:t>m</w:t>
      </w:r>
      <w:r w:rsidR="00846724" w:rsidRPr="35CE0393">
        <w:rPr>
          <w:color w:val="000000" w:themeColor="text1"/>
          <w:lang w:val="en-US"/>
        </w:rPr>
        <w:t xml:space="preserve"> </w:t>
      </w:r>
      <w:r w:rsidR="00846724" w:rsidRPr="35CE0393">
        <w:rPr>
          <w:b/>
          <w:bCs/>
          <w:color w:val="000000" w:themeColor="text1"/>
        </w:rPr>
        <w:t>≥</w:t>
      </w:r>
      <w:r w:rsidR="00846724" w:rsidRPr="35CE0393">
        <w:rPr>
          <w:color w:val="000000" w:themeColor="text1"/>
          <w:lang w:val="en-US"/>
        </w:rPr>
        <w:t xml:space="preserve"> </w:t>
      </w:r>
      <w:r w:rsidR="00846724">
        <w:rPr>
          <w:color w:val="000000" w:themeColor="text1"/>
          <w:lang w:val="en-US"/>
        </w:rPr>
        <w:t>50</w:t>
      </w:r>
      <w:r w:rsidR="00846724" w:rsidRPr="35CE0393">
        <w:rPr>
          <w:color w:val="000000" w:themeColor="text1"/>
          <w:lang w:val="en-US"/>
        </w:rPr>
        <w:t xml:space="preserve">0 kPa) by modification of </w:t>
      </w:r>
      <w:r w:rsidR="00846724">
        <w:rPr>
          <w:lang w:val="en-US"/>
        </w:rPr>
        <w:t>d</w:t>
      </w:r>
      <w:r w:rsidR="00846724" w:rsidRPr="00D80BEB">
        <w:rPr>
          <w:lang w:val="en-US"/>
        </w:rPr>
        <w:t xml:space="preserve">iagram 4A for semitrailers and adding a new diagram 5 for full trailers instead of using diagram 2 for towing vehicles. </w:t>
      </w:r>
    </w:p>
    <w:p w14:paraId="4EF985B3" w14:textId="3C16E29F" w:rsidR="00776D5D" w:rsidRDefault="00776D5D" w:rsidP="00776D5D">
      <w:pPr>
        <w:pStyle w:val="SingleTxtG"/>
        <w:rPr>
          <w:lang w:val="en-US"/>
        </w:rPr>
      </w:pPr>
      <w:r>
        <w:rPr>
          <w:lang w:val="en-US"/>
        </w:rPr>
        <w:t>(b)</w:t>
      </w:r>
      <w:r>
        <w:rPr>
          <w:lang w:val="en-US"/>
        </w:rPr>
        <w:tab/>
      </w:r>
      <w:r w:rsidR="00846724" w:rsidRPr="00D80BEB">
        <w:rPr>
          <w:lang w:val="en-US"/>
        </w:rPr>
        <w:t xml:space="preserve">This allows </w:t>
      </w:r>
      <w:r w:rsidR="00846724" w:rsidRPr="35CE0393">
        <w:rPr>
          <w:lang w:val="en-US"/>
        </w:rPr>
        <w:t xml:space="preserve">to install ​ stronger brakes with higher brake forces and higher safety margin to compensate for the </w:t>
      </w:r>
      <w:r w:rsidR="00846724">
        <w:rPr>
          <w:lang w:val="en-US"/>
        </w:rPr>
        <w:t xml:space="preserve">possible </w:t>
      </w:r>
      <w:r w:rsidR="00846724" w:rsidRPr="35CE0393">
        <w:rPr>
          <w:lang w:val="en-US"/>
        </w:rPr>
        <w:t xml:space="preserve">loss of brake performance as described above. </w:t>
      </w:r>
    </w:p>
    <w:p w14:paraId="37896401" w14:textId="5500D144" w:rsidR="00846724" w:rsidRDefault="00776D5D" w:rsidP="00776D5D">
      <w:pPr>
        <w:pStyle w:val="SingleTxtG"/>
        <w:rPr>
          <w:lang w:val="en-US"/>
        </w:rPr>
      </w:pPr>
      <w:r>
        <w:rPr>
          <w:lang w:val="en-US"/>
        </w:rPr>
        <w:t>(c)</w:t>
      </w:r>
      <w:r>
        <w:rPr>
          <w:lang w:val="en-US"/>
        </w:rPr>
        <w:tab/>
      </w:r>
      <w:r w:rsidR="00846724" w:rsidRPr="35CE0393">
        <w:rPr>
          <w:lang w:val="en-US"/>
        </w:rPr>
        <w:t>With p</w:t>
      </w:r>
      <w:r w:rsidR="00846724" w:rsidRPr="000418C0">
        <w:rPr>
          <w:vertAlign w:val="subscript"/>
          <w:lang w:val="en-US"/>
        </w:rPr>
        <w:t>m</w:t>
      </w:r>
      <w:r w:rsidR="00846724" w:rsidRPr="35CE0393">
        <w:rPr>
          <w:lang w:val="en-US"/>
        </w:rPr>
        <w:t xml:space="preserve"> &lt; </w:t>
      </w:r>
      <w:r w:rsidR="00846724">
        <w:rPr>
          <w:lang w:val="en-US"/>
        </w:rPr>
        <w:t>50</w:t>
      </w:r>
      <w:r w:rsidR="00846724" w:rsidRPr="35CE0393">
        <w:rPr>
          <w:lang w:val="en-US"/>
        </w:rPr>
        <w:t>0 kPa</w:t>
      </w:r>
      <w:r>
        <w:rPr>
          <w:lang w:val="en-US"/>
        </w:rPr>
        <w:t>,</w:t>
      </w:r>
      <w:r w:rsidR="00846724" w:rsidRPr="35CE0393">
        <w:rPr>
          <w:lang w:val="en-US"/>
        </w:rPr>
        <w:t xml:space="preserve"> the same characteristic as of today will ensure brake compatibility for harmonization of brake forces between towing vehicle and trailer. Higher brake force can be realized e.g. by using next size of brake chambers (e.g. 20” brake chamber instead of 16” which results in 25</w:t>
      </w:r>
      <w:r>
        <w:rPr>
          <w:lang w:val="en-US"/>
        </w:rPr>
        <w:t xml:space="preserve"> per cent</w:t>
      </w:r>
      <w:r w:rsidR="00846724" w:rsidRPr="35CE0393">
        <w:rPr>
          <w:lang w:val="en-US"/>
        </w:rPr>
        <w:t xml:space="preserve"> brake force increase).</w:t>
      </w:r>
    </w:p>
    <w:p w14:paraId="7F0328C7" w14:textId="3BF4D4F4" w:rsidR="00846724" w:rsidRPr="00776D5D" w:rsidRDefault="00776D5D" w:rsidP="00776D5D">
      <w:pPr>
        <w:pStyle w:val="HChG"/>
      </w:pPr>
      <w:r>
        <w:tab/>
      </w:r>
      <w:r w:rsidRPr="00776D5D">
        <w:t>III.</w:t>
      </w:r>
      <w:r w:rsidRPr="00776D5D">
        <w:tab/>
      </w:r>
      <w:r w:rsidR="00846724" w:rsidRPr="00776D5D">
        <w:t>Comparison of proposals</w:t>
      </w:r>
    </w:p>
    <w:p w14:paraId="374069B5" w14:textId="1AA85248" w:rsidR="00846724" w:rsidRDefault="00776D5D" w:rsidP="00776D5D">
      <w:pPr>
        <w:pStyle w:val="SingleTxtG"/>
      </w:pPr>
      <w:r>
        <w:t xml:space="preserve">Changes are </w:t>
      </w:r>
      <w:r w:rsidR="00846724">
        <w:t xml:space="preserve">marked in </w:t>
      </w:r>
      <w:proofErr w:type="gramStart"/>
      <w:r w:rsidR="00846724">
        <w:t>red</w:t>
      </w:r>
      <w:proofErr w:type="gramEnd"/>
    </w:p>
    <w:p w14:paraId="3D2411B5" w14:textId="77777777" w:rsidR="00846724" w:rsidRDefault="00846724" w:rsidP="00846724">
      <w:pPr>
        <w:autoSpaceDE w:val="0"/>
        <w:adjustRightInd w:val="0"/>
        <w:spacing w:line="240" w:lineRule="auto"/>
        <w:rPr>
          <w:iCs/>
          <w:sz w:val="24"/>
          <w:szCs w:val="24"/>
        </w:rPr>
      </w:pPr>
    </w:p>
    <w:p w14:paraId="2BC81523" w14:textId="7083A285" w:rsidR="00846724" w:rsidRPr="00795856" w:rsidRDefault="00846724" w:rsidP="00846724">
      <w:pPr>
        <w:autoSpaceDE w:val="0"/>
        <w:adjustRightInd w:val="0"/>
        <w:spacing w:line="240" w:lineRule="auto"/>
        <w:rPr>
          <w:iCs/>
        </w:rPr>
      </w:pPr>
      <w:r w:rsidRPr="00795856">
        <w:rPr>
          <w:iCs/>
        </w:rPr>
        <w:t>Current Diagram 4A</w:t>
      </w:r>
      <w:r w:rsidR="00795856">
        <w:rPr>
          <w:iCs/>
        </w:rPr>
        <w:tab/>
      </w:r>
      <w:r w:rsidR="00795856">
        <w:rPr>
          <w:iCs/>
        </w:rPr>
        <w:tab/>
      </w:r>
      <w:r w:rsidR="00795856">
        <w:rPr>
          <w:iCs/>
        </w:rPr>
        <w:tab/>
      </w:r>
      <w:r w:rsidR="00795856">
        <w:rPr>
          <w:iCs/>
        </w:rPr>
        <w:tab/>
      </w:r>
      <w:r w:rsidR="00795856">
        <w:rPr>
          <w:iCs/>
        </w:rPr>
        <w:tab/>
      </w:r>
      <w:r w:rsidR="00795856">
        <w:rPr>
          <w:iCs/>
        </w:rPr>
        <w:tab/>
      </w:r>
      <w:r w:rsidR="00795856">
        <w:rPr>
          <w:iCs/>
        </w:rPr>
        <w:tab/>
      </w:r>
      <w:r w:rsidRPr="00795856">
        <w:rPr>
          <w:iCs/>
        </w:rPr>
        <w:t xml:space="preserve">New Diagram 4A </w:t>
      </w:r>
    </w:p>
    <w:p w14:paraId="35DFA506" w14:textId="77777777" w:rsidR="00846724" w:rsidRDefault="00846724" w:rsidP="00846724">
      <w:pPr>
        <w:autoSpaceDE w:val="0"/>
        <w:adjustRightInd w:val="0"/>
        <w:spacing w:line="240" w:lineRule="auto"/>
        <w:rPr>
          <w:iCs/>
          <w:sz w:val="24"/>
          <w:szCs w:val="24"/>
        </w:rPr>
      </w:pPr>
      <w:r w:rsidRPr="0098161D">
        <w:rPr>
          <w:iCs/>
          <w:noProof/>
          <w:sz w:val="24"/>
          <w:szCs w:val="24"/>
        </w:rPr>
        <w:drawing>
          <wp:anchor distT="0" distB="0" distL="114300" distR="114300" simplePos="0" relativeHeight="251669504" behindDoc="0" locked="0" layoutInCell="1" allowOverlap="1" wp14:anchorId="38D528D8" wp14:editId="648CB092">
            <wp:simplePos x="0" y="0"/>
            <wp:positionH relativeFrom="margin">
              <wp:posOffset>3174365</wp:posOffset>
            </wp:positionH>
            <wp:positionV relativeFrom="paragraph">
              <wp:posOffset>385445</wp:posOffset>
            </wp:positionV>
            <wp:extent cx="2581910" cy="3084830"/>
            <wp:effectExtent l="0" t="0" r="8890" b="1270"/>
            <wp:wrapTopAndBottom/>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81910" cy="3084830"/>
                    </a:xfrm>
                    <a:prstGeom prst="rect">
                      <a:avLst/>
                    </a:prstGeom>
                  </pic:spPr>
                </pic:pic>
              </a:graphicData>
            </a:graphic>
            <wp14:sizeRelH relativeFrom="margin">
              <wp14:pctWidth>0</wp14:pctWidth>
            </wp14:sizeRelH>
            <wp14:sizeRelV relativeFrom="margin">
              <wp14:pctHeight>0</wp14:pctHeight>
            </wp14:sizeRelV>
          </wp:anchor>
        </w:drawing>
      </w:r>
      <w:r w:rsidRPr="006700DD">
        <w:rPr>
          <w:iCs/>
          <w:noProof/>
          <w:sz w:val="24"/>
          <w:szCs w:val="24"/>
        </w:rPr>
        <w:drawing>
          <wp:anchor distT="0" distB="0" distL="114300" distR="114300" simplePos="0" relativeHeight="251667456" behindDoc="0" locked="0" layoutInCell="1" allowOverlap="1" wp14:anchorId="045EC389" wp14:editId="428000DD">
            <wp:simplePos x="0" y="0"/>
            <wp:positionH relativeFrom="margin">
              <wp:align>left</wp:align>
            </wp:positionH>
            <wp:positionV relativeFrom="paragraph">
              <wp:posOffset>269240</wp:posOffset>
            </wp:positionV>
            <wp:extent cx="2738755" cy="3238500"/>
            <wp:effectExtent l="0" t="0" r="4445" b="0"/>
            <wp:wrapTopAndBottom/>
            <wp:docPr id="124" name="Grafik 123">
              <a:extLst xmlns:a="http://schemas.openxmlformats.org/drawingml/2006/main">
                <a:ext uri="{FF2B5EF4-FFF2-40B4-BE49-F238E27FC236}">
                  <a16:creationId xmlns:a16="http://schemas.microsoft.com/office/drawing/2014/main" id="{EA7F108D-4ADA-A358-F89C-CCFA522C11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Grafik 123">
                      <a:extLst>
                        <a:ext uri="{FF2B5EF4-FFF2-40B4-BE49-F238E27FC236}">
                          <a16:creationId xmlns:a16="http://schemas.microsoft.com/office/drawing/2014/main" id="{EA7F108D-4ADA-A358-F89C-CCFA522C1102}"/>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38755" cy="3238500"/>
                    </a:xfrm>
                    <a:prstGeom prst="rect">
                      <a:avLst/>
                    </a:prstGeom>
                  </pic:spPr>
                </pic:pic>
              </a:graphicData>
            </a:graphic>
            <wp14:sizeRelH relativeFrom="margin">
              <wp14:pctWidth>0</wp14:pctWidth>
            </wp14:sizeRelH>
            <wp14:sizeRelV relativeFrom="margin">
              <wp14:pctHeight>0</wp14:pctHeight>
            </wp14:sizeRelV>
          </wp:anchor>
        </w:drawing>
      </w:r>
    </w:p>
    <w:p w14:paraId="5FCAB1B1" w14:textId="77777777" w:rsidR="00846724" w:rsidRDefault="00846724" w:rsidP="00846724">
      <w:pPr>
        <w:autoSpaceDE w:val="0"/>
        <w:adjustRightInd w:val="0"/>
        <w:spacing w:line="240" w:lineRule="auto"/>
        <w:rPr>
          <w:iCs/>
          <w:sz w:val="24"/>
          <w:szCs w:val="24"/>
        </w:rPr>
      </w:pPr>
    </w:p>
    <w:p w14:paraId="7E0FBD52" w14:textId="77777777" w:rsidR="00846724" w:rsidRDefault="00846724" w:rsidP="00846724">
      <w:pPr>
        <w:autoSpaceDE w:val="0"/>
        <w:adjustRightInd w:val="0"/>
        <w:spacing w:line="240" w:lineRule="auto"/>
        <w:rPr>
          <w:iCs/>
          <w:sz w:val="24"/>
          <w:szCs w:val="24"/>
        </w:rPr>
      </w:pPr>
    </w:p>
    <w:p w14:paraId="3CDEF3D1" w14:textId="77777777" w:rsidR="00846724" w:rsidRDefault="00846724" w:rsidP="00846724">
      <w:pPr>
        <w:autoSpaceDE w:val="0"/>
        <w:adjustRightInd w:val="0"/>
        <w:spacing w:line="240" w:lineRule="auto"/>
        <w:rPr>
          <w:iCs/>
          <w:sz w:val="24"/>
          <w:szCs w:val="24"/>
        </w:rPr>
      </w:pPr>
    </w:p>
    <w:p w14:paraId="10463747" w14:textId="4D2F1FFC" w:rsidR="0017184A" w:rsidRPr="00795856" w:rsidRDefault="00846724" w:rsidP="00E21331">
      <w:pPr>
        <w:pStyle w:val="SingleTxtG"/>
        <w:ind w:left="0"/>
      </w:pPr>
      <w:r w:rsidRPr="00795856">
        <w:rPr>
          <w:iCs/>
          <w:noProof/>
        </w:rPr>
        <w:lastRenderedPageBreak/>
        <w:drawing>
          <wp:anchor distT="0" distB="0" distL="114300" distR="114300" simplePos="0" relativeHeight="251670528" behindDoc="0" locked="0" layoutInCell="1" allowOverlap="1" wp14:anchorId="43ADEA90" wp14:editId="020C6CB5">
            <wp:simplePos x="0" y="0"/>
            <wp:positionH relativeFrom="column">
              <wp:posOffset>3104899</wp:posOffset>
            </wp:positionH>
            <wp:positionV relativeFrom="paragraph">
              <wp:posOffset>329829</wp:posOffset>
            </wp:positionV>
            <wp:extent cx="2785745" cy="2995295"/>
            <wp:effectExtent l="0" t="0" r="0" b="0"/>
            <wp:wrapTopAndBottom/>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85745" cy="2995295"/>
                    </a:xfrm>
                    <a:prstGeom prst="rect">
                      <a:avLst/>
                    </a:prstGeom>
                  </pic:spPr>
                </pic:pic>
              </a:graphicData>
            </a:graphic>
            <wp14:sizeRelH relativeFrom="margin">
              <wp14:pctWidth>0</wp14:pctWidth>
            </wp14:sizeRelH>
            <wp14:sizeRelV relativeFrom="margin">
              <wp14:pctHeight>0</wp14:pctHeight>
            </wp14:sizeRelV>
          </wp:anchor>
        </w:drawing>
      </w:r>
      <w:r w:rsidRPr="00795856">
        <w:rPr>
          <w:iCs/>
          <w:noProof/>
        </w:rPr>
        <w:drawing>
          <wp:anchor distT="0" distB="0" distL="114300" distR="114300" simplePos="0" relativeHeight="251668480" behindDoc="0" locked="0" layoutInCell="1" allowOverlap="1" wp14:anchorId="31B31FCA" wp14:editId="078B14AB">
            <wp:simplePos x="0" y="0"/>
            <wp:positionH relativeFrom="margin">
              <wp:align>left</wp:align>
            </wp:positionH>
            <wp:positionV relativeFrom="paragraph">
              <wp:posOffset>363855</wp:posOffset>
            </wp:positionV>
            <wp:extent cx="2800350" cy="3244215"/>
            <wp:effectExtent l="0" t="0" r="0" b="0"/>
            <wp:wrapTopAndBottom/>
            <wp:docPr id="118" name="Grafik 117">
              <a:extLst xmlns:a="http://schemas.openxmlformats.org/drawingml/2006/main">
                <a:ext uri="{FF2B5EF4-FFF2-40B4-BE49-F238E27FC236}">
                  <a16:creationId xmlns:a16="http://schemas.microsoft.com/office/drawing/2014/main" id="{67D56DC2-8280-BF38-20EC-470AFC38E6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fik 117">
                      <a:extLst>
                        <a:ext uri="{FF2B5EF4-FFF2-40B4-BE49-F238E27FC236}">
                          <a16:creationId xmlns:a16="http://schemas.microsoft.com/office/drawing/2014/main" id="{67D56DC2-8280-BF38-20EC-470AFC38E67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0350" cy="3244215"/>
                    </a:xfrm>
                    <a:prstGeom prst="rect">
                      <a:avLst/>
                    </a:prstGeom>
                  </pic:spPr>
                </pic:pic>
              </a:graphicData>
            </a:graphic>
            <wp14:sizeRelH relativeFrom="margin">
              <wp14:pctWidth>0</wp14:pctWidth>
            </wp14:sizeRelH>
            <wp14:sizeRelV relativeFrom="margin">
              <wp14:pctHeight>0</wp14:pctHeight>
            </wp14:sizeRelV>
          </wp:anchor>
        </w:drawing>
      </w:r>
      <w:r w:rsidRPr="00795856">
        <w:rPr>
          <w:iCs/>
        </w:rPr>
        <w:t>Current diagram 2 for Trucks &amp; trailer</w:t>
      </w:r>
      <w:r w:rsidR="00795856">
        <w:rPr>
          <w:iCs/>
        </w:rPr>
        <w:tab/>
      </w:r>
      <w:r w:rsidR="00E21331">
        <w:rPr>
          <w:iCs/>
        </w:rPr>
        <w:tab/>
      </w:r>
      <w:r w:rsidR="00E21331">
        <w:rPr>
          <w:iCs/>
        </w:rPr>
        <w:tab/>
      </w:r>
      <w:r w:rsidR="00795856">
        <w:rPr>
          <w:iCs/>
        </w:rPr>
        <w:tab/>
      </w:r>
      <w:r w:rsidRPr="00795856">
        <w:rPr>
          <w:iCs/>
        </w:rPr>
        <w:t>Ne</w:t>
      </w:r>
      <w:r w:rsidR="00776D5D" w:rsidRPr="00795856">
        <w:rPr>
          <w:iCs/>
        </w:rPr>
        <w:t>w:</w:t>
      </w:r>
    </w:p>
    <w:bookmarkEnd w:id="6"/>
    <w:bookmarkEnd w:id="7"/>
    <w:p w14:paraId="4844C544" w14:textId="79CC3711" w:rsidR="001004CC" w:rsidRPr="00237C70" w:rsidRDefault="001004CC" w:rsidP="001004CC">
      <w:pPr>
        <w:spacing w:before="60"/>
        <w:jc w:val="center"/>
      </w:pPr>
      <w:r w:rsidRPr="00237C70">
        <w:rPr>
          <w:u w:val="single"/>
        </w:rPr>
        <w:tab/>
      </w:r>
      <w:r w:rsidRPr="00237C70">
        <w:rPr>
          <w:u w:val="single"/>
        </w:rPr>
        <w:tab/>
      </w:r>
      <w:r w:rsidR="00020CA9">
        <w:rPr>
          <w:u w:val="single"/>
        </w:rPr>
        <w:tab/>
      </w:r>
    </w:p>
    <w:p w14:paraId="6295087F" w14:textId="3582DA46" w:rsidR="005D61D8" w:rsidRPr="004E6CD9" w:rsidRDefault="005D61D8" w:rsidP="001004CC">
      <w:pPr>
        <w:pStyle w:val="para"/>
        <w:ind w:right="521"/>
        <w:rPr>
          <w:rFonts w:asciiTheme="majorBidi" w:hAnsiTheme="majorBidi"/>
          <w:u w:val="single"/>
        </w:rPr>
      </w:pPr>
    </w:p>
    <w:sectPr w:rsidR="005D61D8" w:rsidRPr="004E6CD9" w:rsidSect="00846724">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D70" w14:textId="77777777" w:rsidR="000A4A2A" w:rsidRDefault="000A4A2A"/>
  </w:endnote>
  <w:endnote w:type="continuationSeparator" w:id="0">
    <w:p w14:paraId="02C2D16D" w14:textId="77777777" w:rsidR="000A4A2A" w:rsidRDefault="000A4A2A"/>
  </w:endnote>
  <w:endnote w:type="continuationNotice" w:id="1">
    <w:p w14:paraId="31912FF3" w14:textId="77777777" w:rsidR="000A4A2A" w:rsidRDefault="000A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7BA4E975" w:rsidR="00B4429E" w:rsidRDefault="003C48C9" w:rsidP="003C48C9">
    <w:pPr>
      <w:pStyle w:val="Footer"/>
      <w:ind w:right="1134"/>
      <w:rPr>
        <w:rFonts w:asciiTheme="majorBidi" w:hAnsiTheme="majorBidi" w:cstheme="majorBidi"/>
        <w:sz w:val="20"/>
      </w:rPr>
    </w:pPr>
    <w:r>
      <w:rPr>
        <w:rFonts w:asciiTheme="majorBidi" w:hAnsiTheme="majorBidi" w:cstheme="majorBidi"/>
        <w:noProof/>
        <w:sz w:val="20"/>
      </w:rPr>
      <w:drawing>
        <wp:anchor distT="0" distB="0" distL="114300" distR="114300" simplePos="0" relativeHeight="251660288" behindDoc="0" locked="0" layoutInCell="1" allowOverlap="1" wp14:anchorId="37477C63" wp14:editId="3E05BB7D">
          <wp:simplePos x="0" y="0"/>
          <wp:positionH relativeFrom="column">
            <wp:posOffset>5546411</wp:posOffset>
          </wp:positionH>
          <wp:positionV relativeFrom="paragraph">
            <wp:posOffset>-233960</wp:posOffset>
          </wp:positionV>
          <wp:extent cx="571500" cy="571500"/>
          <wp:effectExtent l="0" t="0" r="0" b="0"/>
          <wp:wrapNone/>
          <wp:docPr id="14459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8C9">
      <w:rPr>
        <w:rFonts w:asciiTheme="majorBidi" w:hAnsiTheme="majorBidi" w:cstheme="majorBidi"/>
        <w:noProof/>
        <w:sz w:val="20"/>
        <w:lang w:val="en-US" w:eastAsia="zh-CN"/>
      </w:rPr>
      <w:drawing>
        <wp:anchor distT="0" distB="0" distL="114300" distR="114300" simplePos="0" relativeHeight="251659264" behindDoc="1" locked="1" layoutInCell="1" allowOverlap="1" wp14:anchorId="028D550E" wp14:editId="44DD71E5">
          <wp:simplePos x="0" y="0"/>
          <wp:positionH relativeFrom="margin">
            <wp:posOffset>4535170</wp:posOffset>
          </wp:positionH>
          <wp:positionV relativeFrom="margin">
            <wp:posOffset>9285605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B3F5961" w14:textId="47CC1741" w:rsidR="003C48C9" w:rsidRPr="003C48C9" w:rsidRDefault="003C48C9" w:rsidP="003C48C9">
    <w:pPr>
      <w:pStyle w:val="Footer"/>
      <w:ind w:right="1134"/>
      <w:rPr>
        <w:rFonts w:asciiTheme="majorBidi" w:hAnsiTheme="majorBidi" w:cstheme="majorBidi"/>
        <w:sz w:val="20"/>
      </w:rPr>
    </w:pPr>
    <w:r>
      <w:rPr>
        <w:rFonts w:asciiTheme="majorBidi" w:hAnsiTheme="majorBidi" w:cstheme="majorBidi"/>
        <w:sz w:val="20"/>
      </w:rPr>
      <w:t>GE.24-</w:t>
    </w:r>
    <w:proofErr w:type="gramStart"/>
    <w:r>
      <w:rPr>
        <w:rFonts w:asciiTheme="majorBidi" w:hAnsiTheme="majorBidi" w:cstheme="majorBidi"/>
        <w:sz w:val="20"/>
      </w:rPr>
      <w:t>20859  (</w:t>
    </w:r>
    <w:proofErr w:type="gramEnd"/>
    <w:r>
      <w:rPr>
        <w:rFonts w:asciiTheme="majorBidi" w:hAnsiTheme="majorBidi" w:cstheme="majorBidi"/>
        <w:sz w:val="20"/>
      </w:rPr>
      <w:t>E)</w:t>
    </w:r>
    <w:bookmarkStart w:id="8" w:name="_GoBack"/>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C8BB" w14:textId="77777777" w:rsidR="000A4A2A" w:rsidRPr="000B175B" w:rsidRDefault="000A4A2A" w:rsidP="000B175B">
      <w:pPr>
        <w:tabs>
          <w:tab w:val="right" w:pos="2155"/>
        </w:tabs>
        <w:spacing w:after="80"/>
        <w:ind w:left="680"/>
        <w:rPr>
          <w:u w:val="single"/>
        </w:rPr>
      </w:pPr>
      <w:r>
        <w:rPr>
          <w:u w:val="single"/>
        </w:rPr>
        <w:tab/>
      </w:r>
    </w:p>
  </w:footnote>
  <w:footnote w:type="continuationSeparator" w:id="0">
    <w:p w14:paraId="521B940A" w14:textId="77777777" w:rsidR="000A4A2A" w:rsidRPr="00FC68B7" w:rsidRDefault="000A4A2A" w:rsidP="00FC68B7">
      <w:pPr>
        <w:tabs>
          <w:tab w:val="left" w:pos="2155"/>
        </w:tabs>
        <w:spacing w:after="80"/>
        <w:ind w:left="680"/>
        <w:rPr>
          <w:u w:val="single"/>
        </w:rPr>
      </w:pPr>
      <w:r>
        <w:rPr>
          <w:u w:val="single"/>
        </w:rPr>
        <w:tab/>
      </w:r>
    </w:p>
  </w:footnote>
  <w:footnote w:type="continuationNotice" w:id="1">
    <w:p w14:paraId="4FEF62B5" w14:textId="77777777" w:rsidR="000A4A2A" w:rsidRDefault="000A4A2A"/>
  </w:footnote>
  <w:footnote w:id="2">
    <w:p w14:paraId="74C5C9BA" w14:textId="1312701C"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In accordance with the pro</w:t>
      </w:r>
      <w:r w:rsidR="0035122C" w:rsidRPr="004B5F23">
        <w:rPr>
          <w:szCs w:val="18"/>
          <w:lang w:val="en-US"/>
        </w:rPr>
        <w:t>gramme of work of the Inland T</w:t>
      </w:r>
      <w:r w:rsidR="0035122C" w:rsidRPr="005855E7">
        <w:rPr>
          <w:szCs w:val="18"/>
          <w:lang w:val="en-US"/>
        </w:rPr>
        <w:t>ransport Committee for 202</w:t>
      </w:r>
      <w:r w:rsidR="005855E7" w:rsidRPr="005855E7">
        <w:rPr>
          <w:szCs w:val="18"/>
          <w:lang w:val="en-US"/>
        </w:rPr>
        <w:t>5</w:t>
      </w:r>
      <w:r w:rsidR="0035122C" w:rsidRPr="005855E7">
        <w:rPr>
          <w:szCs w:val="18"/>
          <w:lang w:val="en-US"/>
        </w:rPr>
        <w:t xml:space="preserve"> as outlined in proposed programme budget for 202</w:t>
      </w:r>
      <w:r w:rsidR="005855E7" w:rsidRPr="005855E7">
        <w:rPr>
          <w:szCs w:val="18"/>
          <w:lang w:val="en-US"/>
        </w:rPr>
        <w:t>5</w:t>
      </w:r>
      <w:r w:rsidR="0035122C" w:rsidRPr="005855E7">
        <w:rPr>
          <w:szCs w:val="18"/>
          <w:lang w:val="en-US"/>
        </w:rPr>
        <w:t xml:space="preserve"> (</w:t>
      </w:r>
      <w:r w:rsidR="0035122C" w:rsidRPr="005855E7">
        <w:t>A/7</w:t>
      </w:r>
      <w:r w:rsidR="005855E7" w:rsidRPr="005855E7">
        <w:t>9</w:t>
      </w:r>
      <w:r w:rsidR="0035122C" w:rsidRPr="005855E7">
        <w:t>/6 (Sect. 20), table 20.</w:t>
      </w:r>
      <w:r w:rsidR="005855E7" w:rsidRPr="005855E7">
        <w:t>6</w:t>
      </w:r>
      <w:r w:rsidR="0035122C" w:rsidRPr="005855E7">
        <w:rPr>
          <w:szCs w:val="18"/>
          <w:lang w:val="en-US"/>
        </w:rPr>
        <w:t>), the World Forum will develop, harmonize and update UN Regulations in order to enhance the</w:t>
      </w:r>
      <w:r w:rsidR="0035122C" w:rsidRPr="0083584F">
        <w:rPr>
          <w:szCs w:val="18"/>
          <w:lang w:val="en-US"/>
        </w:rPr>
        <w:t xml:space="preserv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1731C156" w:rsidR="001373C9" w:rsidRPr="000649A9" w:rsidRDefault="001373C9" w:rsidP="004F098C">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E43505">
      <w:rPr>
        <w:lang w:val="fr-CH"/>
      </w:rPr>
      <w:t>5</w:t>
    </w:r>
    <w:r w:rsidR="004F098C" w:rsidRPr="0035122C">
      <w:rPr>
        <w:lang w:val="fr-CH"/>
      </w:rPr>
      <w:t>/</w:t>
    </w:r>
    <w:r w:rsidR="00493F84">
      <w:rPr>
        <w:lang w:val="fr-CH"/>
      </w:rPr>
      <w:t>1</w:t>
    </w:r>
    <w:r w:rsidR="005855E7">
      <w:rPr>
        <w:lang w:val="fr-CH"/>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6A323EF3" w:rsidR="004F098C" w:rsidRPr="004F098C" w:rsidRDefault="004F098C" w:rsidP="004F098C">
    <w:pPr>
      <w:pStyle w:val="Header"/>
      <w:jc w:val="right"/>
      <w:rPr>
        <w:lang w:val="fr-CH"/>
      </w:rPr>
    </w:pPr>
    <w:r>
      <w:rPr>
        <w:lang w:val="fr-CH"/>
      </w:rPr>
      <w:t>ECE/TRANS/WP.29/GRVA/202</w:t>
    </w:r>
    <w:r w:rsidR="004B5D20">
      <w:rPr>
        <w:lang w:val="fr-CH"/>
      </w:rPr>
      <w:t>5</w:t>
    </w:r>
    <w:r>
      <w:rPr>
        <w:lang w:val="fr-CH"/>
      </w:rPr>
      <w:t>/</w:t>
    </w:r>
    <w:r w:rsidR="004B5D20">
      <w:rPr>
        <w:lang w:val="fr-CH"/>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7" w15:restartNumberingAfterBreak="0">
    <w:nsid w:val="15AE569F"/>
    <w:multiLevelType w:val="hybridMultilevel"/>
    <w:tmpl w:val="D1B49A06"/>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2"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2C876518"/>
    <w:multiLevelType w:val="hybridMultilevel"/>
    <w:tmpl w:val="32149FD8"/>
    <w:lvl w:ilvl="0" w:tplc="79669AF4">
      <w:start w:val="1"/>
      <w:numFmt w:val="decimal"/>
      <w:lvlText w:val="%1."/>
      <w:lvlJc w:val="left"/>
      <w:pPr>
        <w:ind w:left="1710" w:hanging="576"/>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5"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9"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0"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1" w15:restartNumberingAfterBreak="0">
    <w:nsid w:val="495505E1"/>
    <w:multiLevelType w:val="hybridMultilevel"/>
    <w:tmpl w:val="72B85BD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2"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4B53105"/>
    <w:multiLevelType w:val="hybridMultilevel"/>
    <w:tmpl w:val="82DEF58A"/>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7"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9"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40"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1"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2"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3"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45"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7"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5"/>
  </w:num>
  <w:num w:numId="12" w16cid:durableId="363210280">
    <w:abstractNumId w:val="18"/>
  </w:num>
  <w:num w:numId="13" w16cid:durableId="3870166">
    <w:abstractNumId w:val="13"/>
  </w:num>
  <w:num w:numId="14" w16cid:durableId="193663121">
    <w:abstractNumId w:val="37"/>
  </w:num>
  <w:num w:numId="15" w16cid:durableId="288896961">
    <w:abstractNumId w:val="43"/>
  </w:num>
  <w:num w:numId="16" w16cid:durableId="660474522">
    <w:abstractNumId w:val="28"/>
  </w:num>
  <w:num w:numId="17" w16cid:durableId="1649942746">
    <w:abstractNumId w:val="26"/>
  </w:num>
  <w:num w:numId="18" w16cid:durableId="44448909">
    <w:abstractNumId w:val="46"/>
  </w:num>
  <w:num w:numId="19" w16cid:durableId="2043244649">
    <w:abstractNumId w:val="23"/>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5"/>
  </w:num>
  <w:num w:numId="22" w16cid:durableId="273752282">
    <w:abstractNumId w:val="11"/>
  </w:num>
  <w:num w:numId="23" w16cid:durableId="2056076190">
    <w:abstractNumId w:val="19"/>
  </w:num>
  <w:num w:numId="24" w16cid:durableId="1921982801">
    <w:abstractNumId w:val="30"/>
  </w:num>
  <w:num w:numId="25" w16cid:durableId="1001815895">
    <w:abstractNumId w:val="39"/>
  </w:num>
  <w:num w:numId="26" w16cid:durableId="1401635527">
    <w:abstractNumId w:val="47"/>
  </w:num>
  <w:num w:numId="27" w16cid:durableId="1733505404">
    <w:abstractNumId w:val="14"/>
  </w:num>
  <w:num w:numId="28" w16cid:durableId="1759983800">
    <w:abstractNumId w:val="34"/>
  </w:num>
  <w:num w:numId="29" w16cid:durableId="1988237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5"/>
  </w:num>
  <w:num w:numId="31" w16cid:durableId="1970700203">
    <w:abstractNumId w:val="42"/>
  </w:num>
  <w:num w:numId="32" w16cid:durableId="143398554">
    <w:abstractNumId w:val="16"/>
  </w:num>
  <w:num w:numId="33" w16cid:durableId="865867728">
    <w:abstractNumId w:val="33"/>
  </w:num>
  <w:num w:numId="34" w16cid:durableId="287780439">
    <w:abstractNumId w:val="29"/>
  </w:num>
  <w:num w:numId="35" w16cid:durableId="1340429923">
    <w:abstractNumId w:val="40"/>
  </w:num>
  <w:num w:numId="36" w16cid:durableId="103891011">
    <w:abstractNumId w:val="27"/>
  </w:num>
  <w:num w:numId="37" w16cid:durableId="2041011080">
    <w:abstractNumId w:val="22"/>
  </w:num>
  <w:num w:numId="38" w16cid:durableId="1227254875">
    <w:abstractNumId w:val="41"/>
  </w:num>
  <w:num w:numId="39" w16cid:durableId="1207719940">
    <w:abstractNumId w:val="45"/>
  </w:num>
  <w:num w:numId="40" w16cid:durableId="1811173312">
    <w:abstractNumId w:val="20"/>
  </w:num>
  <w:num w:numId="41" w16cid:durableId="1923830428">
    <w:abstractNumId w:val="38"/>
  </w:num>
  <w:num w:numId="42" w16cid:durableId="788741520">
    <w:abstractNumId w:val="21"/>
  </w:num>
  <w:num w:numId="43" w16cid:durableId="7787246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1099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0849">
    <w:abstractNumId w:val="32"/>
  </w:num>
  <w:num w:numId="46" w16cid:durableId="722410840">
    <w:abstractNumId w:val="44"/>
  </w:num>
  <w:num w:numId="47" w16cid:durableId="1265655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310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707412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4723"/>
    <w:rsid w:val="0000561F"/>
    <w:rsid w:val="0000693F"/>
    <w:rsid w:val="00007F70"/>
    <w:rsid w:val="00010BFF"/>
    <w:rsid w:val="00011435"/>
    <w:rsid w:val="000116B7"/>
    <w:rsid w:val="00013CF3"/>
    <w:rsid w:val="0001409C"/>
    <w:rsid w:val="00015970"/>
    <w:rsid w:val="000163B0"/>
    <w:rsid w:val="00020749"/>
    <w:rsid w:val="00020CA9"/>
    <w:rsid w:val="00021139"/>
    <w:rsid w:val="000231DE"/>
    <w:rsid w:val="00027A4E"/>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0B01"/>
    <w:rsid w:val="00072C8C"/>
    <w:rsid w:val="000733B5"/>
    <w:rsid w:val="000766FF"/>
    <w:rsid w:val="00081815"/>
    <w:rsid w:val="00082C8A"/>
    <w:rsid w:val="00084FBD"/>
    <w:rsid w:val="00087892"/>
    <w:rsid w:val="00087F31"/>
    <w:rsid w:val="000931C0"/>
    <w:rsid w:val="000944F0"/>
    <w:rsid w:val="000A0BEC"/>
    <w:rsid w:val="000A312F"/>
    <w:rsid w:val="000A4A2A"/>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149E"/>
    <w:rsid w:val="001129E4"/>
    <w:rsid w:val="001132C7"/>
    <w:rsid w:val="0011332D"/>
    <w:rsid w:val="0011666B"/>
    <w:rsid w:val="001207D2"/>
    <w:rsid w:val="0012518D"/>
    <w:rsid w:val="0013415F"/>
    <w:rsid w:val="001373C9"/>
    <w:rsid w:val="001406BB"/>
    <w:rsid w:val="001411DF"/>
    <w:rsid w:val="00143572"/>
    <w:rsid w:val="00146452"/>
    <w:rsid w:val="0015220F"/>
    <w:rsid w:val="001522E3"/>
    <w:rsid w:val="0015497E"/>
    <w:rsid w:val="0015567A"/>
    <w:rsid w:val="001572B8"/>
    <w:rsid w:val="0016231A"/>
    <w:rsid w:val="00162F0F"/>
    <w:rsid w:val="0016422E"/>
    <w:rsid w:val="00165052"/>
    <w:rsid w:val="001656C2"/>
    <w:rsid w:val="00165F3A"/>
    <w:rsid w:val="001661E4"/>
    <w:rsid w:val="0017184A"/>
    <w:rsid w:val="00172128"/>
    <w:rsid w:val="001721BD"/>
    <w:rsid w:val="00176195"/>
    <w:rsid w:val="00177B8A"/>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501"/>
    <w:rsid w:val="001D0C8C"/>
    <w:rsid w:val="001D0D73"/>
    <w:rsid w:val="001D1419"/>
    <w:rsid w:val="001D15B0"/>
    <w:rsid w:val="001D26DF"/>
    <w:rsid w:val="001D3A03"/>
    <w:rsid w:val="001D7661"/>
    <w:rsid w:val="001E35CD"/>
    <w:rsid w:val="001E6622"/>
    <w:rsid w:val="001E7B67"/>
    <w:rsid w:val="001E7B91"/>
    <w:rsid w:val="001F0200"/>
    <w:rsid w:val="001F1CC3"/>
    <w:rsid w:val="001F1E5E"/>
    <w:rsid w:val="001F3741"/>
    <w:rsid w:val="001F3936"/>
    <w:rsid w:val="001F3A9B"/>
    <w:rsid w:val="001F6C00"/>
    <w:rsid w:val="0020236B"/>
    <w:rsid w:val="00202DA8"/>
    <w:rsid w:val="00203D58"/>
    <w:rsid w:val="00207531"/>
    <w:rsid w:val="00211E0B"/>
    <w:rsid w:val="0021347B"/>
    <w:rsid w:val="0021382F"/>
    <w:rsid w:val="00215080"/>
    <w:rsid w:val="00217546"/>
    <w:rsid w:val="00220BFE"/>
    <w:rsid w:val="0022278B"/>
    <w:rsid w:val="00227522"/>
    <w:rsid w:val="00236C43"/>
    <w:rsid w:val="00240C8D"/>
    <w:rsid w:val="00240D27"/>
    <w:rsid w:val="002440B4"/>
    <w:rsid w:val="00244B62"/>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B9E"/>
    <w:rsid w:val="002B5DFC"/>
    <w:rsid w:val="002B619C"/>
    <w:rsid w:val="002C17EE"/>
    <w:rsid w:val="002C27BE"/>
    <w:rsid w:val="002C7965"/>
    <w:rsid w:val="002D4643"/>
    <w:rsid w:val="002D6FAB"/>
    <w:rsid w:val="002E0D38"/>
    <w:rsid w:val="002E35F4"/>
    <w:rsid w:val="002E4AF3"/>
    <w:rsid w:val="002E5681"/>
    <w:rsid w:val="002E5B03"/>
    <w:rsid w:val="002E5F07"/>
    <w:rsid w:val="002E76AB"/>
    <w:rsid w:val="002F175C"/>
    <w:rsid w:val="002F45DB"/>
    <w:rsid w:val="002F5A62"/>
    <w:rsid w:val="002F7DE0"/>
    <w:rsid w:val="00302E18"/>
    <w:rsid w:val="00304201"/>
    <w:rsid w:val="00304323"/>
    <w:rsid w:val="0030436E"/>
    <w:rsid w:val="00307223"/>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3237"/>
    <w:rsid w:val="0039508E"/>
    <w:rsid w:val="003A027E"/>
    <w:rsid w:val="003A641A"/>
    <w:rsid w:val="003A6810"/>
    <w:rsid w:val="003B18E2"/>
    <w:rsid w:val="003B1950"/>
    <w:rsid w:val="003B1F6F"/>
    <w:rsid w:val="003B2942"/>
    <w:rsid w:val="003B3CB9"/>
    <w:rsid w:val="003B3EF4"/>
    <w:rsid w:val="003C2CC4"/>
    <w:rsid w:val="003C47DE"/>
    <w:rsid w:val="003C48C9"/>
    <w:rsid w:val="003C534D"/>
    <w:rsid w:val="003C61AB"/>
    <w:rsid w:val="003C7EDA"/>
    <w:rsid w:val="003D09DC"/>
    <w:rsid w:val="003D1180"/>
    <w:rsid w:val="003D4B23"/>
    <w:rsid w:val="003D5AD6"/>
    <w:rsid w:val="003D76F5"/>
    <w:rsid w:val="003E130E"/>
    <w:rsid w:val="003E1895"/>
    <w:rsid w:val="003E4501"/>
    <w:rsid w:val="003E70A7"/>
    <w:rsid w:val="003F3604"/>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5E35"/>
    <w:rsid w:val="004365E1"/>
    <w:rsid w:val="0044174D"/>
    <w:rsid w:val="00442A83"/>
    <w:rsid w:val="00442DE9"/>
    <w:rsid w:val="00444CDE"/>
    <w:rsid w:val="00445B47"/>
    <w:rsid w:val="0044769A"/>
    <w:rsid w:val="00447EBB"/>
    <w:rsid w:val="00451CA2"/>
    <w:rsid w:val="004546C1"/>
    <w:rsid w:val="0045495B"/>
    <w:rsid w:val="004561E5"/>
    <w:rsid w:val="004572EA"/>
    <w:rsid w:val="004612B2"/>
    <w:rsid w:val="0046643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93F84"/>
    <w:rsid w:val="004963AC"/>
    <w:rsid w:val="00496DA1"/>
    <w:rsid w:val="004A5CEB"/>
    <w:rsid w:val="004A6ED7"/>
    <w:rsid w:val="004A7C8D"/>
    <w:rsid w:val="004B581C"/>
    <w:rsid w:val="004B5D20"/>
    <w:rsid w:val="004B7D36"/>
    <w:rsid w:val="004C0DEB"/>
    <w:rsid w:val="004C154E"/>
    <w:rsid w:val="004C1F6B"/>
    <w:rsid w:val="004C2461"/>
    <w:rsid w:val="004C4433"/>
    <w:rsid w:val="004C7462"/>
    <w:rsid w:val="004D02D0"/>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08FA"/>
    <w:rsid w:val="00532630"/>
    <w:rsid w:val="0053794A"/>
    <w:rsid w:val="005420F2"/>
    <w:rsid w:val="0054244D"/>
    <w:rsid w:val="005426D1"/>
    <w:rsid w:val="005436C6"/>
    <w:rsid w:val="005444DC"/>
    <w:rsid w:val="00544BA7"/>
    <w:rsid w:val="00545D2C"/>
    <w:rsid w:val="00551C90"/>
    <w:rsid w:val="0055292C"/>
    <w:rsid w:val="005529B7"/>
    <w:rsid w:val="00552C3D"/>
    <w:rsid w:val="005536BD"/>
    <w:rsid w:val="005551E7"/>
    <w:rsid w:val="00556536"/>
    <w:rsid w:val="00557897"/>
    <w:rsid w:val="0056209A"/>
    <w:rsid w:val="005628B6"/>
    <w:rsid w:val="0056423E"/>
    <w:rsid w:val="0056586F"/>
    <w:rsid w:val="00566A6F"/>
    <w:rsid w:val="00566E36"/>
    <w:rsid w:val="00570267"/>
    <w:rsid w:val="00570296"/>
    <w:rsid w:val="00570F9F"/>
    <w:rsid w:val="00576ECF"/>
    <w:rsid w:val="0058050F"/>
    <w:rsid w:val="005815C6"/>
    <w:rsid w:val="005855E7"/>
    <w:rsid w:val="00590107"/>
    <w:rsid w:val="00590C94"/>
    <w:rsid w:val="005941EC"/>
    <w:rsid w:val="0059724D"/>
    <w:rsid w:val="00597F29"/>
    <w:rsid w:val="005A222D"/>
    <w:rsid w:val="005A4E59"/>
    <w:rsid w:val="005A69CE"/>
    <w:rsid w:val="005B04A0"/>
    <w:rsid w:val="005B320C"/>
    <w:rsid w:val="005B3DB3"/>
    <w:rsid w:val="005B48A4"/>
    <w:rsid w:val="005B4E13"/>
    <w:rsid w:val="005C1A88"/>
    <w:rsid w:val="005C1A99"/>
    <w:rsid w:val="005C342F"/>
    <w:rsid w:val="005C4E03"/>
    <w:rsid w:val="005C7651"/>
    <w:rsid w:val="005C7D1E"/>
    <w:rsid w:val="005C7E66"/>
    <w:rsid w:val="005D33AA"/>
    <w:rsid w:val="005D386F"/>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6A4A"/>
    <w:rsid w:val="006176FB"/>
    <w:rsid w:val="00620A11"/>
    <w:rsid w:val="0062157B"/>
    <w:rsid w:val="0062348C"/>
    <w:rsid w:val="00627C00"/>
    <w:rsid w:val="00631266"/>
    <w:rsid w:val="0063294B"/>
    <w:rsid w:val="00632E7E"/>
    <w:rsid w:val="00633954"/>
    <w:rsid w:val="00640B26"/>
    <w:rsid w:val="0064123D"/>
    <w:rsid w:val="0064477D"/>
    <w:rsid w:val="00644A39"/>
    <w:rsid w:val="00647727"/>
    <w:rsid w:val="00652D0A"/>
    <w:rsid w:val="00655665"/>
    <w:rsid w:val="00655949"/>
    <w:rsid w:val="00656E1F"/>
    <w:rsid w:val="00661088"/>
    <w:rsid w:val="00662364"/>
    <w:rsid w:val="00662BB6"/>
    <w:rsid w:val="00667633"/>
    <w:rsid w:val="00671B51"/>
    <w:rsid w:val="00671B8F"/>
    <w:rsid w:val="0067362F"/>
    <w:rsid w:val="006757CD"/>
    <w:rsid w:val="00676606"/>
    <w:rsid w:val="006772BD"/>
    <w:rsid w:val="00681C88"/>
    <w:rsid w:val="00683334"/>
    <w:rsid w:val="006841D6"/>
    <w:rsid w:val="00684C21"/>
    <w:rsid w:val="00685956"/>
    <w:rsid w:val="00685D1F"/>
    <w:rsid w:val="00686885"/>
    <w:rsid w:val="00687948"/>
    <w:rsid w:val="00687FE8"/>
    <w:rsid w:val="0069025B"/>
    <w:rsid w:val="00690AD5"/>
    <w:rsid w:val="0069365A"/>
    <w:rsid w:val="00694181"/>
    <w:rsid w:val="0069512A"/>
    <w:rsid w:val="006969A5"/>
    <w:rsid w:val="00696CDC"/>
    <w:rsid w:val="006A1CFD"/>
    <w:rsid w:val="006A2530"/>
    <w:rsid w:val="006A3B40"/>
    <w:rsid w:val="006A4A60"/>
    <w:rsid w:val="006A5306"/>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697"/>
    <w:rsid w:val="00703725"/>
    <w:rsid w:val="007053AC"/>
    <w:rsid w:val="00705894"/>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FBA"/>
    <w:rsid w:val="007327D5"/>
    <w:rsid w:val="00733B81"/>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99B"/>
    <w:rsid w:val="00765FE0"/>
    <w:rsid w:val="00766478"/>
    <w:rsid w:val="00766920"/>
    <w:rsid w:val="0077047D"/>
    <w:rsid w:val="00776D5D"/>
    <w:rsid w:val="007808D3"/>
    <w:rsid w:val="0078112B"/>
    <w:rsid w:val="0078436A"/>
    <w:rsid w:val="007856CF"/>
    <w:rsid w:val="00786C10"/>
    <w:rsid w:val="007941A9"/>
    <w:rsid w:val="00795856"/>
    <w:rsid w:val="007A28B3"/>
    <w:rsid w:val="007A3646"/>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255D"/>
    <w:rsid w:val="007F3821"/>
    <w:rsid w:val="007F52B8"/>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3767"/>
    <w:rsid w:val="0084410C"/>
    <w:rsid w:val="00846724"/>
    <w:rsid w:val="00847033"/>
    <w:rsid w:val="00852532"/>
    <w:rsid w:val="00854864"/>
    <w:rsid w:val="00857041"/>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D75"/>
    <w:rsid w:val="008C6A46"/>
    <w:rsid w:val="008D06D2"/>
    <w:rsid w:val="008D0E8A"/>
    <w:rsid w:val="008D4655"/>
    <w:rsid w:val="008D6E6B"/>
    <w:rsid w:val="008E01D4"/>
    <w:rsid w:val="008E0678"/>
    <w:rsid w:val="008E2A2B"/>
    <w:rsid w:val="008E72A2"/>
    <w:rsid w:val="008F31D2"/>
    <w:rsid w:val="008F3236"/>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745E"/>
    <w:rsid w:val="00940F93"/>
    <w:rsid w:val="00941ABE"/>
    <w:rsid w:val="009429EE"/>
    <w:rsid w:val="00943CF0"/>
    <w:rsid w:val="0094467E"/>
    <w:rsid w:val="009448C3"/>
    <w:rsid w:val="009456C7"/>
    <w:rsid w:val="00945F3F"/>
    <w:rsid w:val="00950CAA"/>
    <w:rsid w:val="009523A3"/>
    <w:rsid w:val="00953DD1"/>
    <w:rsid w:val="00954000"/>
    <w:rsid w:val="0095538B"/>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5010"/>
    <w:rsid w:val="009967FC"/>
    <w:rsid w:val="009A007C"/>
    <w:rsid w:val="009A0830"/>
    <w:rsid w:val="009A0E8D"/>
    <w:rsid w:val="009A3168"/>
    <w:rsid w:val="009A4ED1"/>
    <w:rsid w:val="009A5164"/>
    <w:rsid w:val="009A6772"/>
    <w:rsid w:val="009B26E7"/>
    <w:rsid w:val="009B283B"/>
    <w:rsid w:val="009B5B02"/>
    <w:rsid w:val="009B64BB"/>
    <w:rsid w:val="009C0D49"/>
    <w:rsid w:val="009C300D"/>
    <w:rsid w:val="009C46BD"/>
    <w:rsid w:val="009C7CDB"/>
    <w:rsid w:val="009D2100"/>
    <w:rsid w:val="009E29DB"/>
    <w:rsid w:val="009E38A4"/>
    <w:rsid w:val="009E45DD"/>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5BC5"/>
    <w:rsid w:val="00A16878"/>
    <w:rsid w:val="00A16D61"/>
    <w:rsid w:val="00A177E3"/>
    <w:rsid w:val="00A17933"/>
    <w:rsid w:val="00A2253E"/>
    <w:rsid w:val="00A231BD"/>
    <w:rsid w:val="00A271CD"/>
    <w:rsid w:val="00A3026E"/>
    <w:rsid w:val="00A30B5B"/>
    <w:rsid w:val="00A312EA"/>
    <w:rsid w:val="00A338F1"/>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1C0F"/>
    <w:rsid w:val="00AD4029"/>
    <w:rsid w:val="00AE0018"/>
    <w:rsid w:val="00AE15BF"/>
    <w:rsid w:val="00AE47BC"/>
    <w:rsid w:val="00AE5CD0"/>
    <w:rsid w:val="00AE7CB0"/>
    <w:rsid w:val="00AF16D4"/>
    <w:rsid w:val="00AF401A"/>
    <w:rsid w:val="00AF4E3A"/>
    <w:rsid w:val="00AF68A2"/>
    <w:rsid w:val="00B00E68"/>
    <w:rsid w:val="00B01C8A"/>
    <w:rsid w:val="00B104CC"/>
    <w:rsid w:val="00B15A01"/>
    <w:rsid w:val="00B20827"/>
    <w:rsid w:val="00B212BB"/>
    <w:rsid w:val="00B22A38"/>
    <w:rsid w:val="00B22CD3"/>
    <w:rsid w:val="00B275BE"/>
    <w:rsid w:val="00B30179"/>
    <w:rsid w:val="00B326F8"/>
    <w:rsid w:val="00B40037"/>
    <w:rsid w:val="00B402FA"/>
    <w:rsid w:val="00B417CC"/>
    <w:rsid w:val="00B419AF"/>
    <w:rsid w:val="00B421C1"/>
    <w:rsid w:val="00B4429E"/>
    <w:rsid w:val="00B45E41"/>
    <w:rsid w:val="00B45F2F"/>
    <w:rsid w:val="00B47B30"/>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10BEF"/>
    <w:rsid w:val="00C11A03"/>
    <w:rsid w:val="00C15C0C"/>
    <w:rsid w:val="00C21E00"/>
    <w:rsid w:val="00C22419"/>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45C3"/>
    <w:rsid w:val="00C756CC"/>
    <w:rsid w:val="00C76E75"/>
    <w:rsid w:val="00C832B4"/>
    <w:rsid w:val="00C87BA7"/>
    <w:rsid w:val="00C9265B"/>
    <w:rsid w:val="00C96DF2"/>
    <w:rsid w:val="00CA325A"/>
    <w:rsid w:val="00CA3C5B"/>
    <w:rsid w:val="00CA3E3A"/>
    <w:rsid w:val="00CA6B13"/>
    <w:rsid w:val="00CA7309"/>
    <w:rsid w:val="00CB3E03"/>
    <w:rsid w:val="00CB711A"/>
    <w:rsid w:val="00CB74D0"/>
    <w:rsid w:val="00CB78FB"/>
    <w:rsid w:val="00CC10FB"/>
    <w:rsid w:val="00CC3E16"/>
    <w:rsid w:val="00CC7D89"/>
    <w:rsid w:val="00CD1DBB"/>
    <w:rsid w:val="00CD1FD4"/>
    <w:rsid w:val="00CD4AA6"/>
    <w:rsid w:val="00CD70CC"/>
    <w:rsid w:val="00CD78B5"/>
    <w:rsid w:val="00CE0F66"/>
    <w:rsid w:val="00CE272F"/>
    <w:rsid w:val="00CE4A8F"/>
    <w:rsid w:val="00CE679B"/>
    <w:rsid w:val="00CE67C2"/>
    <w:rsid w:val="00CF0A59"/>
    <w:rsid w:val="00CF1A4B"/>
    <w:rsid w:val="00CF7AC6"/>
    <w:rsid w:val="00D016D9"/>
    <w:rsid w:val="00D023D0"/>
    <w:rsid w:val="00D02B92"/>
    <w:rsid w:val="00D04C8B"/>
    <w:rsid w:val="00D06031"/>
    <w:rsid w:val="00D06574"/>
    <w:rsid w:val="00D13433"/>
    <w:rsid w:val="00D1595D"/>
    <w:rsid w:val="00D160DC"/>
    <w:rsid w:val="00D16818"/>
    <w:rsid w:val="00D16D9C"/>
    <w:rsid w:val="00D17394"/>
    <w:rsid w:val="00D2031B"/>
    <w:rsid w:val="00D214D8"/>
    <w:rsid w:val="00D24702"/>
    <w:rsid w:val="00D248B6"/>
    <w:rsid w:val="00D25C83"/>
    <w:rsid w:val="00D25FE2"/>
    <w:rsid w:val="00D26051"/>
    <w:rsid w:val="00D26E07"/>
    <w:rsid w:val="00D3038B"/>
    <w:rsid w:val="00D30FC4"/>
    <w:rsid w:val="00D3126E"/>
    <w:rsid w:val="00D322D8"/>
    <w:rsid w:val="00D35763"/>
    <w:rsid w:val="00D360CC"/>
    <w:rsid w:val="00D40073"/>
    <w:rsid w:val="00D4197B"/>
    <w:rsid w:val="00D422AD"/>
    <w:rsid w:val="00D42AAB"/>
    <w:rsid w:val="00D42C87"/>
    <w:rsid w:val="00D42FF9"/>
    <w:rsid w:val="00D43252"/>
    <w:rsid w:val="00D44D04"/>
    <w:rsid w:val="00D46509"/>
    <w:rsid w:val="00D47EEA"/>
    <w:rsid w:val="00D51093"/>
    <w:rsid w:val="00D52E7D"/>
    <w:rsid w:val="00D543B9"/>
    <w:rsid w:val="00D5773E"/>
    <w:rsid w:val="00D57CF2"/>
    <w:rsid w:val="00D57F77"/>
    <w:rsid w:val="00D6145A"/>
    <w:rsid w:val="00D6586F"/>
    <w:rsid w:val="00D6640C"/>
    <w:rsid w:val="00D70056"/>
    <w:rsid w:val="00D74E1F"/>
    <w:rsid w:val="00D773DF"/>
    <w:rsid w:val="00D816DF"/>
    <w:rsid w:val="00D817FD"/>
    <w:rsid w:val="00D853E7"/>
    <w:rsid w:val="00D867EB"/>
    <w:rsid w:val="00D90635"/>
    <w:rsid w:val="00D913AC"/>
    <w:rsid w:val="00D92E89"/>
    <w:rsid w:val="00D95303"/>
    <w:rsid w:val="00D955EE"/>
    <w:rsid w:val="00D978C6"/>
    <w:rsid w:val="00DA0476"/>
    <w:rsid w:val="00DA13E4"/>
    <w:rsid w:val="00DA3C1C"/>
    <w:rsid w:val="00DA52E0"/>
    <w:rsid w:val="00DA6132"/>
    <w:rsid w:val="00DA7251"/>
    <w:rsid w:val="00DB2170"/>
    <w:rsid w:val="00DB2800"/>
    <w:rsid w:val="00DB70D1"/>
    <w:rsid w:val="00DC0DFA"/>
    <w:rsid w:val="00DC15D1"/>
    <w:rsid w:val="00DC2C25"/>
    <w:rsid w:val="00DC59E9"/>
    <w:rsid w:val="00DC6D39"/>
    <w:rsid w:val="00DD0611"/>
    <w:rsid w:val="00DD0D69"/>
    <w:rsid w:val="00DD3320"/>
    <w:rsid w:val="00DD4F57"/>
    <w:rsid w:val="00DD6958"/>
    <w:rsid w:val="00DF105D"/>
    <w:rsid w:val="00DF12B1"/>
    <w:rsid w:val="00DF1F6A"/>
    <w:rsid w:val="00DF232F"/>
    <w:rsid w:val="00E006A3"/>
    <w:rsid w:val="00E01BEB"/>
    <w:rsid w:val="00E03036"/>
    <w:rsid w:val="00E046DF"/>
    <w:rsid w:val="00E04F12"/>
    <w:rsid w:val="00E06D4A"/>
    <w:rsid w:val="00E11E65"/>
    <w:rsid w:val="00E1283A"/>
    <w:rsid w:val="00E144A8"/>
    <w:rsid w:val="00E21331"/>
    <w:rsid w:val="00E2205E"/>
    <w:rsid w:val="00E22B0C"/>
    <w:rsid w:val="00E2399D"/>
    <w:rsid w:val="00E23D09"/>
    <w:rsid w:val="00E265A0"/>
    <w:rsid w:val="00E27346"/>
    <w:rsid w:val="00E27591"/>
    <w:rsid w:val="00E36A45"/>
    <w:rsid w:val="00E40A45"/>
    <w:rsid w:val="00E40C7D"/>
    <w:rsid w:val="00E41463"/>
    <w:rsid w:val="00E428FE"/>
    <w:rsid w:val="00E43505"/>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40C1"/>
    <w:rsid w:val="00E944F7"/>
    <w:rsid w:val="00E94647"/>
    <w:rsid w:val="00E96630"/>
    <w:rsid w:val="00EA2A77"/>
    <w:rsid w:val="00EA49F9"/>
    <w:rsid w:val="00EA5931"/>
    <w:rsid w:val="00EB1090"/>
    <w:rsid w:val="00EB13D3"/>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E72F6"/>
    <w:rsid w:val="00EF04EC"/>
    <w:rsid w:val="00EF0B13"/>
    <w:rsid w:val="00EF1D7F"/>
    <w:rsid w:val="00EF26C0"/>
    <w:rsid w:val="00EF2EB9"/>
    <w:rsid w:val="00EF3B36"/>
    <w:rsid w:val="00EF3CBC"/>
    <w:rsid w:val="00F00556"/>
    <w:rsid w:val="00F04D5C"/>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39F1"/>
    <w:rsid w:val="00F548A5"/>
    <w:rsid w:val="00F6100A"/>
    <w:rsid w:val="00F6690C"/>
    <w:rsid w:val="00F66F59"/>
    <w:rsid w:val="00F70C4D"/>
    <w:rsid w:val="00F7588C"/>
    <w:rsid w:val="00F7615D"/>
    <w:rsid w:val="00F76B37"/>
    <w:rsid w:val="00F91BBA"/>
    <w:rsid w:val="00F92CAD"/>
    <w:rsid w:val="00F93781"/>
    <w:rsid w:val="00F952CD"/>
    <w:rsid w:val="00F95493"/>
    <w:rsid w:val="00F95C8C"/>
    <w:rsid w:val="00F977DF"/>
    <w:rsid w:val="00FA00D8"/>
    <w:rsid w:val="00FA1193"/>
    <w:rsid w:val="00FA4F63"/>
    <w:rsid w:val="00FA5BB8"/>
    <w:rsid w:val="00FB3047"/>
    <w:rsid w:val="00FB3826"/>
    <w:rsid w:val="00FB415B"/>
    <w:rsid w:val="00FB5173"/>
    <w:rsid w:val="00FB546C"/>
    <w:rsid w:val="00FB613B"/>
    <w:rsid w:val="00FB6149"/>
    <w:rsid w:val="00FB7B6C"/>
    <w:rsid w:val="00FC0172"/>
    <w:rsid w:val="00FC234D"/>
    <w:rsid w:val="00FC6329"/>
    <w:rsid w:val="00FC68B7"/>
    <w:rsid w:val="00FC7AEA"/>
    <w:rsid w:val="00FD08CD"/>
    <w:rsid w:val="00FD27E7"/>
    <w:rsid w:val="00FD2962"/>
    <w:rsid w:val="00FD3B2C"/>
    <w:rsid w:val="00FD3F98"/>
    <w:rsid w:val="00FD4F8D"/>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 w:type="paragraph" w:customStyle="1" w:styleId="Default">
    <w:name w:val="Default"/>
    <w:rsid w:val="00FD08CD"/>
    <w:pPr>
      <w:autoSpaceDE w:val="0"/>
      <w:autoSpaceDN w:val="0"/>
      <w:adjustRightInd w:val="0"/>
    </w:pPr>
    <w:rPr>
      <w:rFonts w:eastAsia="Calibr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35385F6-E1D9-421D-8DD4-8C7EE1A3B02B}">
  <ds:schemaRefs>
    <ds:schemaRef ds:uri="http://schemas.openxmlformats.org/officeDocument/2006/bibliography"/>
  </ds:schemaRefs>
</ds:datastoreItem>
</file>

<file path=customXml/itemProps4.xml><?xml version="1.0" encoding="utf-8"?>
<ds:datastoreItem xmlns:ds="http://schemas.openxmlformats.org/officeDocument/2006/customXml" ds:itemID="{AE6D7D38-92A8-4604-B6DA-77E1DA98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4941</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ECE/TRANS/WP.29/GRVA/2024/25</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ECE/TRANS/WP.29/GRVA/2025/16</dc:title>
  <dc:subject>2420859</dc:subject>
  <dc:creator/>
  <cp:keywords/>
  <dc:description/>
  <cp:lastModifiedBy/>
  <cp:revision>1</cp:revision>
  <dcterms:created xsi:type="dcterms:W3CDTF">2024-11-11T15:40:00Z</dcterms:created>
  <dcterms:modified xsi:type="dcterms:W3CDTF">2024-11-11T15:40:00Z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