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464985C8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/TRANS/WP.29/GRSG/2025/</w:t>
            </w:r>
            <w:r w:rsidR="00F42D9B">
              <w:t>41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433B60FC" w:rsidR="000B1EA4" w:rsidRPr="000846F8" w:rsidRDefault="00673C9E" w:rsidP="000B1EA4">
            <w:pPr>
              <w:spacing w:line="240" w:lineRule="exact"/>
            </w:pPr>
            <w:r>
              <w:t>21</w:t>
            </w:r>
            <w:r w:rsidR="00586555">
              <w:t xml:space="preserve"> July</w:t>
            </w:r>
            <w:r w:rsidR="000B1EA4" w:rsidRPr="000846F8">
              <w:t xml:space="preserve"> 2025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4659697E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30</w:t>
      </w:r>
      <w:r w:rsidRPr="000846F8">
        <w:rPr>
          <w:b/>
        </w:rPr>
        <w:t>th session</w:t>
      </w:r>
    </w:p>
    <w:p w14:paraId="29A2D70C" w14:textId="0D7A5999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2938A5">
        <w:rPr>
          <w:lang w:eastAsia="ko-KR"/>
        </w:rPr>
        <w:t>6</w:t>
      </w:r>
      <w:r w:rsidR="000846F8" w:rsidRPr="00F60022">
        <w:t>–</w:t>
      </w:r>
      <w:r w:rsidR="002938A5">
        <w:t>9</w:t>
      </w:r>
      <w:r w:rsidRPr="000846F8">
        <w:t xml:space="preserve"> </w:t>
      </w:r>
      <w:r w:rsidR="002938A5">
        <w:rPr>
          <w:lang w:eastAsia="ko-KR"/>
        </w:rPr>
        <w:t>October</w:t>
      </w:r>
      <w:r w:rsidRPr="000846F8">
        <w:t xml:space="preserve"> 2025</w:t>
      </w:r>
    </w:p>
    <w:p w14:paraId="1A564538" w14:textId="77777777" w:rsidR="00CD426B" w:rsidRPr="007A08FD" w:rsidRDefault="00CD426B" w:rsidP="00CD426B">
      <w:r w:rsidRPr="007A08FD">
        <w:t>Item 1</w:t>
      </w:r>
      <w:r w:rsidRPr="007A08FD">
        <w:rPr>
          <w:lang w:eastAsia="ko-KR"/>
        </w:rPr>
        <w:t>4(b)</w:t>
      </w:r>
      <w:r w:rsidRPr="007A08FD">
        <w:t xml:space="preserve"> of the provisional agenda</w:t>
      </w:r>
    </w:p>
    <w:p w14:paraId="7AAA2FDC" w14:textId="77777777" w:rsidR="00CD426B" w:rsidRPr="007A08FD" w:rsidRDefault="00CD426B" w:rsidP="00CD426B">
      <w:pPr>
        <w:rPr>
          <w:b/>
        </w:rPr>
      </w:pPr>
      <w:r>
        <w:rPr>
          <w:b/>
        </w:rPr>
        <w:t>E</w:t>
      </w:r>
      <w:r w:rsidRPr="007A08FD">
        <w:rPr>
          <w:b/>
        </w:rPr>
        <w:t>xchange of views on vehicle automation:</w:t>
      </w:r>
    </w:p>
    <w:p w14:paraId="6DFB05CD" w14:textId="77777777" w:rsidR="00CD426B" w:rsidRPr="007A08FD" w:rsidRDefault="00CD426B" w:rsidP="00CD426B">
      <w:pPr>
        <w:rPr>
          <w:b/>
        </w:rPr>
      </w:pPr>
      <w:r>
        <w:rPr>
          <w:b/>
        </w:rPr>
        <w:t>C</w:t>
      </w:r>
      <w:r w:rsidRPr="007A08FD">
        <w:rPr>
          <w:b/>
        </w:rPr>
        <w:t>ategorization of automated vehicles and autonomous vehicle regulation screening</w:t>
      </w:r>
    </w:p>
    <w:p w14:paraId="17787B84" w14:textId="13AA2F39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AB67D5">
        <w:rPr>
          <w:szCs w:val="28"/>
        </w:rPr>
        <w:t xml:space="preserve">supplement </w:t>
      </w:r>
      <w:r w:rsidR="00ED6652">
        <w:rPr>
          <w:szCs w:val="28"/>
        </w:rPr>
        <w:t>5</w:t>
      </w:r>
      <w:r w:rsidR="00AB67D5">
        <w:rPr>
          <w:szCs w:val="28"/>
        </w:rPr>
        <w:t xml:space="preserve"> to the </w:t>
      </w:r>
      <w:r w:rsidR="00ED6652">
        <w:rPr>
          <w:szCs w:val="28"/>
        </w:rPr>
        <w:t>original version of</w:t>
      </w:r>
      <w:r w:rsidRPr="000846F8">
        <w:rPr>
          <w:szCs w:val="28"/>
        </w:rPr>
        <w:t xml:space="preserve"> </w:t>
      </w:r>
      <w:r w:rsidR="00C45F4F">
        <w:rPr>
          <w:szCs w:val="28"/>
        </w:rPr>
        <w:t xml:space="preserve">UN </w:t>
      </w:r>
      <w:r w:rsidRPr="000846F8">
        <w:rPr>
          <w:szCs w:val="28"/>
        </w:rPr>
        <w:t>Regulation No.</w:t>
      </w:r>
      <w:r w:rsidRPr="000846F8">
        <w:t> </w:t>
      </w:r>
      <w:r w:rsidR="004D1435">
        <w:rPr>
          <w:szCs w:val="28"/>
        </w:rPr>
        <w:t>1</w:t>
      </w:r>
      <w:r w:rsidR="00ED6652">
        <w:rPr>
          <w:szCs w:val="28"/>
        </w:rPr>
        <w:t>61</w:t>
      </w:r>
      <w:r w:rsidRPr="000846F8">
        <w:rPr>
          <w:szCs w:val="28"/>
        </w:rPr>
        <w:t xml:space="preserve"> (</w:t>
      </w:r>
      <w:r w:rsidR="00ED6652">
        <w:t>Devices against</w:t>
      </w:r>
      <w:r w:rsidR="004D1435">
        <w:t xml:space="preserve"> </w:t>
      </w:r>
      <w:r w:rsidR="00CD426B">
        <w:t>Unauthorised Use</w:t>
      </w:r>
      <w:r w:rsidRPr="000846F8">
        <w:rPr>
          <w:szCs w:val="28"/>
        </w:rPr>
        <w:t>)</w:t>
      </w:r>
      <w:r w:rsidRPr="000846F8">
        <w:t xml:space="preserve"> </w:t>
      </w:r>
    </w:p>
    <w:p w14:paraId="04273320" w14:textId="02E26006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t xml:space="preserve"> </w:t>
      </w:r>
      <w:r w:rsidRPr="000846F8">
        <w:footnoteReference w:customMarkFollows="1" w:id="2"/>
        <w:t>*</w:t>
      </w:r>
    </w:p>
    <w:p w14:paraId="6EE100A1" w14:textId="327E2C6E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</w:t>
      </w:r>
      <w:r w:rsidR="00762100">
        <w:br/>
      </w:r>
      <w:r w:rsidRPr="000846F8">
        <w:t>(TF</w:t>
      </w:r>
      <w:r w:rsidR="00F84786">
        <w:t>-AVRS</w:t>
      </w:r>
      <w:r w:rsidRPr="000846F8">
        <w:t>). 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759E2508" w:rsidR="000B1EA4" w:rsidRPr="000846F8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="00CD426B">
        <w:rPr>
          <w:b/>
          <w:sz w:val="28"/>
        </w:rPr>
        <w:tab/>
      </w:r>
      <w:r w:rsidRPr="000846F8">
        <w:rPr>
          <w:b/>
          <w:sz w:val="28"/>
        </w:rPr>
        <w:t>Proposal</w:t>
      </w:r>
    </w:p>
    <w:p w14:paraId="271AC50F" w14:textId="77777777" w:rsidR="0050158B" w:rsidRPr="00953521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1.2.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4906A232" w14:textId="3BF4D046" w:rsidR="0050158B" w:rsidRPr="00953521" w:rsidRDefault="00BC5719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20066BC9" w:rsidR="0050158B" w:rsidRPr="003109E1" w:rsidRDefault="0050158B" w:rsidP="00CD426B">
      <w:pPr>
        <w:pStyle w:val="SingleTxtG"/>
        <w:ind w:left="2268" w:hanging="1134"/>
        <w:rPr>
          <w:b/>
          <w:bCs/>
        </w:rPr>
      </w:pPr>
      <w:r w:rsidRPr="003109E1">
        <w:rPr>
          <w:b/>
          <w:bCs/>
        </w:rPr>
        <w:t>0.1.</w:t>
      </w:r>
      <w:r w:rsidRPr="003109E1">
        <w:rPr>
          <w:b/>
          <w:bCs/>
        </w:rPr>
        <w:tab/>
      </w:r>
      <w:r w:rsidRPr="003109E1">
        <w:rPr>
          <w:b/>
          <w:bCs/>
        </w:rPr>
        <w:tab/>
        <w:t xml:space="preserve">Supplement </w:t>
      </w:r>
      <w:r w:rsidR="00EC3EFB" w:rsidRPr="003109E1">
        <w:rPr>
          <w:b/>
          <w:bCs/>
        </w:rPr>
        <w:t>5</w:t>
      </w:r>
      <w:r w:rsidRPr="003109E1">
        <w:rPr>
          <w:b/>
          <w:bCs/>
        </w:rPr>
        <w:t xml:space="preserve"> to the </w:t>
      </w:r>
      <w:r w:rsidR="00EC3EFB" w:rsidRPr="003109E1">
        <w:rPr>
          <w:b/>
          <w:bCs/>
        </w:rPr>
        <w:t>original version</w:t>
      </w:r>
      <w:r w:rsidRPr="003109E1">
        <w:rPr>
          <w:b/>
          <w:bCs/>
        </w:rPr>
        <w:t xml:space="preserve"> is introduced to take into account vehicles of category X and Y</w:t>
      </w:r>
      <w:r w:rsidR="00581BE8" w:rsidRPr="003109E1">
        <w:rPr>
          <w:b/>
          <w:bCs/>
        </w:rPr>
        <w:t xml:space="preserve"> </w:t>
      </w:r>
      <w:r w:rsidR="00581BE8" w:rsidRPr="003109E1">
        <w:rPr>
          <w:b/>
          <w:bCs/>
          <w:vertAlign w:val="superscript"/>
        </w:rPr>
        <w:t>1</w:t>
      </w:r>
      <w:r w:rsidRPr="003109E1">
        <w:rPr>
          <w:b/>
          <w:bCs/>
        </w:rPr>
        <w:t xml:space="preserve">, as well as vehicles with a manual mode operating at speeds above 6 km/h which are equipped with an </w:t>
      </w:r>
      <w:r w:rsidR="003109E1">
        <w:rPr>
          <w:b/>
          <w:bCs/>
        </w:rPr>
        <w:t>automated Driving System (</w:t>
      </w:r>
      <w:r w:rsidRPr="003109E1">
        <w:rPr>
          <w:b/>
          <w:bCs/>
        </w:rPr>
        <w:t>ADS</w:t>
      </w:r>
      <w:r w:rsidR="003109E1">
        <w:rPr>
          <w:b/>
          <w:bCs/>
        </w:rPr>
        <w:t>)</w:t>
      </w:r>
      <w:r w:rsidR="00CD426B" w:rsidRPr="003109E1">
        <w:rPr>
          <w:b/>
          <w:bCs/>
        </w:rPr>
        <w:t>.</w:t>
      </w:r>
      <w:r w:rsidR="00581BE8" w:rsidRPr="003109E1">
        <w:rPr>
          <w:b/>
          <w:bCs/>
        </w:rPr>
        <w:t xml:space="preserve"> </w:t>
      </w:r>
      <w:r w:rsidR="00581BE8" w:rsidRPr="003109E1">
        <w:rPr>
          <w:b/>
          <w:bCs/>
          <w:vertAlign w:val="superscript"/>
        </w:rPr>
        <w:t>1</w:t>
      </w:r>
    </w:p>
    <w:p w14:paraId="114A36C9" w14:textId="472DBB50" w:rsidR="0050158B" w:rsidRPr="003109E1" w:rsidRDefault="0050158B" w:rsidP="00CD426B">
      <w:pPr>
        <w:spacing w:line="240" w:lineRule="auto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3109E1">
        <w:rPr>
          <w:rFonts w:eastAsiaTheme="minorEastAsia"/>
          <w:b/>
          <w:bCs/>
          <w:color w:val="000000" w:themeColor="text1"/>
        </w:rPr>
        <w:t xml:space="preserve">0.1.1. </w:t>
      </w:r>
      <w:r w:rsidRPr="003109E1">
        <w:rPr>
          <w:rFonts w:eastAsiaTheme="minorEastAsia"/>
          <w:b/>
          <w:bCs/>
          <w:color w:val="000000" w:themeColor="text1"/>
        </w:rPr>
        <w:tab/>
      </w:r>
      <w:r w:rsidRPr="003109E1">
        <w:rPr>
          <w:rFonts w:eastAsiaTheme="minorEastAsia"/>
          <w:b/>
          <w:bCs/>
        </w:rPr>
        <w:t xml:space="preserve">The Regulation was originally drafted for vehicles with driver and manual driving controls. It is the intention of this new amendment to keep the spirit of the </w:t>
      </w:r>
      <w:r w:rsidR="00F5132A" w:rsidRPr="003109E1">
        <w:rPr>
          <w:rFonts w:eastAsiaTheme="minorEastAsia"/>
          <w:b/>
          <w:bCs/>
        </w:rPr>
        <w:t>R</w:t>
      </w:r>
      <w:r w:rsidRPr="003109E1">
        <w:rPr>
          <w:rFonts w:eastAsiaTheme="minorEastAsia"/>
          <w:b/>
          <w:bCs/>
        </w:rPr>
        <w:t xml:space="preserve">egulation and to extend its application to vehicles without driver and without manual driving controls </w:t>
      </w:r>
      <w:r w:rsidRPr="003109E1">
        <w:rPr>
          <w:rFonts w:eastAsiaTheme="minorEastAsia"/>
          <w:b/>
          <w:bCs/>
          <w:color w:val="000000" w:themeColor="text1"/>
        </w:rPr>
        <w:t>in the vehicle</w:t>
      </w:r>
      <w:r w:rsidRPr="003109E1">
        <w:rPr>
          <w:rFonts w:eastAsiaTheme="minorEastAsia"/>
          <w:b/>
          <w:bCs/>
        </w:rPr>
        <w:t>. In the absence of driver/manual driving controls in the vehicle, provisions related to them shall not be taken into account if not already covered by this amendment.</w:t>
      </w:r>
    </w:p>
    <w:p w14:paraId="67248925" w14:textId="77777777" w:rsidR="0050158B" w:rsidRPr="003109E1" w:rsidRDefault="0050158B" w:rsidP="00CD426B">
      <w:pPr>
        <w:spacing w:line="240" w:lineRule="auto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71E1F406" w14:textId="6A76D168" w:rsidR="001A3BEC" w:rsidRPr="00015CF4" w:rsidRDefault="0050158B" w:rsidP="00CD426B">
      <w:pPr>
        <w:spacing w:line="240" w:lineRule="auto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3109E1">
        <w:rPr>
          <w:rFonts w:eastAsiaTheme="minorEastAsia"/>
          <w:b/>
          <w:bCs/>
          <w:color w:val="000000" w:themeColor="text1"/>
        </w:rPr>
        <w:t xml:space="preserve">0.1.2. </w:t>
      </w:r>
      <w:r w:rsidRPr="003109E1">
        <w:rPr>
          <w:rFonts w:eastAsiaTheme="minorEastAsia"/>
          <w:b/>
          <w:bCs/>
          <w:color w:val="000000" w:themeColor="text1"/>
        </w:rPr>
        <w:tab/>
      </w:r>
      <w:r w:rsidR="001A3BEC" w:rsidRPr="003109E1">
        <w:rPr>
          <w:rFonts w:eastAsiaTheme="minorEastAsia"/>
          <w:b/>
          <w:bCs/>
          <w:color w:val="000000" w:themeColor="text1"/>
        </w:rPr>
        <w:t xml:space="preserve">In case of vehicles equipped with an ADS other than vehicles of categories X and Y, in the manual driving mode no special provisions or exemptions apply. In a mode where an ADS feature is active </w:t>
      </w:r>
      <w:r w:rsidR="006663AE" w:rsidRPr="003109E1">
        <w:rPr>
          <w:rFonts w:eastAsiaTheme="minorEastAsia"/>
          <w:b/>
          <w:bCs/>
          <w:color w:val="000000" w:themeColor="text1"/>
        </w:rPr>
        <w:t>the relevant ADS requirements apply</w:t>
      </w:r>
      <w:r w:rsidR="001A3BEC" w:rsidRPr="003109E1">
        <w:rPr>
          <w:rFonts w:eastAsiaTheme="minorEastAsia"/>
          <w:b/>
          <w:bCs/>
          <w:color w:val="000000" w:themeColor="text1"/>
        </w:rPr>
        <w:t>.</w:t>
      </w:r>
      <w:r w:rsidR="00BC5719">
        <w:rPr>
          <w:rFonts w:eastAsiaTheme="minorEastAsia"/>
          <w:color w:val="000000" w:themeColor="text1"/>
        </w:rPr>
        <w:t>"</w:t>
      </w:r>
    </w:p>
    <w:p w14:paraId="3CFD3783" w14:textId="77777777" w:rsidR="00654D8A" w:rsidRPr="00953521" w:rsidRDefault="00654D8A" w:rsidP="00654D8A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953521">
        <w:rPr>
          <w:rFonts w:eastAsia="DengXian"/>
          <w:i/>
          <w:lang w:eastAsia="zh-CN"/>
        </w:rPr>
        <w:t xml:space="preserve">Paragraph 1.1., footnote 1, </w:t>
      </w:r>
      <w:r w:rsidRPr="00953521">
        <w:rPr>
          <w:rFonts w:eastAsia="DengXian"/>
          <w:iCs/>
          <w:lang w:eastAsia="zh-CN"/>
        </w:rPr>
        <w:t>amend to read:</w:t>
      </w:r>
    </w:p>
    <w:p w14:paraId="5947771A" w14:textId="57133004" w:rsidR="00654D8A" w:rsidRDefault="00654D8A" w:rsidP="00654D8A">
      <w:pPr>
        <w:pStyle w:val="FootnoteText"/>
        <w:rPr>
          <w:rStyle w:val="Hyperlink"/>
          <w:iCs/>
          <w:color w:val="auto"/>
          <w:szCs w:val="18"/>
        </w:rPr>
      </w:pPr>
      <w:r w:rsidRPr="00953521">
        <w:rPr>
          <w:vertAlign w:val="superscript"/>
        </w:rPr>
        <w:tab/>
      </w:r>
      <w:r w:rsidR="00BC5719"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953521">
        <w:rPr>
          <w:szCs w:val="18"/>
        </w:rPr>
        <w:tab/>
      </w:r>
      <w:bookmarkEnd w:id="2"/>
      <w:r w:rsidRPr="00DE0F82">
        <w:t>As defined in the Consolidated Resolution on the Construction of Vehicles (R.E.3), document ECE/TRANS/WP.29/78/Rev.</w:t>
      </w:r>
      <w:r w:rsidRPr="00595C4B">
        <w:rPr>
          <w:strike/>
        </w:rPr>
        <w:t>6</w:t>
      </w:r>
      <w:r w:rsidRPr="00595C4B">
        <w:rPr>
          <w:b/>
          <w:bCs/>
        </w:rPr>
        <w:t>8</w:t>
      </w:r>
      <w:r w:rsidRPr="00DE0F82">
        <w:t>. (</w:t>
      </w:r>
      <w:r w:rsidRPr="00F32556">
        <w:rPr>
          <w:strike/>
          <w:szCs w:val="18"/>
          <w:lang w:val="en-US"/>
        </w:rPr>
        <w:t>https://unece.org/transport/standards/transport/vehicle-regulations-wp29/resolutions</w:t>
      </w:r>
      <w:r w:rsidRPr="00107BAC">
        <w:t xml:space="preserve"> </w:t>
      </w:r>
      <w:hyperlink r:id="rId12" w:history="1">
        <w:r w:rsidRPr="0081640B">
          <w:rPr>
            <w:rStyle w:val="Hyperlink"/>
            <w:b/>
            <w:bCs/>
            <w:szCs w:val="18"/>
            <w:lang w:val="en-US"/>
          </w:rPr>
          <w:t>https://unece.org/transport/vehicle-regulations/wp29/resolutions</w:t>
        </w:r>
        <w:r w:rsidRPr="0081640B">
          <w:rPr>
            <w:rStyle w:val="Hyperlink"/>
            <w:szCs w:val="18"/>
            <w:lang w:val="en-US"/>
          </w:rPr>
          <w:t>)</w:t>
        </w:r>
      </w:hyperlink>
      <w:r w:rsidRPr="00DE0F82">
        <w:t>.</w:t>
      </w:r>
      <w:r w:rsidR="00BC5719">
        <w:rPr>
          <w:rStyle w:val="Hyperlink"/>
          <w:iCs/>
          <w:color w:val="auto"/>
          <w:szCs w:val="18"/>
        </w:rPr>
        <w:t>"</w:t>
      </w:r>
    </w:p>
    <w:p w14:paraId="25B10A79" w14:textId="77777777" w:rsidR="00654D8A" w:rsidRPr="00953521" w:rsidRDefault="00654D8A" w:rsidP="00654D8A">
      <w:pPr>
        <w:pStyle w:val="FootnoteText"/>
      </w:pPr>
    </w:p>
    <w:p w14:paraId="13EB7843" w14:textId="77777777" w:rsidR="00654D8A" w:rsidRDefault="00654D8A" w:rsidP="00654D8A">
      <w:pPr>
        <w:ind w:left="2268" w:hanging="1134"/>
      </w:pPr>
      <w:r w:rsidRPr="009B4EAC">
        <w:rPr>
          <w:i/>
          <w:iCs/>
        </w:rPr>
        <w:t xml:space="preserve">Paragraph </w:t>
      </w:r>
      <w:r>
        <w:rPr>
          <w:i/>
          <w:iCs/>
        </w:rPr>
        <w:t>2.5</w:t>
      </w:r>
      <w:r w:rsidRPr="009B4EAC">
        <w:rPr>
          <w:i/>
          <w:iCs/>
        </w:rPr>
        <w:t>.,</w:t>
      </w:r>
      <w:r>
        <w:t xml:space="preserve"> amend to read:</w:t>
      </w:r>
    </w:p>
    <w:p w14:paraId="4B714D93" w14:textId="46B8A3FA" w:rsidR="00654D8A" w:rsidRPr="0075179A" w:rsidRDefault="00BC5719" w:rsidP="00654D8A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>
        <w:rPr>
          <w:color w:val="000000"/>
        </w:rPr>
        <w:t>"</w:t>
      </w:r>
      <w:r w:rsidR="00654D8A">
        <w:rPr>
          <w:color w:val="000000"/>
        </w:rPr>
        <w:t>2.5</w:t>
      </w:r>
      <w:r w:rsidR="00654D8A" w:rsidRPr="0075179A">
        <w:rPr>
          <w:color w:val="000000"/>
        </w:rPr>
        <w:t>.</w:t>
      </w:r>
      <w:r w:rsidR="00654D8A" w:rsidRPr="0075179A">
        <w:rPr>
          <w:color w:val="000000"/>
        </w:rPr>
        <w:tab/>
        <w:t>Device to prevent unauthorized use means a system designed to prevent unauthorized normal activation of the engine or other source of main engine power of the vehicle in combination with at least one system which:</w:t>
      </w:r>
    </w:p>
    <w:p w14:paraId="54B9D2D3" w14:textId="77777777" w:rsidR="00654D8A" w:rsidRPr="0075179A" w:rsidRDefault="00654D8A" w:rsidP="00654D8A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(a)</w:t>
      </w:r>
      <w:r w:rsidRPr="0075179A">
        <w:rPr>
          <w:color w:val="000000"/>
        </w:rPr>
        <w:tab/>
        <w:t>locks the steering; or</w:t>
      </w:r>
    </w:p>
    <w:p w14:paraId="77D9BAFF" w14:textId="77777777" w:rsidR="00654D8A" w:rsidRPr="0075179A" w:rsidRDefault="00654D8A" w:rsidP="00654D8A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(b)</w:t>
      </w:r>
      <w:r w:rsidRPr="0075179A">
        <w:rPr>
          <w:color w:val="000000"/>
        </w:rPr>
        <w:tab/>
        <w:t>locks the transmission; or</w:t>
      </w:r>
    </w:p>
    <w:p w14:paraId="76E7BA60" w14:textId="77777777" w:rsidR="00654D8A" w:rsidRPr="0075179A" w:rsidRDefault="00654D8A" w:rsidP="00654D8A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(c)</w:t>
      </w:r>
      <w:r w:rsidRPr="0075179A">
        <w:rPr>
          <w:color w:val="000000"/>
        </w:rPr>
        <w:tab/>
        <w:t>locks the gearshift control; or</w:t>
      </w:r>
    </w:p>
    <w:p w14:paraId="32E5EAE3" w14:textId="77777777" w:rsidR="00654D8A" w:rsidRPr="0075179A" w:rsidRDefault="00654D8A" w:rsidP="00654D8A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(d)</w:t>
      </w:r>
      <w:r w:rsidRPr="0075179A">
        <w:rPr>
          <w:color w:val="000000"/>
        </w:rPr>
        <w:tab/>
        <w:t>locks brakes.</w:t>
      </w:r>
    </w:p>
    <w:p w14:paraId="3970E39A" w14:textId="6AC6F71B" w:rsidR="00654D8A" w:rsidRDefault="00654D8A" w:rsidP="00654D8A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>
        <w:rPr>
          <w:color w:val="000000"/>
        </w:rPr>
        <w:tab/>
      </w:r>
      <w:r w:rsidRPr="0075179A">
        <w:rPr>
          <w:color w:val="000000"/>
        </w:rPr>
        <w:t xml:space="preserve">In the case of a system which locks brakes, deactivation of the device shall not automatically release the brakes </w:t>
      </w:r>
      <w:r w:rsidRPr="003B3AD1">
        <w:rPr>
          <w:strike/>
          <w:color w:val="000000"/>
        </w:rPr>
        <w:t>contrary to the driver's intention</w:t>
      </w:r>
      <w:r w:rsidRPr="003B3AD1">
        <w:rPr>
          <w:color w:val="000000"/>
        </w:rPr>
        <w:t xml:space="preserve"> </w:t>
      </w:r>
      <w:r w:rsidRPr="00473503">
        <w:rPr>
          <w:b/>
          <w:bCs/>
          <w:color w:val="000000"/>
        </w:rPr>
        <w:t>unless a driver or an ADS specifically request</w:t>
      </w:r>
      <w:r>
        <w:rPr>
          <w:b/>
          <w:bCs/>
          <w:color w:val="000000"/>
        </w:rPr>
        <w:t>s</w:t>
      </w:r>
      <w:r w:rsidRPr="00473503">
        <w:rPr>
          <w:b/>
          <w:bCs/>
          <w:color w:val="000000"/>
        </w:rPr>
        <w:t xml:space="preserve"> to do so</w:t>
      </w:r>
      <w:r w:rsidRPr="003B3AD1">
        <w:rPr>
          <w:color w:val="000000"/>
        </w:rPr>
        <w:t>.</w:t>
      </w:r>
      <w:r w:rsidR="00BC5719">
        <w:rPr>
          <w:color w:val="000000"/>
        </w:rPr>
        <w:t>"</w:t>
      </w:r>
    </w:p>
    <w:p w14:paraId="3AD85C51" w14:textId="77777777" w:rsidR="00654D8A" w:rsidRDefault="00654D8A" w:rsidP="00654D8A"/>
    <w:p w14:paraId="195A734F" w14:textId="77777777" w:rsidR="00654D8A" w:rsidRDefault="00654D8A" w:rsidP="00654D8A">
      <w:pPr>
        <w:ind w:left="1134"/>
        <w:rPr>
          <w:bCs/>
        </w:rPr>
      </w:pPr>
      <w:r w:rsidRPr="00953521">
        <w:tab/>
      </w:r>
      <w:r>
        <w:rPr>
          <w:bCs/>
          <w:i/>
          <w:iCs/>
        </w:rPr>
        <w:t xml:space="preserve">Paragraph 4.4.1., footnote 2, </w:t>
      </w:r>
      <w:r w:rsidRPr="004B17F7">
        <w:rPr>
          <w:bCs/>
        </w:rPr>
        <w:t>amend to read:</w:t>
      </w:r>
    </w:p>
    <w:p w14:paraId="3E06560C" w14:textId="77777777" w:rsidR="00654D8A" w:rsidRDefault="00654D8A" w:rsidP="00654D8A">
      <w:pPr>
        <w:ind w:left="1134"/>
        <w:rPr>
          <w:bCs/>
        </w:rPr>
      </w:pPr>
    </w:p>
    <w:p w14:paraId="70E0CDD9" w14:textId="41334D50" w:rsidR="000B1EA4" w:rsidRDefault="00654D8A" w:rsidP="00CD426B">
      <w:pPr>
        <w:tabs>
          <w:tab w:val="right" w:pos="993"/>
        </w:tabs>
        <w:ind w:left="1134" w:right="1134" w:hanging="1134"/>
        <w:rPr>
          <w:bCs/>
        </w:rPr>
      </w:pPr>
      <w:r>
        <w:tab/>
      </w:r>
      <w:r w:rsidR="00BC5719">
        <w:t>"</w:t>
      </w:r>
      <w:r>
        <w:rPr>
          <w:rStyle w:val="FootnoteReference"/>
        </w:rPr>
        <w:t>2</w:t>
      </w:r>
      <w:r>
        <w:tab/>
      </w:r>
      <w:r>
        <w:rPr>
          <w:sz w:val="18"/>
          <w:szCs w:val="18"/>
        </w:rPr>
        <w:t>As defined</w:t>
      </w:r>
      <w:r w:rsidRPr="004B17F7">
        <w:rPr>
          <w:sz w:val="18"/>
          <w:szCs w:val="18"/>
        </w:rPr>
        <w:t xml:space="preserve"> in Annex 3 to the Consolidated Resolution on the Construction of Vehicles (R.E.3), document ECE/TRANS/WP.29/78/Rev. </w:t>
      </w:r>
      <w:r w:rsidRPr="0036461E">
        <w:rPr>
          <w:strike/>
          <w:sz w:val="18"/>
          <w:szCs w:val="18"/>
        </w:rPr>
        <w:t>6</w:t>
      </w:r>
      <w:r w:rsidRPr="0036461E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 xml:space="preserve"> (</w:t>
      </w:r>
      <w:hyperlink r:id="rId13" w:history="1">
        <w:r w:rsidRPr="00103EB8">
          <w:rPr>
            <w:rStyle w:val="Hyperlink"/>
            <w:strike/>
            <w:szCs w:val="18"/>
            <w:lang w:val="en-US"/>
          </w:rPr>
          <w:t>https://unece.org/transport/standards/transport/vehicle-regulations-wp29/resolutions</w:t>
        </w:r>
      </w:hyperlink>
      <w:r>
        <w:rPr>
          <w:sz w:val="18"/>
          <w:szCs w:val="18"/>
        </w:rPr>
        <w:t xml:space="preserve"> </w:t>
      </w:r>
      <w:hyperlink r:id="rId14" w:history="1">
        <w:r w:rsidRPr="00103EB8">
          <w:rPr>
            <w:rStyle w:val="Hyperlink"/>
            <w:b/>
            <w:bCs/>
            <w:sz w:val="18"/>
            <w:szCs w:val="18"/>
          </w:rPr>
          <w:t>https://unece.org/transport/vehicle-regulations/wp29/resolutions</w:t>
        </w:r>
      </w:hyperlink>
      <w:r>
        <w:rPr>
          <w:sz w:val="18"/>
          <w:szCs w:val="18"/>
        </w:rPr>
        <w:t>)</w:t>
      </w:r>
      <w:r w:rsidR="00BC5719">
        <w:rPr>
          <w:sz w:val="18"/>
          <w:szCs w:val="18"/>
        </w:rPr>
        <w:t>"</w:t>
      </w:r>
    </w:p>
    <w:p w14:paraId="292D6AAB" w14:textId="77777777" w:rsidR="00CD426B" w:rsidRPr="00CD426B" w:rsidRDefault="00CD426B" w:rsidP="00CD426B">
      <w:pPr>
        <w:tabs>
          <w:tab w:val="right" w:pos="993"/>
        </w:tabs>
        <w:ind w:left="1134" w:hanging="1134"/>
        <w:rPr>
          <w:bCs/>
        </w:rPr>
      </w:pPr>
    </w:p>
    <w:p w14:paraId="1A4033C5" w14:textId="57AD3A5D" w:rsidR="001C6663" w:rsidRPr="000846F8" w:rsidRDefault="000B1EA4" w:rsidP="00FF70DD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sectPr w:rsidR="001C6663" w:rsidRPr="000846F8" w:rsidSect="000B1EA4">
      <w:headerReference w:type="even" r:id="rId15"/>
      <w:headerReference w:type="default" r:id="rId16"/>
      <w:footerReference w:type="even" r:id="rId17"/>
      <w:footerReference w:type="default" r:id="rId18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19E1" w14:textId="77777777" w:rsidR="00D1362A" w:rsidRDefault="00D1362A"/>
  </w:endnote>
  <w:endnote w:type="continuationSeparator" w:id="0">
    <w:p w14:paraId="295856C0" w14:textId="77777777" w:rsidR="00D1362A" w:rsidRDefault="00D1362A"/>
  </w:endnote>
  <w:endnote w:type="continuationNotice" w:id="1">
    <w:p w14:paraId="7D1D8DE3" w14:textId="77777777" w:rsidR="00D1362A" w:rsidRDefault="00D13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B8AC" w14:textId="77777777" w:rsidR="00D1362A" w:rsidRPr="000B175B" w:rsidRDefault="00D1362A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131AD3A" w14:textId="77777777" w:rsidR="00D1362A" w:rsidRPr="00FC68B7" w:rsidRDefault="00D1362A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F0E6ECE" w14:textId="77777777" w:rsidR="00D1362A" w:rsidRDefault="00D1362A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5434B18F" w:rsidR="000B1EA4" w:rsidRPr="00673C9E" w:rsidRDefault="00673C9E">
    <w:pPr>
      <w:pStyle w:val="Header"/>
      <w:rPr>
        <w:lang w:val="fr-CH"/>
      </w:rPr>
    </w:pPr>
    <w:r>
      <w:rPr>
        <w:lang w:val="fr-CH"/>
      </w:rPr>
      <w:t>ECE/TRANS/WP.29/GRSG/2025/41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7477C145" w:rsidR="000B1EA4" w:rsidRPr="000B1EA4" w:rsidRDefault="005C6E88" w:rsidP="000B1EA4">
    <w:pPr>
      <w:pStyle w:val="Header"/>
      <w:jc w:val="right"/>
    </w:pPr>
    <w:fldSimple w:instr=" TITLE  \* MERGEFORMAT ">
      <w:r w:rsidR="000A3B94">
        <w:t>ECE/TRANS/WP.29/GRSG/2025/XX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9137B"/>
    <w:multiLevelType w:val="hybridMultilevel"/>
    <w:tmpl w:val="300830A2"/>
    <w:lvl w:ilvl="0" w:tplc="2E98E316">
      <w:start w:val="1"/>
      <w:numFmt w:val="lowerLetter"/>
      <w:lvlText w:val="(%1)"/>
      <w:lvlJc w:val="left"/>
      <w:pPr>
        <w:ind w:left="3408" w:hanging="114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0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6"/>
  </w:num>
  <w:num w:numId="12" w16cid:durableId="1211183943">
    <w:abstractNumId w:val="15"/>
  </w:num>
  <w:num w:numId="13" w16cid:durableId="482426443">
    <w:abstractNumId w:val="10"/>
  </w:num>
  <w:num w:numId="14" w16cid:durableId="539629582">
    <w:abstractNumId w:val="13"/>
  </w:num>
  <w:num w:numId="15" w16cid:durableId="650136043">
    <w:abstractNumId w:val="17"/>
  </w:num>
  <w:num w:numId="16" w16cid:durableId="462188031">
    <w:abstractNumId w:val="14"/>
  </w:num>
  <w:num w:numId="17" w16cid:durableId="393236747">
    <w:abstractNumId w:val="18"/>
  </w:num>
  <w:num w:numId="18" w16cid:durableId="920482846">
    <w:abstractNumId w:val="20"/>
  </w:num>
  <w:num w:numId="19" w16cid:durableId="662591124">
    <w:abstractNumId w:val="11"/>
  </w:num>
  <w:num w:numId="20" w16cid:durableId="1793862634">
    <w:abstractNumId w:val="19"/>
  </w:num>
  <w:num w:numId="21" w16cid:durableId="4418188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7624"/>
    <w:rsid w:val="00050F6B"/>
    <w:rsid w:val="00051972"/>
    <w:rsid w:val="000543C6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A3B94"/>
    <w:rsid w:val="000B175B"/>
    <w:rsid w:val="000B1EA4"/>
    <w:rsid w:val="000B3A0F"/>
    <w:rsid w:val="000C01EE"/>
    <w:rsid w:val="000E0415"/>
    <w:rsid w:val="000E0E92"/>
    <w:rsid w:val="000F35BA"/>
    <w:rsid w:val="000F7715"/>
    <w:rsid w:val="001259DE"/>
    <w:rsid w:val="00156B99"/>
    <w:rsid w:val="00166124"/>
    <w:rsid w:val="001763F3"/>
    <w:rsid w:val="0017782E"/>
    <w:rsid w:val="00184DDA"/>
    <w:rsid w:val="001900CD"/>
    <w:rsid w:val="001A0452"/>
    <w:rsid w:val="001A3BEC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F1599"/>
    <w:rsid w:val="001F19C4"/>
    <w:rsid w:val="002043F0"/>
    <w:rsid w:val="00211E0B"/>
    <w:rsid w:val="00232575"/>
    <w:rsid w:val="00247258"/>
    <w:rsid w:val="00257CAC"/>
    <w:rsid w:val="00260D2F"/>
    <w:rsid w:val="00271E29"/>
    <w:rsid w:val="0027237A"/>
    <w:rsid w:val="002938A5"/>
    <w:rsid w:val="00296CEB"/>
    <w:rsid w:val="002974E9"/>
    <w:rsid w:val="002A306B"/>
    <w:rsid w:val="002A7F94"/>
    <w:rsid w:val="002B109A"/>
    <w:rsid w:val="002B29E9"/>
    <w:rsid w:val="002C67B4"/>
    <w:rsid w:val="002C6D45"/>
    <w:rsid w:val="002D6E53"/>
    <w:rsid w:val="002E110E"/>
    <w:rsid w:val="002F046D"/>
    <w:rsid w:val="002F3023"/>
    <w:rsid w:val="0030126A"/>
    <w:rsid w:val="00301764"/>
    <w:rsid w:val="003109E1"/>
    <w:rsid w:val="003229D8"/>
    <w:rsid w:val="00335BB1"/>
    <w:rsid w:val="00336C97"/>
    <w:rsid w:val="00337F88"/>
    <w:rsid w:val="00342432"/>
    <w:rsid w:val="0035047B"/>
    <w:rsid w:val="0035223F"/>
    <w:rsid w:val="00352D4B"/>
    <w:rsid w:val="003562B0"/>
    <w:rsid w:val="0035638C"/>
    <w:rsid w:val="00380772"/>
    <w:rsid w:val="00382A3A"/>
    <w:rsid w:val="003830D3"/>
    <w:rsid w:val="00394EF2"/>
    <w:rsid w:val="003A46BB"/>
    <w:rsid w:val="003A4EC7"/>
    <w:rsid w:val="003A7295"/>
    <w:rsid w:val="003B0C82"/>
    <w:rsid w:val="003B1F60"/>
    <w:rsid w:val="003C2CC4"/>
    <w:rsid w:val="003D4B23"/>
    <w:rsid w:val="003E278A"/>
    <w:rsid w:val="003E6AF7"/>
    <w:rsid w:val="003F0A27"/>
    <w:rsid w:val="003F21FC"/>
    <w:rsid w:val="00413520"/>
    <w:rsid w:val="00426E70"/>
    <w:rsid w:val="00431F55"/>
    <w:rsid w:val="004325CB"/>
    <w:rsid w:val="00440A07"/>
    <w:rsid w:val="00445124"/>
    <w:rsid w:val="00462880"/>
    <w:rsid w:val="00466414"/>
    <w:rsid w:val="00466D33"/>
    <w:rsid w:val="00476F24"/>
    <w:rsid w:val="00481761"/>
    <w:rsid w:val="004A570C"/>
    <w:rsid w:val="004A5D33"/>
    <w:rsid w:val="004A60AF"/>
    <w:rsid w:val="004B383B"/>
    <w:rsid w:val="004B57DB"/>
    <w:rsid w:val="004B59A0"/>
    <w:rsid w:val="004C55B0"/>
    <w:rsid w:val="004C651E"/>
    <w:rsid w:val="004D1435"/>
    <w:rsid w:val="004F6BA0"/>
    <w:rsid w:val="0050158B"/>
    <w:rsid w:val="00502B9C"/>
    <w:rsid w:val="00503BEA"/>
    <w:rsid w:val="00510783"/>
    <w:rsid w:val="00513249"/>
    <w:rsid w:val="00533616"/>
    <w:rsid w:val="00535ABA"/>
    <w:rsid w:val="005373CB"/>
    <w:rsid w:val="0053768B"/>
    <w:rsid w:val="00542082"/>
    <w:rsid w:val="005420F2"/>
    <w:rsid w:val="0054285C"/>
    <w:rsid w:val="00566E03"/>
    <w:rsid w:val="005736D0"/>
    <w:rsid w:val="00576CA0"/>
    <w:rsid w:val="00581BE8"/>
    <w:rsid w:val="00584173"/>
    <w:rsid w:val="00586555"/>
    <w:rsid w:val="00595520"/>
    <w:rsid w:val="005A44B9"/>
    <w:rsid w:val="005B1BA0"/>
    <w:rsid w:val="005B3DB3"/>
    <w:rsid w:val="005C0268"/>
    <w:rsid w:val="005C6E88"/>
    <w:rsid w:val="005D15CA"/>
    <w:rsid w:val="005E7B0B"/>
    <w:rsid w:val="005F06C6"/>
    <w:rsid w:val="005F08DF"/>
    <w:rsid w:val="005F3066"/>
    <w:rsid w:val="005F3E61"/>
    <w:rsid w:val="005F56C6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41184"/>
    <w:rsid w:val="00654A4C"/>
    <w:rsid w:val="00654D8A"/>
    <w:rsid w:val="00655B0A"/>
    <w:rsid w:val="0065766B"/>
    <w:rsid w:val="006663AE"/>
    <w:rsid w:val="0067039D"/>
    <w:rsid w:val="00670B41"/>
    <w:rsid w:val="00671576"/>
    <w:rsid w:val="00673C9E"/>
    <w:rsid w:val="006770B2"/>
    <w:rsid w:val="00677BA3"/>
    <w:rsid w:val="00686A48"/>
    <w:rsid w:val="0068763C"/>
    <w:rsid w:val="00691C3C"/>
    <w:rsid w:val="006940E1"/>
    <w:rsid w:val="00695423"/>
    <w:rsid w:val="006A3C72"/>
    <w:rsid w:val="006A7392"/>
    <w:rsid w:val="006B03A1"/>
    <w:rsid w:val="006B3B36"/>
    <w:rsid w:val="006B67D9"/>
    <w:rsid w:val="006C5535"/>
    <w:rsid w:val="006D0589"/>
    <w:rsid w:val="006D4056"/>
    <w:rsid w:val="006E2962"/>
    <w:rsid w:val="006E564B"/>
    <w:rsid w:val="006E7154"/>
    <w:rsid w:val="006F1361"/>
    <w:rsid w:val="006F22CE"/>
    <w:rsid w:val="007003CD"/>
    <w:rsid w:val="00701112"/>
    <w:rsid w:val="0070701E"/>
    <w:rsid w:val="0072632A"/>
    <w:rsid w:val="007358E8"/>
    <w:rsid w:val="00736ECE"/>
    <w:rsid w:val="007402FF"/>
    <w:rsid w:val="0074533B"/>
    <w:rsid w:val="00745C23"/>
    <w:rsid w:val="00745F4F"/>
    <w:rsid w:val="00762100"/>
    <w:rsid w:val="007643BC"/>
    <w:rsid w:val="00780C68"/>
    <w:rsid w:val="007959FE"/>
    <w:rsid w:val="007A0CF1"/>
    <w:rsid w:val="007B6BA5"/>
    <w:rsid w:val="007C3390"/>
    <w:rsid w:val="007C42D8"/>
    <w:rsid w:val="007C4F4B"/>
    <w:rsid w:val="007D321E"/>
    <w:rsid w:val="007D6F65"/>
    <w:rsid w:val="007D7362"/>
    <w:rsid w:val="007E2A38"/>
    <w:rsid w:val="007E4E69"/>
    <w:rsid w:val="007E7053"/>
    <w:rsid w:val="007F5CE2"/>
    <w:rsid w:val="007F6611"/>
    <w:rsid w:val="00805943"/>
    <w:rsid w:val="00810BAC"/>
    <w:rsid w:val="008121DD"/>
    <w:rsid w:val="00814C29"/>
    <w:rsid w:val="0081579F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77A8A"/>
    <w:rsid w:val="0088172E"/>
    <w:rsid w:val="00881EFA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7116"/>
    <w:rsid w:val="008F143B"/>
    <w:rsid w:val="008F18DF"/>
    <w:rsid w:val="008F3882"/>
    <w:rsid w:val="008F4B7C"/>
    <w:rsid w:val="00914A15"/>
    <w:rsid w:val="00914D27"/>
    <w:rsid w:val="0092556A"/>
    <w:rsid w:val="00926E47"/>
    <w:rsid w:val="00940723"/>
    <w:rsid w:val="00947162"/>
    <w:rsid w:val="00952BE2"/>
    <w:rsid w:val="009610D0"/>
    <w:rsid w:val="0096375C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FBE"/>
    <w:rsid w:val="009A6533"/>
    <w:rsid w:val="009A7B81"/>
    <w:rsid w:val="009B011B"/>
    <w:rsid w:val="009B0370"/>
    <w:rsid w:val="009B4ED7"/>
    <w:rsid w:val="009B7EB7"/>
    <w:rsid w:val="009D01C0"/>
    <w:rsid w:val="009D6A08"/>
    <w:rsid w:val="009E0A16"/>
    <w:rsid w:val="009E6CB7"/>
    <w:rsid w:val="009E7970"/>
    <w:rsid w:val="009F2EAC"/>
    <w:rsid w:val="009F5302"/>
    <w:rsid w:val="009F57E3"/>
    <w:rsid w:val="009F65A5"/>
    <w:rsid w:val="00A077A2"/>
    <w:rsid w:val="00A10F4F"/>
    <w:rsid w:val="00A11067"/>
    <w:rsid w:val="00A1704A"/>
    <w:rsid w:val="00A35A0F"/>
    <w:rsid w:val="00A36AC2"/>
    <w:rsid w:val="00A425EB"/>
    <w:rsid w:val="00A512FF"/>
    <w:rsid w:val="00A72F22"/>
    <w:rsid w:val="00A733BC"/>
    <w:rsid w:val="00A748A6"/>
    <w:rsid w:val="00A766C3"/>
    <w:rsid w:val="00A76A69"/>
    <w:rsid w:val="00A7780E"/>
    <w:rsid w:val="00A879A4"/>
    <w:rsid w:val="00A95C34"/>
    <w:rsid w:val="00A9719E"/>
    <w:rsid w:val="00AA0FF8"/>
    <w:rsid w:val="00AA768A"/>
    <w:rsid w:val="00AA7E78"/>
    <w:rsid w:val="00AA7F40"/>
    <w:rsid w:val="00AB67D5"/>
    <w:rsid w:val="00AC0F2C"/>
    <w:rsid w:val="00AC502A"/>
    <w:rsid w:val="00AE1E26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5C02"/>
    <w:rsid w:val="00B616FA"/>
    <w:rsid w:val="00B637E8"/>
    <w:rsid w:val="00B70B63"/>
    <w:rsid w:val="00B715E3"/>
    <w:rsid w:val="00B72A1E"/>
    <w:rsid w:val="00B762EE"/>
    <w:rsid w:val="00B76463"/>
    <w:rsid w:val="00B81E12"/>
    <w:rsid w:val="00B8479C"/>
    <w:rsid w:val="00BA339B"/>
    <w:rsid w:val="00BB23CC"/>
    <w:rsid w:val="00BC1E7E"/>
    <w:rsid w:val="00BC5719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2715E"/>
    <w:rsid w:val="00C45F4F"/>
    <w:rsid w:val="00C463DD"/>
    <w:rsid w:val="00C745C3"/>
    <w:rsid w:val="00C7495C"/>
    <w:rsid w:val="00C978F5"/>
    <w:rsid w:val="00CA24A4"/>
    <w:rsid w:val="00CB348D"/>
    <w:rsid w:val="00CC6378"/>
    <w:rsid w:val="00CD426B"/>
    <w:rsid w:val="00CD46F5"/>
    <w:rsid w:val="00CD6F8D"/>
    <w:rsid w:val="00CE1B38"/>
    <w:rsid w:val="00CE4A8F"/>
    <w:rsid w:val="00CF071D"/>
    <w:rsid w:val="00CF6C8D"/>
    <w:rsid w:val="00D0123D"/>
    <w:rsid w:val="00D1362A"/>
    <w:rsid w:val="00D15B04"/>
    <w:rsid w:val="00D2031B"/>
    <w:rsid w:val="00D25FE2"/>
    <w:rsid w:val="00D33C14"/>
    <w:rsid w:val="00D37688"/>
    <w:rsid w:val="00D37DA9"/>
    <w:rsid w:val="00D406A7"/>
    <w:rsid w:val="00D41AE9"/>
    <w:rsid w:val="00D43252"/>
    <w:rsid w:val="00D44D86"/>
    <w:rsid w:val="00D50B7D"/>
    <w:rsid w:val="00D52012"/>
    <w:rsid w:val="00D52E21"/>
    <w:rsid w:val="00D703FC"/>
    <w:rsid w:val="00D704E5"/>
    <w:rsid w:val="00D71579"/>
    <w:rsid w:val="00D72727"/>
    <w:rsid w:val="00D75291"/>
    <w:rsid w:val="00D9365B"/>
    <w:rsid w:val="00D978C6"/>
    <w:rsid w:val="00DA029E"/>
    <w:rsid w:val="00DA0956"/>
    <w:rsid w:val="00DA13BD"/>
    <w:rsid w:val="00DA357F"/>
    <w:rsid w:val="00DA3E12"/>
    <w:rsid w:val="00DB2D44"/>
    <w:rsid w:val="00DB4F0B"/>
    <w:rsid w:val="00DC18AD"/>
    <w:rsid w:val="00DD249E"/>
    <w:rsid w:val="00DF504D"/>
    <w:rsid w:val="00DF7CAE"/>
    <w:rsid w:val="00E03DE4"/>
    <w:rsid w:val="00E1573C"/>
    <w:rsid w:val="00E16AA2"/>
    <w:rsid w:val="00E423C0"/>
    <w:rsid w:val="00E47B84"/>
    <w:rsid w:val="00E6414C"/>
    <w:rsid w:val="00E7260F"/>
    <w:rsid w:val="00E8702D"/>
    <w:rsid w:val="00E905F4"/>
    <w:rsid w:val="00E916A9"/>
    <w:rsid w:val="00E916DE"/>
    <w:rsid w:val="00E925AD"/>
    <w:rsid w:val="00E96630"/>
    <w:rsid w:val="00EA7291"/>
    <w:rsid w:val="00EB0631"/>
    <w:rsid w:val="00EC3EFB"/>
    <w:rsid w:val="00EC7496"/>
    <w:rsid w:val="00ED18DC"/>
    <w:rsid w:val="00ED6201"/>
    <w:rsid w:val="00ED6652"/>
    <w:rsid w:val="00ED7A2A"/>
    <w:rsid w:val="00ED7DD7"/>
    <w:rsid w:val="00EF1D7F"/>
    <w:rsid w:val="00EF230B"/>
    <w:rsid w:val="00F0137E"/>
    <w:rsid w:val="00F04E44"/>
    <w:rsid w:val="00F140E2"/>
    <w:rsid w:val="00F21786"/>
    <w:rsid w:val="00F23BDC"/>
    <w:rsid w:val="00F25D06"/>
    <w:rsid w:val="00F265DE"/>
    <w:rsid w:val="00F31CFF"/>
    <w:rsid w:val="00F3742B"/>
    <w:rsid w:val="00F41FDB"/>
    <w:rsid w:val="00F42D9B"/>
    <w:rsid w:val="00F47128"/>
    <w:rsid w:val="00F50597"/>
    <w:rsid w:val="00F5132A"/>
    <w:rsid w:val="00F52073"/>
    <w:rsid w:val="00F5436B"/>
    <w:rsid w:val="00F56D63"/>
    <w:rsid w:val="00F609A9"/>
    <w:rsid w:val="00F62C75"/>
    <w:rsid w:val="00F80C99"/>
    <w:rsid w:val="00F84786"/>
    <w:rsid w:val="00F867EC"/>
    <w:rsid w:val="00F91B2B"/>
    <w:rsid w:val="00FA2265"/>
    <w:rsid w:val="00FC03CD"/>
    <w:rsid w:val="00FC0646"/>
    <w:rsid w:val="00FC1DE7"/>
    <w:rsid w:val="00FC68B7"/>
    <w:rsid w:val="00FD220C"/>
    <w:rsid w:val="00FE0518"/>
    <w:rsid w:val="00FE3E4E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standards/transport/vehicle-regulations-wp29/resolu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)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ce.org/transport/vehicle-regulations/wp29/resolu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9AAC5-220B-48C3-9F82-1C5D93AEA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ECE/TRANS/WP.29/GRSG/2025/8</vt:lpstr>
      <vt:lpstr>ECE/TRANS/WP.29/GRSG/2025/8</vt:lpstr>
      <vt:lpstr/>
    </vt:vector>
  </TitlesOfParts>
  <Company>CSD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3</cp:revision>
  <cp:lastPrinted>2025-07-21T07:26:00Z</cp:lastPrinted>
  <dcterms:created xsi:type="dcterms:W3CDTF">2025-07-21T07:25:00Z</dcterms:created>
  <dcterms:modified xsi:type="dcterms:W3CDTF">2025-07-21T07:26:00Z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