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1C6E0AC9" w14:textId="77777777" w:rsidTr="00B20551">
        <w:trPr>
          <w:cantSplit/>
          <w:trHeight w:hRule="exact" w:val="851"/>
        </w:trPr>
        <w:tc>
          <w:tcPr>
            <w:tcW w:w="1276" w:type="dxa"/>
            <w:tcBorders>
              <w:bottom w:val="single" w:sz="4" w:space="0" w:color="auto"/>
            </w:tcBorders>
            <w:vAlign w:val="bottom"/>
          </w:tcPr>
          <w:p w14:paraId="31EBB818" w14:textId="77777777" w:rsidR="009E6CB7" w:rsidRDefault="009E6CB7" w:rsidP="00B20551">
            <w:pPr>
              <w:spacing w:after="80"/>
            </w:pPr>
          </w:p>
        </w:tc>
        <w:tc>
          <w:tcPr>
            <w:tcW w:w="2268" w:type="dxa"/>
            <w:tcBorders>
              <w:bottom w:val="single" w:sz="4" w:space="0" w:color="auto"/>
            </w:tcBorders>
            <w:vAlign w:val="bottom"/>
          </w:tcPr>
          <w:p w14:paraId="3B023B0C"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FA01C64" w14:textId="63195CA2" w:rsidR="009E6CB7" w:rsidRPr="00D47EEA" w:rsidRDefault="00AA3BFE" w:rsidP="00AA3BFE">
            <w:pPr>
              <w:jc w:val="right"/>
            </w:pPr>
            <w:r w:rsidRPr="00AA3BFE">
              <w:rPr>
                <w:sz w:val="40"/>
              </w:rPr>
              <w:t>ECE</w:t>
            </w:r>
            <w:r>
              <w:t>/TRANS/WP.29/2025/5</w:t>
            </w:r>
            <w:r w:rsidR="006E2216">
              <w:t>8</w:t>
            </w:r>
          </w:p>
        </w:tc>
      </w:tr>
      <w:tr w:rsidR="009E6CB7" w14:paraId="7624203C" w14:textId="77777777" w:rsidTr="00B20551">
        <w:trPr>
          <w:cantSplit/>
          <w:trHeight w:hRule="exact" w:val="2835"/>
        </w:trPr>
        <w:tc>
          <w:tcPr>
            <w:tcW w:w="1276" w:type="dxa"/>
            <w:tcBorders>
              <w:top w:val="single" w:sz="4" w:space="0" w:color="auto"/>
              <w:bottom w:val="single" w:sz="12" w:space="0" w:color="auto"/>
            </w:tcBorders>
          </w:tcPr>
          <w:p w14:paraId="44A08E6C" w14:textId="77777777" w:rsidR="009E6CB7" w:rsidRDefault="00686A48" w:rsidP="00B20551">
            <w:pPr>
              <w:spacing w:before="120"/>
            </w:pPr>
            <w:r>
              <w:rPr>
                <w:noProof/>
                <w:lang w:val="fr-CH" w:eastAsia="fr-CH"/>
              </w:rPr>
              <w:drawing>
                <wp:inline distT="0" distB="0" distL="0" distR="0" wp14:anchorId="02FD8049" wp14:editId="522F2DF6">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E84910F"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3699A612" w14:textId="77777777" w:rsidR="009E6CB7" w:rsidRDefault="00AA3BFE" w:rsidP="00AA3BFE">
            <w:pPr>
              <w:spacing w:before="240" w:line="240" w:lineRule="exact"/>
            </w:pPr>
            <w:r>
              <w:t>Distr.: General</w:t>
            </w:r>
          </w:p>
          <w:p w14:paraId="23EDC0A8" w14:textId="474E524D" w:rsidR="00AA3BFE" w:rsidRDefault="00AE2785" w:rsidP="00AA3BFE">
            <w:pPr>
              <w:spacing w:line="240" w:lineRule="exact"/>
            </w:pPr>
            <w:r>
              <w:t>4</w:t>
            </w:r>
            <w:r w:rsidR="00AA3BFE">
              <w:t xml:space="preserve"> </w:t>
            </w:r>
            <w:r w:rsidR="0068703F">
              <w:t>April</w:t>
            </w:r>
            <w:r w:rsidR="00AA3BFE">
              <w:t xml:space="preserve"> 2025</w:t>
            </w:r>
          </w:p>
          <w:p w14:paraId="14C7BECE" w14:textId="77777777" w:rsidR="00AA3BFE" w:rsidRDefault="00AA3BFE" w:rsidP="00AA3BFE">
            <w:pPr>
              <w:spacing w:line="240" w:lineRule="exact"/>
            </w:pPr>
          </w:p>
          <w:p w14:paraId="1EBDE5C3" w14:textId="4DEFA31A" w:rsidR="00AA3BFE" w:rsidRDefault="00AA3BFE" w:rsidP="00AA3BFE">
            <w:pPr>
              <w:spacing w:line="240" w:lineRule="exact"/>
            </w:pPr>
            <w:r>
              <w:t>Original: English</w:t>
            </w:r>
          </w:p>
        </w:tc>
      </w:tr>
    </w:tbl>
    <w:p w14:paraId="6FD08F01" w14:textId="77777777" w:rsidR="002A4E35" w:rsidRPr="001D703D" w:rsidRDefault="002A4E35" w:rsidP="002A4E35">
      <w:pPr>
        <w:spacing w:before="120"/>
        <w:rPr>
          <w:b/>
          <w:sz w:val="28"/>
          <w:szCs w:val="28"/>
        </w:rPr>
      </w:pPr>
      <w:r w:rsidRPr="001D703D">
        <w:rPr>
          <w:b/>
          <w:sz w:val="28"/>
          <w:szCs w:val="28"/>
        </w:rPr>
        <w:t>Economic Commission for Europe</w:t>
      </w:r>
    </w:p>
    <w:p w14:paraId="2F0B0363" w14:textId="77777777" w:rsidR="002A4E35" w:rsidRPr="001D703D" w:rsidRDefault="002A4E35" w:rsidP="002A4E35">
      <w:pPr>
        <w:spacing w:before="120"/>
        <w:rPr>
          <w:sz w:val="28"/>
          <w:szCs w:val="28"/>
        </w:rPr>
      </w:pPr>
      <w:r w:rsidRPr="001D703D">
        <w:rPr>
          <w:sz w:val="28"/>
          <w:szCs w:val="28"/>
        </w:rPr>
        <w:t>Inland Transport Committee</w:t>
      </w:r>
    </w:p>
    <w:p w14:paraId="548DC7B4" w14:textId="77777777" w:rsidR="002A4E35" w:rsidRPr="001D703D" w:rsidRDefault="002A4E35" w:rsidP="002A4E35">
      <w:pPr>
        <w:spacing w:before="120"/>
        <w:rPr>
          <w:b/>
          <w:sz w:val="24"/>
          <w:szCs w:val="24"/>
        </w:rPr>
      </w:pPr>
      <w:r w:rsidRPr="001D703D">
        <w:rPr>
          <w:b/>
          <w:sz w:val="24"/>
          <w:szCs w:val="24"/>
        </w:rPr>
        <w:t>World Forum for Harmonization of Vehicle Regulations</w:t>
      </w:r>
    </w:p>
    <w:p w14:paraId="5E331CF4" w14:textId="77777777" w:rsidR="002A4E35" w:rsidRPr="001D703D" w:rsidRDefault="002A4E35" w:rsidP="002A4E35">
      <w:pPr>
        <w:tabs>
          <w:tab w:val="center" w:pos="4819"/>
        </w:tabs>
        <w:spacing w:before="120"/>
        <w:rPr>
          <w:b/>
          <w:lang w:val="en-US"/>
        </w:rPr>
      </w:pPr>
      <w:r>
        <w:rPr>
          <w:b/>
          <w:lang w:val="en-US"/>
        </w:rPr>
        <w:t xml:space="preserve">196th </w:t>
      </w:r>
      <w:r w:rsidRPr="001D703D">
        <w:rPr>
          <w:b/>
          <w:lang w:val="en-US"/>
        </w:rPr>
        <w:t>session</w:t>
      </w:r>
    </w:p>
    <w:p w14:paraId="69EAB14D" w14:textId="77777777" w:rsidR="002A4E35" w:rsidRPr="001D703D" w:rsidRDefault="002A4E35" w:rsidP="002A4E35">
      <w:pPr>
        <w:rPr>
          <w:lang w:val="en-US"/>
        </w:rPr>
      </w:pPr>
      <w:r>
        <w:rPr>
          <w:lang w:val="en-US"/>
        </w:rPr>
        <w:t>Geneva, 2</w:t>
      </w:r>
      <w:r>
        <w:rPr>
          <w:bCs/>
        </w:rPr>
        <w:t>4</w:t>
      </w:r>
      <w:r w:rsidRPr="000E31C1">
        <w:rPr>
          <w:bCs/>
        </w:rPr>
        <w:t>–</w:t>
      </w:r>
      <w:r>
        <w:rPr>
          <w:bCs/>
        </w:rPr>
        <w:t>27</w:t>
      </w:r>
      <w:r w:rsidRPr="000E31C1">
        <w:rPr>
          <w:bCs/>
        </w:rPr>
        <w:t xml:space="preserve"> </w:t>
      </w:r>
      <w:r>
        <w:rPr>
          <w:bCs/>
        </w:rPr>
        <w:t>June</w:t>
      </w:r>
      <w:r w:rsidRPr="000E31C1">
        <w:rPr>
          <w:bCs/>
        </w:rPr>
        <w:t xml:space="preserve"> 202</w:t>
      </w:r>
      <w:r>
        <w:rPr>
          <w:bCs/>
        </w:rPr>
        <w:t>5</w:t>
      </w:r>
    </w:p>
    <w:p w14:paraId="6BA0D00E" w14:textId="213F5B92" w:rsidR="002A4E35" w:rsidRPr="001D703D" w:rsidRDefault="002A4E35" w:rsidP="002A4E35">
      <w:r w:rsidRPr="001D703D">
        <w:t>Ite</w:t>
      </w:r>
      <w:r w:rsidRPr="0012673E">
        <w:t>m 4.</w:t>
      </w:r>
      <w:r w:rsidR="00FF0E6D">
        <w:t>7</w:t>
      </w:r>
      <w:r w:rsidRPr="0012673E">
        <w:t>.</w:t>
      </w:r>
      <w:r w:rsidR="006E2216">
        <w:t>3</w:t>
      </w:r>
      <w:r>
        <w:t xml:space="preserve"> </w:t>
      </w:r>
      <w:r w:rsidRPr="001D703D">
        <w:t>of the provisional agenda</w:t>
      </w:r>
    </w:p>
    <w:p w14:paraId="135A974F" w14:textId="77777777" w:rsidR="002A4E35" w:rsidRDefault="002A4E35" w:rsidP="002A4E35">
      <w:pPr>
        <w:rPr>
          <w:b/>
        </w:rPr>
      </w:pPr>
      <w:r>
        <w:rPr>
          <w:b/>
        </w:rPr>
        <w:t>1958 Agreement:</w:t>
      </w:r>
    </w:p>
    <w:p w14:paraId="156B6CAC" w14:textId="77777777" w:rsidR="002A4E35" w:rsidRDefault="002A4E35" w:rsidP="002A4E35">
      <w:pPr>
        <w:rPr>
          <w:b/>
        </w:rPr>
      </w:pPr>
      <w:r>
        <w:rPr>
          <w:b/>
        </w:rPr>
        <w:t>Consideration of draft amendments to existing</w:t>
      </w:r>
    </w:p>
    <w:p w14:paraId="5534B416" w14:textId="312624F8" w:rsidR="002A4E35" w:rsidRDefault="002A4E35" w:rsidP="002A4E35">
      <w:pPr>
        <w:rPr>
          <w:b/>
          <w:bCs/>
        </w:rPr>
      </w:pPr>
      <w:r>
        <w:rPr>
          <w:b/>
        </w:rPr>
        <w:t xml:space="preserve">UN Regulations submitted by </w:t>
      </w:r>
      <w:proofErr w:type="gramStart"/>
      <w:r w:rsidR="00FF0E6D">
        <w:rPr>
          <w:b/>
        </w:rPr>
        <w:t>GRVA</w:t>
      </w:r>
      <w:proofErr w:type="gramEnd"/>
    </w:p>
    <w:p w14:paraId="61ED9345" w14:textId="28A93653" w:rsidR="002A4E35" w:rsidRDefault="003C7CA2" w:rsidP="002A4E35">
      <w:pPr>
        <w:pStyle w:val="HChG"/>
        <w:ind w:left="1124" w:right="1138" w:firstLine="0"/>
      </w:pPr>
      <w:r w:rsidRPr="006C3764">
        <w:t xml:space="preserve">Proposal for a Supplement </w:t>
      </w:r>
      <w:r w:rsidR="000D4E87">
        <w:t>5</w:t>
      </w:r>
      <w:r w:rsidRPr="006C3764">
        <w:t xml:space="preserve"> to the 1</w:t>
      </w:r>
      <w:r w:rsidR="000D4E87">
        <w:t>3</w:t>
      </w:r>
      <w:r w:rsidRPr="006C3764">
        <w:t xml:space="preserve"> series of amendments to UN Regulation No. 13 (Heavy Vehicle Braking)</w:t>
      </w:r>
    </w:p>
    <w:p w14:paraId="7237B1C1" w14:textId="73DC5D50" w:rsidR="002A4E35" w:rsidRDefault="002A4E35" w:rsidP="002A4E35">
      <w:pPr>
        <w:pStyle w:val="H1G"/>
        <w:rPr>
          <w:szCs w:val="24"/>
        </w:rPr>
      </w:pPr>
      <w:r>
        <w:tab/>
      </w:r>
      <w:r>
        <w:tab/>
      </w:r>
      <w:r>
        <w:rPr>
          <w:szCs w:val="24"/>
        </w:rPr>
        <w:t xml:space="preserve">Submitted by the Working Party on </w:t>
      </w:r>
      <w:r w:rsidR="00923A99">
        <w:rPr>
          <w:lang w:val="en-US"/>
        </w:rPr>
        <w:t>Automated/Autonomous and Connected Vehicles</w:t>
      </w:r>
      <w:r>
        <w:footnoteReference w:customMarkFollows="1" w:id="2"/>
        <w:t>*</w:t>
      </w:r>
    </w:p>
    <w:p w14:paraId="7FE563F3" w14:textId="06CC6012" w:rsidR="000D4E87" w:rsidRDefault="002A4E35" w:rsidP="000D4E87">
      <w:pPr>
        <w:pStyle w:val="SingleTxtG"/>
        <w:rPr>
          <w:lang w:val="en-US"/>
        </w:rPr>
      </w:pPr>
      <w:r>
        <w:rPr>
          <w:lang w:val="en-US"/>
        </w:rPr>
        <w:tab/>
        <w:t xml:space="preserve">The text reproduced below was adopted by the Working Party on </w:t>
      </w:r>
      <w:r w:rsidR="00EE407E">
        <w:rPr>
          <w:lang w:val="en-US"/>
        </w:rPr>
        <w:t xml:space="preserve">Automated/Autonomous and Connected Vehicles </w:t>
      </w:r>
      <w:r>
        <w:rPr>
          <w:lang w:val="en-US"/>
        </w:rPr>
        <w:t>(GR</w:t>
      </w:r>
      <w:r w:rsidR="00EE407E">
        <w:rPr>
          <w:lang w:val="en-US"/>
        </w:rPr>
        <w:t>VA</w:t>
      </w:r>
      <w:r>
        <w:rPr>
          <w:lang w:val="en-US"/>
        </w:rPr>
        <w:t xml:space="preserve">) at its </w:t>
      </w:r>
      <w:r w:rsidR="00EE407E">
        <w:rPr>
          <w:lang w:val="en-US"/>
        </w:rPr>
        <w:t>twenty-first</w:t>
      </w:r>
      <w:r>
        <w:rPr>
          <w:lang w:val="en-US"/>
        </w:rPr>
        <w:t xml:space="preserve"> session (</w:t>
      </w:r>
      <w:r w:rsidR="00EE407E" w:rsidRPr="006C3764">
        <w:rPr>
          <w:bCs/>
        </w:rPr>
        <w:t xml:space="preserve">ECE/TRANS/WP.29/GRVA/21, para. </w:t>
      </w:r>
      <w:r w:rsidR="003C7CA2">
        <w:rPr>
          <w:bCs/>
        </w:rPr>
        <w:t>11</w:t>
      </w:r>
      <w:r w:rsidR="00EE407E" w:rsidRPr="006C3764">
        <w:rPr>
          <w:bCs/>
        </w:rPr>
        <w:t>8</w:t>
      </w:r>
      <w:r>
        <w:rPr>
          <w:lang w:val="en-US"/>
        </w:rPr>
        <w:t>).</w:t>
      </w:r>
      <w:r>
        <w:rPr>
          <w:lang w:val="en-US" w:eastAsia="en-GB"/>
        </w:rPr>
        <w:t xml:space="preserve"> </w:t>
      </w:r>
      <w:r>
        <w:rPr>
          <w:lang w:eastAsia="en-GB"/>
        </w:rPr>
        <w:t xml:space="preserve">It is based on </w:t>
      </w:r>
      <w:r w:rsidR="003C7CA2" w:rsidRPr="006C3764">
        <w:t>ECE/TRANS/WP.29/GRVA/2025/16 as amended by GRVA-21-59</w:t>
      </w:r>
      <w:r>
        <w:rPr>
          <w:lang w:val="en-US"/>
        </w:rPr>
        <w:t>. It is submitted to the World Forum for Harmonization of Vehicle Regulations (WP.29) and to the Administrative Committee (AC.1) for consideration at their June 2025 sessions.</w:t>
      </w:r>
    </w:p>
    <w:p w14:paraId="052AABBF" w14:textId="01CC8BE8" w:rsidR="00BC16B2" w:rsidRDefault="00BC16B2">
      <w:r>
        <w:br w:type="page"/>
      </w:r>
    </w:p>
    <w:p w14:paraId="2BD8E8DF" w14:textId="77777777" w:rsidR="00B921F6" w:rsidRDefault="00B921F6" w:rsidP="00B921F6">
      <w:pPr>
        <w:pStyle w:val="SingleTxtG"/>
        <w:rPr>
          <w:i/>
          <w:iCs/>
        </w:rPr>
      </w:pPr>
      <w:bookmarkStart w:id="0" w:name="_Hlk150272690"/>
      <w:bookmarkStart w:id="1" w:name="_Hlk150272746"/>
      <w:bookmarkStart w:id="2" w:name="_Hlk150272800"/>
      <w:r w:rsidRPr="00776D5D">
        <w:rPr>
          <w:i/>
          <w:iCs/>
        </w:rPr>
        <w:lastRenderedPageBreak/>
        <w:t xml:space="preserve">Annex 10, </w:t>
      </w:r>
    </w:p>
    <w:p w14:paraId="3B6A844F" w14:textId="77777777" w:rsidR="00B921F6" w:rsidRDefault="00B921F6" w:rsidP="00B921F6">
      <w:pPr>
        <w:pStyle w:val="SingleTxtG"/>
      </w:pPr>
      <w:r>
        <w:rPr>
          <w:i/>
          <w:iCs/>
        </w:rPr>
        <w:t>P</w:t>
      </w:r>
      <w:r w:rsidRPr="00776D5D">
        <w:rPr>
          <w:i/>
          <w:iCs/>
        </w:rPr>
        <w:t>aragraph 1.1.</w:t>
      </w:r>
      <w:r>
        <w:rPr>
          <w:i/>
          <w:iCs/>
        </w:rPr>
        <w:t>,</w:t>
      </w:r>
      <w:r w:rsidRPr="007455AE">
        <w:t xml:space="preserve"> amend to read:</w:t>
      </w:r>
    </w:p>
    <w:p w14:paraId="0062A79D" w14:textId="77777777" w:rsidR="00B921F6" w:rsidRPr="00F62FE0" w:rsidRDefault="00B921F6" w:rsidP="00B921F6">
      <w:pPr>
        <w:pStyle w:val="SingleTxtG"/>
        <w:tabs>
          <w:tab w:val="clear" w:pos="1701"/>
        </w:tabs>
        <w:ind w:left="2268" w:hanging="1134"/>
        <w:rPr>
          <w:sz w:val="12"/>
          <w:szCs w:val="12"/>
          <w:lang w:val="en-US"/>
        </w:rPr>
      </w:pPr>
      <w:r w:rsidRPr="00F62FE0">
        <w:rPr>
          <w:lang w:val="en-US"/>
        </w:rPr>
        <w:t>1.1.</w:t>
      </w:r>
      <w:r>
        <w:rPr>
          <w:lang w:val="en-US"/>
        </w:rPr>
        <w:tab/>
      </w:r>
      <w:r w:rsidRPr="00F62FE0">
        <w:rPr>
          <w:lang w:val="en-US"/>
        </w:rPr>
        <w:t>Vehicles of categories M</w:t>
      </w:r>
      <w:r w:rsidRPr="00F62FE0">
        <w:rPr>
          <w:sz w:val="13"/>
          <w:szCs w:val="13"/>
          <w:lang w:val="en-US"/>
        </w:rPr>
        <w:t>2</w:t>
      </w:r>
      <w:r w:rsidRPr="00F62FE0">
        <w:rPr>
          <w:lang w:val="en-US"/>
        </w:rPr>
        <w:t>, M</w:t>
      </w:r>
      <w:r w:rsidRPr="00F62FE0">
        <w:rPr>
          <w:sz w:val="13"/>
          <w:szCs w:val="13"/>
          <w:lang w:val="en-US"/>
        </w:rPr>
        <w:t>3</w:t>
      </w:r>
      <w:r w:rsidRPr="00F62FE0">
        <w:rPr>
          <w:lang w:val="en-US"/>
        </w:rPr>
        <w:t>, N, O</w:t>
      </w:r>
      <w:r w:rsidRPr="00F62FE0">
        <w:rPr>
          <w:sz w:val="13"/>
          <w:szCs w:val="13"/>
          <w:lang w:val="en-US"/>
        </w:rPr>
        <w:t>2</w:t>
      </w:r>
      <w:r w:rsidRPr="00F62FE0">
        <w:rPr>
          <w:lang w:val="en-US"/>
        </w:rPr>
        <w:t>, O</w:t>
      </w:r>
      <w:r w:rsidRPr="00F62FE0">
        <w:rPr>
          <w:sz w:val="13"/>
          <w:szCs w:val="13"/>
          <w:lang w:val="en-US"/>
        </w:rPr>
        <w:t xml:space="preserve">3 </w:t>
      </w:r>
      <w:r w:rsidRPr="00F62FE0">
        <w:rPr>
          <w:lang w:val="en-US"/>
        </w:rPr>
        <w:t>and O</w:t>
      </w:r>
      <w:r w:rsidRPr="00F62FE0">
        <w:rPr>
          <w:sz w:val="13"/>
          <w:szCs w:val="13"/>
          <w:lang w:val="en-US"/>
        </w:rPr>
        <w:t xml:space="preserve">4 </w:t>
      </w:r>
      <w:r w:rsidRPr="00F62FE0">
        <w:rPr>
          <w:lang w:val="en-US"/>
        </w:rPr>
        <w:t>shall meet all the requirements of this annex. If a special device is used, this shall operate automatically.</w:t>
      </w:r>
      <w:r w:rsidRPr="00F62FE0">
        <w:rPr>
          <w:sz w:val="12"/>
          <w:szCs w:val="12"/>
          <w:lang w:val="en-US"/>
        </w:rPr>
        <w:t xml:space="preserve">1 </w:t>
      </w:r>
    </w:p>
    <w:p w14:paraId="63C4EE80" w14:textId="77777777" w:rsidR="00B921F6" w:rsidRPr="00F62FE0" w:rsidRDefault="00B921F6" w:rsidP="00B921F6">
      <w:pPr>
        <w:pStyle w:val="SingleTxtG"/>
        <w:ind w:left="2268"/>
        <w:rPr>
          <w:lang w:val="en-US"/>
        </w:rPr>
      </w:pPr>
      <w:r w:rsidRPr="00F62FE0">
        <w:rPr>
          <w:lang w:val="en-US"/>
        </w:rPr>
        <w:t xml:space="preserve">However, vehicles in the above categories which are equipped with an anti-lock braking system and fulfil the relevant requirements of Annex 13, shall also fulfil all the relevant requirements of this annex with the following exceptions: </w:t>
      </w:r>
    </w:p>
    <w:p w14:paraId="14FE94BF" w14:textId="77777777" w:rsidR="00B921F6" w:rsidRDefault="00B921F6" w:rsidP="00B921F6">
      <w:pPr>
        <w:pStyle w:val="SingleTxtG"/>
        <w:ind w:left="2268"/>
        <w:rPr>
          <w:lang w:val="en-US"/>
        </w:rPr>
      </w:pPr>
      <w:r>
        <w:rPr>
          <w:lang w:val="en-US"/>
        </w:rPr>
        <w:t>(a)</w:t>
      </w:r>
      <w:r>
        <w:rPr>
          <w:lang w:val="en-US"/>
        </w:rPr>
        <w:tab/>
      </w:r>
      <w:r w:rsidRPr="00C24B36">
        <w:rPr>
          <w:lang w:val="en-US"/>
        </w:rPr>
        <w:t xml:space="preserve">Compliance with the adhesion utilization requirements associated with diagrams 1A, 1B or 1C, as appropriate, is not required. </w:t>
      </w:r>
    </w:p>
    <w:p w14:paraId="059D2900" w14:textId="77777777" w:rsidR="00B921F6" w:rsidRPr="004B5D20" w:rsidRDefault="00B921F6" w:rsidP="00B921F6">
      <w:pPr>
        <w:pStyle w:val="SingleTxtG"/>
        <w:ind w:left="2268"/>
        <w:rPr>
          <w:lang w:val="en-US"/>
        </w:rPr>
      </w:pPr>
      <w:r>
        <w:rPr>
          <w:lang w:val="en-US"/>
        </w:rPr>
        <w:t>(b)</w:t>
      </w:r>
      <w:r>
        <w:rPr>
          <w:lang w:val="en-US"/>
        </w:rPr>
        <w:tab/>
      </w:r>
      <w:r w:rsidRPr="00C24B36">
        <w:rPr>
          <w:lang w:val="en-US"/>
        </w:rPr>
        <w:t xml:space="preserve">In the case of towing vehicles and trailers, equipped with a compressed air braking system, </w:t>
      </w:r>
      <w:r w:rsidRPr="004B5D20">
        <w:rPr>
          <w:lang w:val="en-US"/>
        </w:rPr>
        <w:t>compliance with the unladen compatibility requirements associated with diagrams 2, 3</w:t>
      </w:r>
      <w:r w:rsidRPr="00CC31AD">
        <w:rPr>
          <w:lang w:val="en-US"/>
        </w:rPr>
        <w:t>, 4 or 5</w:t>
      </w:r>
      <w:r w:rsidRPr="004B5D20">
        <w:rPr>
          <w:lang w:val="en-US"/>
        </w:rPr>
        <w:t>, as appropriate, is not required. However, for all load conditions, a braking rate shall be developed between a pressure of 20 kPa and 100 kPa or the equivalent digital demand value at the coupling head of the control line(s).</w:t>
      </w:r>
    </w:p>
    <w:p w14:paraId="793A8EA8" w14:textId="77777777" w:rsidR="00B921F6" w:rsidRPr="004B5D20" w:rsidRDefault="00B921F6" w:rsidP="00B921F6">
      <w:pPr>
        <w:spacing w:after="120"/>
        <w:ind w:left="2268" w:right="1134" w:hanging="1134"/>
        <w:jc w:val="both"/>
      </w:pPr>
      <w:r w:rsidRPr="004B5D20">
        <w:rPr>
          <w:i/>
          <w:iCs/>
        </w:rPr>
        <w:t>Paragraph 5.1.3.</w:t>
      </w:r>
      <w:r w:rsidRPr="004B5D20">
        <w:t xml:space="preserve"> amend to read:</w:t>
      </w:r>
    </w:p>
    <w:p w14:paraId="567FC2EF" w14:textId="6E747E0F" w:rsidR="00B921F6" w:rsidRPr="0079265C" w:rsidRDefault="00B921F6" w:rsidP="00B921F6">
      <w:pPr>
        <w:pStyle w:val="SingleTxtG"/>
        <w:tabs>
          <w:tab w:val="clear" w:pos="1701"/>
        </w:tabs>
        <w:ind w:left="2268" w:hanging="1134"/>
        <w:rPr>
          <w:b/>
          <w:sz w:val="14"/>
          <w:szCs w:val="14"/>
        </w:rPr>
      </w:pPr>
      <w:r w:rsidRPr="004B5D20">
        <w:t>5.1.3.</w:t>
      </w:r>
      <w:r w:rsidRPr="004B5D20">
        <w:tab/>
        <w:t>The permissible relationship between the braking rate T</w:t>
      </w:r>
      <w:r w:rsidRPr="004B5D20">
        <w:rPr>
          <w:sz w:val="13"/>
          <w:szCs w:val="13"/>
        </w:rPr>
        <w:t>R</w:t>
      </w:r>
      <w:r w:rsidRPr="004B5D20">
        <w:t>/P</w:t>
      </w:r>
      <w:r w:rsidRPr="004B5D20">
        <w:rPr>
          <w:sz w:val="13"/>
          <w:szCs w:val="13"/>
        </w:rPr>
        <w:t xml:space="preserve">R </w:t>
      </w:r>
      <w:r w:rsidRPr="004B5D20">
        <w:t xml:space="preserve">and the pressure pm shall lie within the designated areas in diagram </w:t>
      </w:r>
      <w:r w:rsidRPr="0079265C">
        <w:t>5</w:t>
      </w:r>
      <w:r w:rsidRPr="004B5D20">
        <w:t xml:space="preserve"> of this annex for all pressures between 20 and 750 kPa, in both the laden and unladen states of </w:t>
      </w:r>
      <w:r w:rsidRPr="0079265C">
        <w:t>load.</w:t>
      </w:r>
    </w:p>
    <w:p w14:paraId="7E66270F" w14:textId="77777777" w:rsidR="00B921F6" w:rsidRPr="004B5D20" w:rsidRDefault="00B921F6" w:rsidP="00B921F6">
      <w:pPr>
        <w:spacing w:after="120"/>
        <w:ind w:left="2268" w:right="1134" w:hanging="1134"/>
        <w:jc w:val="both"/>
      </w:pPr>
      <w:r w:rsidRPr="004B5D20">
        <w:rPr>
          <w:i/>
          <w:iCs/>
        </w:rPr>
        <w:t>Annex 10, paragraph 5.2.1.,</w:t>
      </w:r>
      <w:r w:rsidRPr="004B5D20">
        <w:t xml:space="preserve"> amend to read:</w:t>
      </w:r>
    </w:p>
    <w:p w14:paraId="2FF55B4B" w14:textId="6CDEC0F5" w:rsidR="00B921F6" w:rsidRPr="004B5D20" w:rsidRDefault="00B921F6" w:rsidP="00B921F6">
      <w:pPr>
        <w:pStyle w:val="SingleTxtG"/>
        <w:tabs>
          <w:tab w:val="clear" w:pos="1701"/>
        </w:tabs>
        <w:ind w:left="2268" w:hanging="1134"/>
      </w:pPr>
      <w:r w:rsidRPr="004B5D20">
        <w:t xml:space="preserve">5.2.1. </w:t>
      </w:r>
      <w:r w:rsidRPr="004B5D20">
        <w:tab/>
        <w:t xml:space="preserve">The permissible relationship between the braking rate TR/PR and the pressure pm shall lie within two areas derived from diagram </w:t>
      </w:r>
      <w:r w:rsidRPr="0079265C">
        <w:t>5</w:t>
      </w:r>
      <w:r w:rsidRPr="004B5D20">
        <w:t xml:space="preserve"> of this annex, by multiplying the vertical scale by 0.95. This requirement shall be met at all pressures between 20 and 750 kPa, in both the laden and unladen states of load.</w:t>
      </w:r>
    </w:p>
    <w:p w14:paraId="72BC1500" w14:textId="77777777" w:rsidR="00B921F6" w:rsidRPr="00227522" w:rsidRDefault="00B921F6" w:rsidP="00B921F6">
      <w:pPr>
        <w:pStyle w:val="SingleTxtG"/>
        <w:rPr>
          <w:i/>
          <w:iCs/>
        </w:rPr>
      </w:pPr>
      <w:r w:rsidRPr="004B5D20">
        <w:rPr>
          <w:i/>
          <w:iCs/>
        </w:rPr>
        <w:t>Annex 10, Diagram 2</w:t>
      </w:r>
      <w:r>
        <w:rPr>
          <w:i/>
          <w:iCs/>
        </w:rPr>
        <w:t xml:space="preserve">, title, </w:t>
      </w:r>
      <w:r w:rsidRPr="001D0501">
        <w:t>amend to read:</w:t>
      </w:r>
    </w:p>
    <w:p w14:paraId="347E8927" w14:textId="77777777" w:rsidR="00B921F6" w:rsidRPr="000116B7" w:rsidRDefault="00B921F6" w:rsidP="00B921F6">
      <w:pPr>
        <w:spacing w:line="240" w:lineRule="auto"/>
        <w:ind w:left="1134"/>
        <w:rPr>
          <w:b/>
          <w:bCs/>
          <w:strike/>
          <w:lang w:val="en-US"/>
        </w:rPr>
      </w:pPr>
      <w:r w:rsidRPr="000116B7">
        <w:t>Diagram 2</w:t>
      </w:r>
      <w:r w:rsidRPr="000116B7">
        <w:br/>
      </w:r>
      <w:r w:rsidRPr="000116B7">
        <w:rPr>
          <w:b/>
          <w:bCs/>
          <w:lang w:val="en-US"/>
        </w:rPr>
        <w:t xml:space="preserve">Towing </w:t>
      </w:r>
      <w:proofErr w:type="gramStart"/>
      <w:r w:rsidRPr="000116B7">
        <w:rPr>
          <w:b/>
          <w:bCs/>
          <w:lang w:val="en-US"/>
        </w:rPr>
        <w:t>vehicles</w:t>
      </w:r>
      <w:proofErr w:type="gramEnd"/>
    </w:p>
    <w:p w14:paraId="75606339" w14:textId="77777777" w:rsidR="00B921F6" w:rsidRPr="000116B7" w:rsidRDefault="00B921F6" w:rsidP="00B921F6">
      <w:pPr>
        <w:spacing w:line="240" w:lineRule="auto"/>
        <w:ind w:left="1134"/>
        <w:rPr>
          <w:lang w:val="en-US"/>
        </w:rPr>
      </w:pPr>
      <w:r w:rsidRPr="000116B7">
        <w:rPr>
          <w:lang w:val="en-US"/>
        </w:rPr>
        <w:t>(except tractors for semi-trailers)</w:t>
      </w:r>
    </w:p>
    <w:p w14:paraId="0DCB7B8B" w14:textId="77777777" w:rsidR="00B921F6" w:rsidRPr="000116B7" w:rsidRDefault="00B921F6" w:rsidP="00B921F6">
      <w:pPr>
        <w:spacing w:after="120" w:line="240" w:lineRule="auto"/>
        <w:ind w:left="1134"/>
        <w:rPr>
          <w:lang w:val="en-US"/>
        </w:rPr>
      </w:pPr>
      <w:r w:rsidRPr="000116B7">
        <w:rPr>
          <w:lang w:val="en-US"/>
        </w:rPr>
        <w:t>(</w:t>
      </w:r>
      <w:proofErr w:type="gramStart"/>
      <w:r w:rsidRPr="000116B7">
        <w:rPr>
          <w:lang w:val="en-US"/>
        </w:rPr>
        <w:t>see</w:t>
      </w:r>
      <w:proofErr w:type="gramEnd"/>
      <w:r w:rsidRPr="000116B7">
        <w:rPr>
          <w:lang w:val="en-US"/>
        </w:rPr>
        <w:t xml:space="preserve"> paragraph 3.1.5.1. of this annex)</w:t>
      </w:r>
    </w:p>
    <w:p w14:paraId="524F4475" w14:textId="77777777" w:rsidR="00B921F6" w:rsidRPr="007B1549" w:rsidRDefault="00B921F6" w:rsidP="00B921F6">
      <w:pPr>
        <w:spacing w:line="240" w:lineRule="auto"/>
        <w:ind w:left="1134"/>
        <w:rPr>
          <w:sz w:val="16"/>
          <w:szCs w:val="16"/>
          <w:lang w:val="en-US"/>
        </w:rPr>
      </w:pPr>
      <w:r w:rsidRPr="004B5D20">
        <w:rPr>
          <w:i/>
          <w:iCs/>
        </w:rPr>
        <w:t xml:space="preserve">Annex 10, Diagram </w:t>
      </w:r>
      <w:proofErr w:type="gramStart"/>
      <w:r w:rsidRPr="004B5D20">
        <w:rPr>
          <w:i/>
          <w:iCs/>
        </w:rPr>
        <w:t>2</w:t>
      </w:r>
      <w:proofErr w:type="gramEnd"/>
      <w:r w:rsidRPr="004B5D20">
        <w:rPr>
          <w:i/>
          <w:iCs/>
        </w:rPr>
        <w:t xml:space="preserve"> and Diagram 4A</w:t>
      </w:r>
      <w:r w:rsidRPr="004B5D20">
        <w:t>, amend to read:</w:t>
      </w:r>
    </w:p>
    <w:p w14:paraId="460228DA" w14:textId="77777777" w:rsidR="00B921F6" w:rsidRDefault="00B921F6" w:rsidP="00B921F6">
      <w:pPr>
        <w:pStyle w:val="PlainText"/>
        <w:spacing w:after="120"/>
        <w:ind w:left="2268" w:right="1134" w:hanging="1134"/>
        <w:jc w:val="center"/>
        <w:rPr>
          <w:rFonts w:cs="Times New Roman"/>
        </w:rPr>
      </w:pPr>
      <w:r w:rsidRPr="008941B2">
        <w:rPr>
          <w:b/>
          <w:noProof/>
          <w:sz w:val="32"/>
          <w:szCs w:val="32"/>
        </w:rPr>
        <w:lastRenderedPageBreak/>
        <mc:AlternateContent>
          <mc:Choice Requires="wps">
            <w:drawing>
              <wp:anchor distT="0" distB="0" distL="114300" distR="114300" simplePos="0" relativeHeight="251659264" behindDoc="0" locked="0" layoutInCell="1" allowOverlap="1" wp14:anchorId="5EB7BFF4" wp14:editId="061CD692">
                <wp:simplePos x="0" y="0"/>
                <wp:positionH relativeFrom="column">
                  <wp:posOffset>199390</wp:posOffset>
                </wp:positionH>
                <wp:positionV relativeFrom="paragraph">
                  <wp:posOffset>-155575</wp:posOffset>
                </wp:positionV>
                <wp:extent cx="1660550" cy="432181"/>
                <wp:effectExtent l="0" t="0" r="0" b="0"/>
                <wp:wrapNone/>
                <wp:docPr id="10" name="Textfeld 4"/>
                <wp:cNvGraphicFramePr/>
                <a:graphic xmlns:a="http://schemas.openxmlformats.org/drawingml/2006/main">
                  <a:graphicData uri="http://schemas.microsoft.com/office/word/2010/wordprocessingShape">
                    <wps:wsp>
                      <wps:cNvSpPr txBox="1"/>
                      <wps:spPr>
                        <a:xfrm>
                          <a:off x="0" y="0"/>
                          <a:ext cx="1660550" cy="432181"/>
                        </a:xfrm>
                        <a:prstGeom prst="rect">
                          <a:avLst/>
                        </a:prstGeom>
                        <a:noFill/>
                      </wps:spPr>
                      <wps:txbx>
                        <w:txbxContent>
                          <w:p w14:paraId="25B63777" w14:textId="77777777" w:rsidR="00B921F6" w:rsidRPr="008941B2" w:rsidRDefault="00584850" w:rsidP="00B921F6">
                            <w:pPr>
                              <w:rPr>
                                <w:rFonts w:ascii="Cambria Math" w:hAnsi="+mn-cs" w:cstheme="minorBidi"/>
                                <w:i/>
                                <w:iCs/>
                                <w:color w:val="000000" w:themeColor="text1"/>
                                <w:kern w:val="24"/>
                                <w:lang w:val="en-US"/>
                              </w:rPr>
                            </w:pPr>
                            <m:oMathPara>
                              <m:oMathParaPr>
                                <m:jc m:val="centerGroup"/>
                              </m:oMathParaPr>
                              <m:oMath>
                                <m:f>
                                  <m:fPr>
                                    <m:ctrlPr>
                                      <w:rPr>
                                        <w:rFonts w:ascii="Cambria Math" w:hAnsi="Cambria Math" w:cstheme="minorBidi"/>
                                        <w:i/>
                                        <w:iCs/>
                                        <w:color w:val="000000" w:themeColor="text1"/>
                                        <w:kern w:val="24"/>
                                        <w:lang w:val="en-US"/>
                                      </w:rPr>
                                    </m:ctrlPr>
                                  </m:fPr>
                                  <m:num>
                                    <m:r>
                                      <w:rPr>
                                        <w:rFonts w:ascii="Cambria Math" w:hAnsi="Cambria Math" w:cstheme="minorBidi"/>
                                        <w:color w:val="000000" w:themeColor="text1"/>
                                        <w:kern w:val="24"/>
                                      </w:rPr>
                                      <m:t>T</m:t>
                                    </m:r>
                                    <m:r>
                                      <w:rPr>
                                        <w:rFonts w:ascii="Cambria Math" w:hAnsi="Cambria Math" w:cstheme="minorBidi"/>
                                        <w:color w:val="000000" w:themeColor="text1"/>
                                        <w:kern w:val="24"/>
                                        <w:position w:val="-7"/>
                                        <w:vertAlign w:val="subscript"/>
                                      </w:rPr>
                                      <m:t>M</m:t>
                                    </m:r>
                                  </m:num>
                                  <m:den>
                                    <m:r>
                                      <w:rPr>
                                        <w:rFonts w:ascii="Cambria Math" w:hAnsi="Cambria Math" w:cstheme="minorBidi"/>
                                        <w:color w:val="000000" w:themeColor="text1"/>
                                        <w:kern w:val="24"/>
                                      </w:rPr>
                                      <m:t>P</m:t>
                                    </m:r>
                                    <m:r>
                                      <w:rPr>
                                        <w:rFonts w:ascii="Cambria Math" w:hAnsi="Cambria Math" w:cstheme="minorBidi"/>
                                        <w:color w:val="000000" w:themeColor="text1"/>
                                        <w:kern w:val="24"/>
                                        <w:position w:val="-7"/>
                                        <w:vertAlign w:val="subscript"/>
                                      </w:rPr>
                                      <m:t>M</m:t>
                                    </m:r>
                                  </m:den>
                                </m:f>
                              </m:oMath>
                            </m:oMathPara>
                          </w:p>
                        </w:txbxContent>
                      </wps:txbx>
                      <wps:bodyPr wrap="square" lIns="39600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EB7BFF4" id="_x0000_t202" coordsize="21600,21600" o:spt="202" path="m,l,21600r21600,l21600,xe">
                <v:stroke joinstyle="miter"/>
                <v:path gradientshapeok="t" o:connecttype="rect"/>
              </v:shapetype>
              <v:shape id="Textfeld 4" o:spid="_x0000_s1026" type="#_x0000_t202" style="position:absolute;left:0;text-align:left;margin-left:15.7pt;margin-top:-12.25pt;width:130.75pt;height:3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" filled="f" stroked="f">
                <v:textbox inset="11mm,0,0,0">
                  <w:txbxContent>
                    <w:p w14:paraId="25B63777" w14:textId="77777777" w:rsidR="00B921F6" w:rsidRPr="008941B2" w:rsidRDefault="00584850" w:rsidP="00B921F6">
                      <w:pPr>
                        <w:rPr>
                          <w:rFonts w:ascii="Cambria Math" w:hAnsi="+mn-cs" w:cstheme="minorBidi"/>
                          <w:i/>
                          <w:iCs/>
                          <w:color w:val="000000" w:themeColor="text1"/>
                          <w:kern w:val="24"/>
                          <w:lang w:val="en-US"/>
                        </w:rPr>
                      </w:pPr>
                      <m:oMathPara>
                        <m:oMathParaPr>
                          <m:jc m:val="centerGroup"/>
                        </m:oMathParaPr>
                        <m:oMath>
                          <m:f>
                            <m:fPr>
                              <m:ctrlPr>
                                <w:rPr>
                                  <w:rFonts w:ascii="Cambria Math" w:hAnsi="Cambria Math" w:cstheme="minorBidi"/>
                                  <w:i/>
                                  <w:iCs/>
                                  <w:color w:val="000000" w:themeColor="text1"/>
                                  <w:kern w:val="24"/>
                                  <w:lang w:val="en-US"/>
                                </w:rPr>
                              </m:ctrlPr>
                            </m:fPr>
                            <m:num>
                              <m:r>
                                <w:rPr>
                                  <w:rFonts w:ascii="Cambria Math" w:hAnsi="Cambria Math" w:cstheme="minorBidi"/>
                                  <w:color w:val="000000" w:themeColor="text1"/>
                                  <w:kern w:val="24"/>
                                </w:rPr>
                                <m:t>T</m:t>
                              </m:r>
                              <m:r>
                                <w:rPr>
                                  <w:rFonts w:ascii="Cambria Math" w:hAnsi="Cambria Math" w:cstheme="minorBidi"/>
                                  <w:color w:val="000000" w:themeColor="text1"/>
                                  <w:kern w:val="24"/>
                                  <w:position w:val="-7"/>
                                  <w:vertAlign w:val="subscript"/>
                                </w:rPr>
                                <m:t>M</m:t>
                              </m:r>
                            </m:num>
                            <m:den>
                              <m:r>
                                <w:rPr>
                                  <w:rFonts w:ascii="Cambria Math" w:hAnsi="Cambria Math" w:cstheme="minorBidi"/>
                                  <w:color w:val="000000" w:themeColor="text1"/>
                                  <w:kern w:val="24"/>
                                </w:rPr>
                                <m:t>P</m:t>
                              </m:r>
                              <m:r>
                                <w:rPr>
                                  <w:rFonts w:ascii="Cambria Math" w:hAnsi="Cambria Math" w:cstheme="minorBidi"/>
                                  <w:color w:val="000000" w:themeColor="text1"/>
                                  <w:kern w:val="24"/>
                                  <w:position w:val="-7"/>
                                  <w:vertAlign w:val="subscript"/>
                                </w:rPr>
                                <m:t>M</m:t>
                              </m:r>
                            </m:den>
                          </m:f>
                        </m:oMath>
                      </m:oMathPara>
                    </w:p>
                  </w:txbxContent>
                </v:textbox>
              </v:shape>
            </w:pict>
          </mc:Fallback>
        </mc:AlternateContent>
      </w:r>
      <w:r w:rsidRPr="008941B2">
        <w:rPr>
          <w:b/>
          <w:noProof/>
          <w:sz w:val="32"/>
          <w:szCs w:val="32"/>
        </w:rPr>
        <w:drawing>
          <wp:inline distT="0" distB="0" distL="0" distR="0" wp14:anchorId="59EB6FC9" wp14:editId="5DF7AB83">
            <wp:extent cx="3997233" cy="4212000"/>
            <wp:effectExtent l="0" t="0" r="381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791" b="8205"/>
                    <a:stretch/>
                  </pic:blipFill>
                  <pic:spPr bwMode="auto">
                    <a:xfrm>
                      <a:off x="0" y="0"/>
                      <a:ext cx="3997233" cy="4212000"/>
                    </a:xfrm>
                    <a:prstGeom prst="rect">
                      <a:avLst/>
                    </a:prstGeom>
                    <a:ln>
                      <a:noFill/>
                    </a:ln>
                    <a:extLst>
                      <a:ext uri="{53640926-AAD7-44D8-BBD7-CCE9431645EC}">
                        <a14:shadowObscured xmlns:a14="http://schemas.microsoft.com/office/drawing/2010/main"/>
                      </a:ext>
                    </a:extLst>
                  </pic:spPr>
                </pic:pic>
              </a:graphicData>
            </a:graphic>
          </wp:inline>
        </w:drawing>
      </w:r>
    </w:p>
    <w:p w14:paraId="5BE5FFB2" w14:textId="77777777" w:rsidR="00B921F6" w:rsidRDefault="00B921F6" w:rsidP="00B921F6">
      <w:pPr>
        <w:tabs>
          <w:tab w:val="left" w:pos="-1227"/>
          <w:tab w:val="left" w:pos="-720"/>
          <w:tab w:val="left" w:pos="0"/>
          <w:tab w:val="left" w:pos="679"/>
          <w:tab w:val="left" w:pos="1663"/>
          <w:tab w:val="left" w:pos="2160"/>
          <w:tab w:val="left" w:pos="2494"/>
          <w:tab w:val="left" w:pos="2880"/>
          <w:tab w:val="left" w:pos="3920"/>
        </w:tabs>
        <w:spacing w:line="240" w:lineRule="auto"/>
        <w:ind w:left="1134" w:right="1134"/>
        <w:jc w:val="both"/>
        <w:rPr>
          <w:color w:val="000000"/>
          <w:sz w:val="18"/>
          <w:szCs w:val="18"/>
        </w:rPr>
      </w:pPr>
      <w:r w:rsidRPr="00BE5003">
        <w:rPr>
          <w:i/>
          <w:color w:val="000000"/>
          <w:sz w:val="18"/>
          <w:szCs w:val="18"/>
        </w:rPr>
        <w:t>Note</w:t>
      </w:r>
      <w:r w:rsidRPr="00BE5003">
        <w:rPr>
          <w:color w:val="000000"/>
          <w:sz w:val="18"/>
          <w:szCs w:val="18"/>
        </w:rPr>
        <w:t>:</w:t>
      </w:r>
      <w:r>
        <w:rPr>
          <w:color w:val="000000"/>
          <w:sz w:val="18"/>
          <w:szCs w:val="18"/>
        </w:rPr>
        <w:tab/>
      </w:r>
      <w:r w:rsidRPr="00BE5003">
        <w:rPr>
          <w:color w:val="000000"/>
          <w:sz w:val="18"/>
          <w:szCs w:val="18"/>
        </w:rPr>
        <w:t>The relationships required by the diagram shall apply progressively for intermediate states of loading between the laden and the unladen states and shall be achieved by automatic means.</w:t>
      </w:r>
    </w:p>
    <w:p w14:paraId="218F3AF7" w14:textId="77777777" w:rsidR="00B921F6" w:rsidRDefault="00B921F6" w:rsidP="00B921F6">
      <w:pPr>
        <w:tabs>
          <w:tab w:val="left" w:pos="-1227"/>
          <w:tab w:val="left" w:pos="-720"/>
          <w:tab w:val="left" w:pos="0"/>
          <w:tab w:val="left" w:pos="679"/>
          <w:tab w:val="left" w:pos="1663"/>
          <w:tab w:val="left" w:pos="2160"/>
          <w:tab w:val="left" w:pos="2494"/>
          <w:tab w:val="left" w:pos="2880"/>
          <w:tab w:val="left" w:pos="3920"/>
        </w:tabs>
        <w:spacing w:line="240" w:lineRule="auto"/>
        <w:ind w:left="1134" w:right="2410"/>
        <w:jc w:val="both"/>
        <w:rPr>
          <w:color w:val="000000"/>
          <w:sz w:val="18"/>
          <w:szCs w:val="18"/>
        </w:rPr>
      </w:pPr>
    </w:p>
    <w:p w14:paraId="0ED5CD68" w14:textId="77777777" w:rsidR="00B921F6" w:rsidRDefault="00B921F6" w:rsidP="00B921F6">
      <w:pPr>
        <w:pStyle w:val="Heading1"/>
      </w:pPr>
      <w:r>
        <w:t>Diagram </w:t>
      </w:r>
      <w:proofErr w:type="gramStart"/>
      <w:r>
        <w:t>4A</w:t>
      </w:r>
      <w:proofErr w:type="gramEnd"/>
    </w:p>
    <w:p w14:paraId="3B35C0AF" w14:textId="77777777" w:rsidR="00B921F6" w:rsidRPr="00BE5003" w:rsidRDefault="00B921F6" w:rsidP="00B921F6">
      <w:pPr>
        <w:pStyle w:val="Heading1"/>
        <w:rPr>
          <w:b/>
        </w:rPr>
      </w:pPr>
      <w:r w:rsidRPr="00BE5003">
        <w:rPr>
          <w:b/>
        </w:rPr>
        <w:t>Semi-trailers</w:t>
      </w:r>
    </w:p>
    <w:p w14:paraId="182DD25E" w14:textId="77777777" w:rsidR="00B921F6" w:rsidRDefault="00B921F6" w:rsidP="00B921F6">
      <w:pPr>
        <w:pStyle w:val="SingleTxtG"/>
        <w:spacing w:after="240" w:line="240" w:lineRule="auto"/>
        <w:rPr>
          <w:bCs/>
          <w:i/>
          <w:iCs/>
          <w:noProof/>
          <w:u w:val="single"/>
        </w:rPr>
      </w:pPr>
      <w:r>
        <w:t>(</w:t>
      </w:r>
      <w:proofErr w:type="gramStart"/>
      <w:r>
        <w:t>see</w:t>
      </w:r>
      <w:proofErr w:type="gramEnd"/>
      <w:r>
        <w:t xml:space="preserve"> paragraph 4. of this annex)</w:t>
      </w:r>
      <w:r w:rsidRPr="00F7588C">
        <w:rPr>
          <w:bCs/>
          <w:i/>
          <w:iCs/>
          <w:noProof/>
          <w:u w:val="single"/>
        </w:rPr>
        <w:t xml:space="preserve"> </w:t>
      </w:r>
    </w:p>
    <w:p w14:paraId="30EC1CFE" w14:textId="77777777" w:rsidR="00B921F6" w:rsidRPr="00D70827" w:rsidRDefault="00B921F6" w:rsidP="00B921F6">
      <w:pPr>
        <w:pStyle w:val="SingleTxtG"/>
        <w:spacing w:after="240"/>
        <w:jc w:val="center"/>
      </w:pPr>
      <w:r>
        <w:rPr>
          <w:noProof/>
        </w:rPr>
        <w:drawing>
          <wp:inline distT="0" distB="0" distL="0" distR="0" wp14:anchorId="16A08603" wp14:editId="2741CE6C">
            <wp:extent cx="3717290" cy="3550611"/>
            <wp:effectExtent l="0" t="0" r="0" b="0"/>
            <wp:docPr id="1487071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4301" cy="3566859"/>
                    </a:xfrm>
                    <a:prstGeom prst="rect">
                      <a:avLst/>
                    </a:prstGeom>
                    <a:noFill/>
                  </pic:spPr>
                </pic:pic>
              </a:graphicData>
            </a:graphic>
          </wp:inline>
        </w:drawing>
      </w:r>
    </w:p>
    <w:p w14:paraId="6D2102A1" w14:textId="77777777" w:rsidR="00B921F6" w:rsidRPr="00227522" w:rsidRDefault="00B921F6" w:rsidP="00B921F6">
      <w:pPr>
        <w:pStyle w:val="PlainText"/>
        <w:spacing w:after="120" w:line="240" w:lineRule="auto"/>
        <w:ind w:left="2268" w:right="1134" w:hanging="1134"/>
        <w:jc w:val="both"/>
        <w:rPr>
          <w:rFonts w:cs="Times New Roman"/>
          <w:i/>
          <w:iCs/>
        </w:rPr>
      </w:pPr>
      <w:r>
        <w:rPr>
          <w:rFonts w:cs="Times New Roman"/>
          <w:i/>
          <w:iCs/>
        </w:rPr>
        <w:lastRenderedPageBreak/>
        <w:t xml:space="preserve">Insert a new diagram 5, </w:t>
      </w:r>
      <w:r w:rsidRPr="00227522">
        <w:rPr>
          <w:rFonts w:cs="Times New Roman"/>
        </w:rPr>
        <w:t>as follow:</w:t>
      </w:r>
      <w:r>
        <w:rPr>
          <w:rFonts w:cs="Times New Roman"/>
          <w:i/>
          <w:iCs/>
        </w:rPr>
        <w:t xml:space="preserve"> </w:t>
      </w:r>
    </w:p>
    <w:bookmarkEnd w:id="0"/>
    <w:bookmarkEnd w:id="1"/>
    <w:bookmarkEnd w:id="2"/>
    <w:p w14:paraId="266EC9D5" w14:textId="77777777" w:rsidR="00B921F6" w:rsidRPr="0055511C" w:rsidRDefault="00B921F6" w:rsidP="00B921F6">
      <w:pPr>
        <w:spacing w:line="240" w:lineRule="auto"/>
        <w:ind w:left="1134"/>
        <w:rPr>
          <w:lang w:val="en-US"/>
        </w:rPr>
      </w:pPr>
      <w:r w:rsidRPr="0055511C">
        <w:rPr>
          <w:lang w:val="en-US"/>
        </w:rPr>
        <w:t>Diagram 5</w:t>
      </w:r>
    </w:p>
    <w:p w14:paraId="0341C73A" w14:textId="77777777" w:rsidR="00B921F6" w:rsidRPr="00616A4A" w:rsidRDefault="00B921F6" w:rsidP="00B921F6">
      <w:pPr>
        <w:spacing w:line="240" w:lineRule="auto"/>
        <w:ind w:left="1134"/>
        <w:rPr>
          <w:b/>
          <w:bCs/>
          <w:strike/>
          <w:lang w:val="en-US"/>
        </w:rPr>
      </w:pPr>
      <w:r w:rsidRPr="00616A4A">
        <w:rPr>
          <w:b/>
          <w:bCs/>
          <w:lang w:val="en-US"/>
        </w:rPr>
        <w:t xml:space="preserve">Full trailers and </w:t>
      </w:r>
      <w:proofErr w:type="spellStart"/>
      <w:r w:rsidRPr="00616A4A">
        <w:rPr>
          <w:b/>
          <w:bCs/>
          <w:lang w:val="en-US"/>
        </w:rPr>
        <w:t>centre</w:t>
      </w:r>
      <w:proofErr w:type="spellEnd"/>
      <w:r w:rsidRPr="00616A4A">
        <w:rPr>
          <w:b/>
          <w:bCs/>
          <w:lang w:val="en-US"/>
        </w:rPr>
        <w:t>-axle trailers</w:t>
      </w:r>
    </w:p>
    <w:p w14:paraId="0D849D31" w14:textId="77777777" w:rsidR="00B921F6" w:rsidRDefault="00B921F6" w:rsidP="00B921F6">
      <w:pPr>
        <w:spacing w:line="240" w:lineRule="auto"/>
        <w:ind w:left="1134"/>
        <w:rPr>
          <w:lang w:val="en-US"/>
        </w:rPr>
      </w:pPr>
      <w:r w:rsidRPr="0055511C">
        <w:rPr>
          <w:lang w:val="en-US"/>
        </w:rPr>
        <w:t>(see paragraph 5 of this annex)</w:t>
      </w:r>
    </w:p>
    <w:p w14:paraId="338F1F38" w14:textId="77777777" w:rsidR="00B921F6" w:rsidRDefault="00B921F6" w:rsidP="00B921F6">
      <w:pPr>
        <w:pStyle w:val="SingleTxtG"/>
        <w:jc w:val="center"/>
        <w:rPr>
          <w:lang w:val="en-US"/>
        </w:rPr>
      </w:pPr>
      <w:r>
        <w:rPr>
          <w:noProof/>
          <w:lang w:val="en-US"/>
        </w:rPr>
        <w:drawing>
          <wp:inline distT="0" distB="0" distL="0" distR="0" wp14:anchorId="2298DAF4" wp14:editId="5D1494B0">
            <wp:extent cx="4072255" cy="3883660"/>
            <wp:effectExtent l="0" t="0" r="0" b="0"/>
            <wp:docPr id="1630928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2255" cy="3883660"/>
                    </a:xfrm>
                    <a:prstGeom prst="rect">
                      <a:avLst/>
                    </a:prstGeom>
                    <a:noFill/>
                  </pic:spPr>
                </pic:pic>
              </a:graphicData>
            </a:graphic>
          </wp:inline>
        </w:drawing>
      </w:r>
    </w:p>
    <w:p w14:paraId="14AD7D97" w14:textId="77777777" w:rsidR="00B921F6" w:rsidRPr="00014BFE" w:rsidRDefault="00B921F6" w:rsidP="00B921F6">
      <w:pPr>
        <w:pStyle w:val="SingleTxtG"/>
        <w:jc w:val="center"/>
        <w:rPr>
          <w:u w:val="single"/>
          <w:lang w:val="en-US"/>
        </w:rPr>
      </w:pPr>
      <w:r>
        <w:rPr>
          <w:u w:val="single"/>
          <w:lang w:val="en-US"/>
        </w:rPr>
        <w:tab/>
      </w:r>
      <w:r>
        <w:rPr>
          <w:u w:val="single"/>
          <w:lang w:val="en-US"/>
        </w:rPr>
        <w:tab/>
      </w:r>
      <w:r>
        <w:rPr>
          <w:u w:val="single"/>
          <w:lang w:val="en-US"/>
        </w:rPr>
        <w:tab/>
      </w:r>
    </w:p>
    <w:p w14:paraId="1F1FE53A" w14:textId="77777777" w:rsidR="001C6663" w:rsidRPr="00AA3BFE" w:rsidRDefault="001C6663" w:rsidP="00595520"/>
    <w:sectPr w:rsidR="001C6663" w:rsidRPr="00AA3BFE" w:rsidSect="00AA3BFE">
      <w:headerReference w:type="even" r:id="rId15"/>
      <w:headerReference w:type="default" r:id="rId16"/>
      <w:footerReference w:type="even" r:id="rId17"/>
      <w:footerReference w:type="default" r:id="rId18"/>
      <w:footerReference w:type="first" r:id="rId19"/>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AC5D" w14:textId="77777777" w:rsidR="00AA451C" w:rsidRDefault="00AA451C"/>
  </w:endnote>
  <w:endnote w:type="continuationSeparator" w:id="0">
    <w:p w14:paraId="1D09AC01" w14:textId="77777777" w:rsidR="00AA451C" w:rsidRDefault="00AA451C"/>
  </w:endnote>
  <w:endnote w:type="continuationNotice" w:id="1">
    <w:p w14:paraId="1CC454B9" w14:textId="77777777" w:rsidR="00AA451C" w:rsidRDefault="00AA4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A617" w14:textId="596E6F48" w:rsidR="00AA3BFE" w:rsidRPr="00AA3BFE" w:rsidRDefault="00AA3BFE" w:rsidP="00AA3BFE">
    <w:pPr>
      <w:pStyle w:val="Footer"/>
      <w:tabs>
        <w:tab w:val="right" w:pos="9638"/>
      </w:tabs>
      <w:rPr>
        <w:sz w:val="18"/>
      </w:rPr>
    </w:pP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2</w:t>
    </w:r>
    <w:r w:rsidRPr="00AA3B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10B9" w14:textId="501F20A2" w:rsidR="00AA3BFE" w:rsidRPr="00AA3BFE" w:rsidRDefault="00AA3BFE" w:rsidP="00AA3BFE">
    <w:pPr>
      <w:pStyle w:val="Footer"/>
      <w:tabs>
        <w:tab w:val="right" w:pos="9638"/>
      </w:tabs>
      <w:rPr>
        <w:b/>
        <w:sz w:val="18"/>
      </w:rPr>
    </w:pPr>
    <w:r>
      <w:tab/>
    </w:r>
    <w:r w:rsidRPr="00AA3BFE">
      <w:rPr>
        <w:b/>
        <w:sz w:val="18"/>
      </w:rPr>
      <w:fldChar w:fldCharType="begin"/>
    </w:r>
    <w:r w:rsidRPr="00AA3BFE">
      <w:rPr>
        <w:b/>
        <w:sz w:val="18"/>
      </w:rPr>
      <w:instrText xml:space="preserve"> PAGE  \* MERGEFORMAT </w:instrText>
    </w:r>
    <w:r w:rsidRPr="00AA3BFE">
      <w:rPr>
        <w:b/>
        <w:sz w:val="18"/>
      </w:rPr>
      <w:fldChar w:fldCharType="separate"/>
    </w:r>
    <w:r w:rsidRPr="00AA3BFE">
      <w:rPr>
        <w:b/>
        <w:noProof/>
        <w:sz w:val="18"/>
      </w:rPr>
      <w:t>3</w:t>
    </w:r>
    <w:r w:rsidRPr="00AA3B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E8F4" w14:textId="77777777" w:rsidR="0035223F" w:rsidRDefault="00686A48" w:rsidP="00584850">
    <w:pPr>
      <w:pStyle w:val="Footer"/>
      <w:rPr>
        <w:sz w:val="20"/>
      </w:rPr>
    </w:pPr>
    <w:r>
      <w:rPr>
        <w:noProof/>
        <w:lang w:val="fr-CH" w:eastAsia="fr-CH"/>
      </w:rPr>
      <w:drawing>
        <wp:anchor distT="0" distB="0" distL="114300" distR="114300" simplePos="0" relativeHeight="251658240" behindDoc="0" locked="1" layoutInCell="1" allowOverlap="1" wp14:anchorId="56C2B6B9" wp14:editId="673B6B24">
          <wp:simplePos x="0" y="0"/>
          <wp:positionH relativeFrom="margin">
            <wp:posOffset>4563745</wp:posOffset>
          </wp:positionH>
          <wp:positionV relativeFrom="margin">
            <wp:posOffset>9208770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0F753" w14:textId="3C066DD2" w:rsidR="00584850" w:rsidRPr="00584850" w:rsidRDefault="00584850" w:rsidP="00584850">
    <w:pPr>
      <w:pStyle w:val="Footer"/>
      <w:ind w:right="1134"/>
      <w:rPr>
        <w:sz w:val="20"/>
      </w:rPr>
    </w:pPr>
    <w:r>
      <w:rPr>
        <w:sz w:val="20"/>
      </w:rPr>
      <w:t>GE.25-</w:t>
    </w:r>
    <w:proofErr w:type="gramStart"/>
    <w:r>
      <w:rPr>
        <w:sz w:val="20"/>
      </w:rPr>
      <w:t>05478  (</w:t>
    </w:r>
    <w:proofErr w:type="gramEnd"/>
    <w:r>
      <w:rPr>
        <w:sz w:val="20"/>
      </w:rPr>
      <w:t>E)</w:t>
    </w:r>
    <w:r>
      <w:rPr>
        <w:noProof/>
        <w:sz w:val="20"/>
      </w:rPr>
      <w:drawing>
        <wp:anchor distT="0" distB="0" distL="114300" distR="114300" simplePos="0" relativeHeight="251659264" behindDoc="0" locked="0" layoutInCell="1" allowOverlap="1" wp14:anchorId="36316750" wp14:editId="77AE932B">
          <wp:simplePos x="0" y="0"/>
          <wp:positionH relativeFrom="margin">
            <wp:posOffset>5583555</wp:posOffset>
          </wp:positionH>
          <wp:positionV relativeFrom="margin">
            <wp:posOffset>8981440</wp:posOffset>
          </wp:positionV>
          <wp:extent cx="571500" cy="571500"/>
          <wp:effectExtent l="0" t="0" r="0" b="0"/>
          <wp:wrapNone/>
          <wp:docPr id="798121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F451" w14:textId="77777777" w:rsidR="00AA451C" w:rsidRPr="000B175B" w:rsidRDefault="00AA451C" w:rsidP="000B175B">
      <w:pPr>
        <w:tabs>
          <w:tab w:val="right" w:pos="2155"/>
        </w:tabs>
        <w:spacing w:after="80"/>
        <w:ind w:left="680"/>
        <w:rPr>
          <w:u w:val="single"/>
        </w:rPr>
      </w:pPr>
      <w:r>
        <w:rPr>
          <w:u w:val="single"/>
        </w:rPr>
        <w:tab/>
      </w:r>
    </w:p>
  </w:footnote>
  <w:footnote w:type="continuationSeparator" w:id="0">
    <w:p w14:paraId="26BD8CFF" w14:textId="77777777" w:rsidR="00AA451C" w:rsidRPr="00FC68B7" w:rsidRDefault="00AA451C" w:rsidP="00FC68B7">
      <w:pPr>
        <w:tabs>
          <w:tab w:val="left" w:pos="2155"/>
        </w:tabs>
        <w:spacing w:after="80"/>
        <w:ind w:left="680"/>
        <w:rPr>
          <w:u w:val="single"/>
        </w:rPr>
      </w:pPr>
      <w:r>
        <w:rPr>
          <w:u w:val="single"/>
        </w:rPr>
        <w:tab/>
      </w:r>
    </w:p>
  </w:footnote>
  <w:footnote w:type="continuationNotice" w:id="1">
    <w:p w14:paraId="5DB41317" w14:textId="77777777" w:rsidR="00AA451C" w:rsidRDefault="00AA451C"/>
  </w:footnote>
  <w:footnote w:id="2">
    <w:p w14:paraId="099DCE63" w14:textId="77777777" w:rsidR="002A4E35" w:rsidRDefault="002A4E35" w:rsidP="002A4E35">
      <w:pPr>
        <w:pStyle w:val="FootnoteText"/>
        <w:jc w:val="both"/>
        <w:rPr>
          <w:lang w:val="en-US"/>
        </w:rPr>
      </w:pPr>
      <w:r>
        <w:tab/>
      </w:r>
      <w:r>
        <w:rPr>
          <w:rStyle w:val="FootnoteReference"/>
          <w:sz w:val="20"/>
          <w:lang w:val="en-US"/>
        </w:rPr>
        <w:t>*</w:t>
      </w:r>
      <w:r>
        <w:rPr>
          <w:sz w:val="20"/>
          <w:lang w:val="en-US"/>
        </w:rPr>
        <w:tab/>
      </w:r>
      <w:r>
        <w:rPr>
          <w:szCs w:val="18"/>
          <w:lang w:val="en-US"/>
        </w:rPr>
        <w:t xml:space="preserve">In accordance with the </w:t>
      </w:r>
      <w:proofErr w:type="spellStart"/>
      <w:r>
        <w:rPr>
          <w:szCs w:val="18"/>
          <w:lang w:val="en-US"/>
        </w:rPr>
        <w:t>programme</w:t>
      </w:r>
      <w:proofErr w:type="spellEnd"/>
      <w:r>
        <w:rPr>
          <w:szCs w:val="18"/>
          <w:lang w:val="en-US"/>
        </w:rPr>
        <w:t xml:space="preserve"> of work of the Inland Transport Committee for </w:t>
      </w:r>
      <w:r>
        <w:rPr>
          <w:lang w:val="en-US"/>
        </w:rPr>
        <w:t xml:space="preserve">2025 as outlined in proposed </w:t>
      </w:r>
      <w:proofErr w:type="spellStart"/>
      <w:r>
        <w:rPr>
          <w:lang w:val="en-US"/>
        </w:rPr>
        <w:t>programme</w:t>
      </w:r>
      <w:proofErr w:type="spellEnd"/>
      <w:r>
        <w:rPr>
          <w:lang w:val="en-US"/>
        </w:rPr>
        <w:t xml:space="preserve"> budget for </w:t>
      </w:r>
      <w:r>
        <w:rPr>
          <w:szCs w:val="18"/>
          <w:lang w:val="en-US"/>
        </w:rPr>
        <w:t>2025 (</w:t>
      </w:r>
      <w:r w:rsidRPr="008E6CDE">
        <w:rPr>
          <w:szCs w:val="18"/>
          <w:lang w:val="en-US"/>
        </w:rPr>
        <w:t>A/79/6 (Sect. 20), table 20.6</w:t>
      </w:r>
      <w:r>
        <w:rPr>
          <w:szCs w:val="18"/>
          <w:lang w:val="en-US"/>
        </w:rPr>
        <w:t xml:space="preserve">), the World Forum will develop, </w:t>
      </w:r>
      <w:proofErr w:type="gramStart"/>
      <w:r>
        <w:rPr>
          <w:szCs w:val="18"/>
          <w:lang w:val="en-US"/>
        </w:rPr>
        <w:t>harmonize</w:t>
      </w:r>
      <w:proofErr w:type="gramEnd"/>
      <w:r>
        <w:rPr>
          <w:szCs w:val="18"/>
          <w:lang w:val="en-US"/>
        </w:rPr>
        <w:t xml:space="preserve"> and update UN Regulations in order to enhance the performance of vehicles. The present document is submitted in conformity with that mandate.</w:t>
      </w:r>
    </w:p>
    <w:p w14:paraId="060368F6" w14:textId="77777777" w:rsidR="002A4E35" w:rsidRDefault="002A4E35" w:rsidP="002A4E35">
      <w:pPr>
        <w:pStyle w:val="FootnoteText"/>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D2C7" w14:textId="5F6E1622" w:rsidR="00AA3BFE" w:rsidRPr="00AA3BFE" w:rsidRDefault="00671FBC">
    <w:pPr>
      <w:pStyle w:val="Header"/>
    </w:pPr>
    <w:r w:rsidRPr="00671FBC">
      <w:t>ECE/TRANS/WP.29/2025/58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C1E11" w14:textId="5F86D974" w:rsidR="00AA3BFE" w:rsidRPr="00AA3BFE" w:rsidRDefault="0079265C" w:rsidP="00AA3BFE">
    <w:pPr>
      <w:pStyle w:val="Header"/>
      <w:jc w:val="right"/>
    </w:pPr>
    <w:r>
      <w:t>ECE/TRANS/WP.29/2025/5</w:t>
    </w:r>
    <w:r w:rsidR="00671FBC">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19722309">
    <w:abstractNumId w:val="1"/>
  </w:num>
  <w:num w:numId="2" w16cid:durableId="263194416">
    <w:abstractNumId w:val="0"/>
  </w:num>
  <w:num w:numId="3" w16cid:durableId="244345119">
    <w:abstractNumId w:val="2"/>
  </w:num>
  <w:num w:numId="4" w16cid:durableId="817844857">
    <w:abstractNumId w:val="3"/>
  </w:num>
  <w:num w:numId="5" w16cid:durableId="944967446">
    <w:abstractNumId w:val="8"/>
  </w:num>
  <w:num w:numId="6" w16cid:durableId="1648826236">
    <w:abstractNumId w:val="9"/>
  </w:num>
  <w:num w:numId="7" w16cid:durableId="2060785855">
    <w:abstractNumId w:val="7"/>
  </w:num>
  <w:num w:numId="8" w16cid:durableId="1687755905">
    <w:abstractNumId w:val="6"/>
  </w:num>
  <w:num w:numId="9" w16cid:durableId="797918227">
    <w:abstractNumId w:val="5"/>
  </w:num>
  <w:num w:numId="10" w16cid:durableId="1794790737">
    <w:abstractNumId w:val="4"/>
  </w:num>
  <w:num w:numId="11" w16cid:durableId="1870757185">
    <w:abstractNumId w:val="15"/>
  </w:num>
  <w:num w:numId="12" w16cid:durableId="1224364718">
    <w:abstractNumId w:val="14"/>
  </w:num>
  <w:num w:numId="13" w16cid:durableId="386999193">
    <w:abstractNumId w:val="10"/>
  </w:num>
  <w:num w:numId="14" w16cid:durableId="388266927">
    <w:abstractNumId w:val="12"/>
  </w:num>
  <w:num w:numId="15" w16cid:durableId="407312743">
    <w:abstractNumId w:val="16"/>
  </w:num>
  <w:num w:numId="16" w16cid:durableId="797336087">
    <w:abstractNumId w:val="13"/>
  </w:num>
  <w:num w:numId="17" w16cid:durableId="489057829">
    <w:abstractNumId w:val="17"/>
  </w:num>
  <w:num w:numId="18" w16cid:durableId="2092853336">
    <w:abstractNumId w:val="18"/>
  </w:num>
  <w:num w:numId="19" w16cid:durableId="173881766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FE"/>
    <w:rsid w:val="00000F99"/>
    <w:rsid w:val="00002A7D"/>
    <w:rsid w:val="000038A8"/>
    <w:rsid w:val="00005DF3"/>
    <w:rsid w:val="00006790"/>
    <w:rsid w:val="00027624"/>
    <w:rsid w:val="00050F6B"/>
    <w:rsid w:val="000678CD"/>
    <w:rsid w:val="00072C8C"/>
    <w:rsid w:val="00081CE0"/>
    <w:rsid w:val="00084D30"/>
    <w:rsid w:val="00090320"/>
    <w:rsid w:val="000931C0"/>
    <w:rsid w:val="00097003"/>
    <w:rsid w:val="000A2E09"/>
    <w:rsid w:val="000A7037"/>
    <w:rsid w:val="000B175B"/>
    <w:rsid w:val="000B3A0F"/>
    <w:rsid w:val="000D4E87"/>
    <w:rsid w:val="000E0415"/>
    <w:rsid w:val="000F7715"/>
    <w:rsid w:val="00116167"/>
    <w:rsid w:val="001229A4"/>
    <w:rsid w:val="001424AB"/>
    <w:rsid w:val="00156B99"/>
    <w:rsid w:val="001619FD"/>
    <w:rsid w:val="00166124"/>
    <w:rsid w:val="00184DDA"/>
    <w:rsid w:val="001900CD"/>
    <w:rsid w:val="001A0452"/>
    <w:rsid w:val="001B4B04"/>
    <w:rsid w:val="001B5875"/>
    <w:rsid w:val="001C4B9C"/>
    <w:rsid w:val="001C6663"/>
    <w:rsid w:val="001C7895"/>
    <w:rsid w:val="001D0C56"/>
    <w:rsid w:val="001D26DF"/>
    <w:rsid w:val="001F1599"/>
    <w:rsid w:val="001F19C4"/>
    <w:rsid w:val="002043F0"/>
    <w:rsid w:val="00211E0B"/>
    <w:rsid w:val="00232575"/>
    <w:rsid w:val="00247258"/>
    <w:rsid w:val="00257CAC"/>
    <w:rsid w:val="0027237A"/>
    <w:rsid w:val="002851FA"/>
    <w:rsid w:val="002974E9"/>
    <w:rsid w:val="002A306B"/>
    <w:rsid w:val="002A4E35"/>
    <w:rsid w:val="002A7F94"/>
    <w:rsid w:val="002B109A"/>
    <w:rsid w:val="002C6D45"/>
    <w:rsid w:val="002D6E53"/>
    <w:rsid w:val="002E3456"/>
    <w:rsid w:val="002E6BF0"/>
    <w:rsid w:val="002F046D"/>
    <w:rsid w:val="002F3023"/>
    <w:rsid w:val="00301764"/>
    <w:rsid w:val="00317D38"/>
    <w:rsid w:val="003229D8"/>
    <w:rsid w:val="00336C97"/>
    <w:rsid w:val="00337F88"/>
    <w:rsid w:val="00342432"/>
    <w:rsid w:val="0035223F"/>
    <w:rsid w:val="00352D4B"/>
    <w:rsid w:val="0035638C"/>
    <w:rsid w:val="0036222A"/>
    <w:rsid w:val="00362D25"/>
    <w:rsid w:val="00390D0E"/>
    <w:rsid w:val="003A46BB"/>
    <w:rsid w:val="003A4EC7"/>
    <w:rsid w:val="003A7295"/>
    <w:rsid w:val="003B1F60"/>
    <w:rsid w:val="003C2CC4"/>
    <w:rsid w:val="003C7CA2"/>
    <w:rsid w:val="003D4B23"/>
    <w:rsid w:val="003E278A"/>
    <w:rsid w:val="00413520"/>
    <w:rsid w:val="004325CB"/>
    <w:rsid w:val="00440A07"/>
    <w:rsid w:val="00462880"/>
    <w:rsid w:val="00476F24"/>
    <w:rsid w:val="004855C1"/>
    <w:rsid w:val="004A5D33"/>
    <w:rsid w:val="004C009A"/>
    <w:rsid w:val="004C55B0"/>
    <w:rsid w:val="004D6254"/>
    <w:rsid w:val="004E4DB5"/>
    <w:rsid w:val="004F6BA0"/>
    <w:rsid w:val="00503BEA"/>
    <w:rsid w:val="00533616"/>
    <w:rsid w:val="00535ABA"/>
    <w:rsid w:val="0053768B"/>
    <w:rsid w:val="005420F2"/>
    <w:rsid w:val="0054285C"/>
    <w:rsid w:val="00584173"/>
    <w:rsid w:val="00584850"/>
    <w:rsid w:val="00595520"/>
    <w:rsid w:val="005A0ABB"/>
    <w:rsid w:val="005A4341"/>
    <w:rsid w:val="005A44B9"/>
    <w:rsid w:val="005B1BA0"/>
    <w:rsid w:val="005B3DB3"/>
    <w:rsid w:val="005C0268"/>
    <w:rsid w:val="005D15CA"/>
    <w:rsid w:val="005F08DF"/>
    <w:rsid w:val="005F3066"/>
    <w:rsid w:val="005F3E61"/>
    <w:rsid w:val="00604DDD"/>
    <w:rsid w:val="006107D6"/>
    <w:rsid w:val="006115CC"/>
    <w:rsid w:val="00611FC4"/>
    <w:rsid w:val="006176FB"/>
    <w:rsid w:val="00630FCB"/>
    <w:rsid w:val="00640B26"/>
    <w:rsid w:val="0065766B"/>
    <w:rsid w:val="00671FBC"/>
    <w:rsid w:val="006770B2"/>
    <w:rsid w:val="00686A48"/>
    <w:rsid w:val="0068703F"/>
    <w:rsid w:val="0068763C"/>
    <w:rsid w:val="006940E1"/>
    <w:rsid w:val="006A3C72"/>
    <w:rsid w:val="006A7392"/>
    <w:rsid w:val="006B03A1"/>
    <w:rsid w:val="006B67D9"/>
    <w:rsid w:val="006C5535"/>
    <w:rsid w:val="006D0589"/>
    <w:rsid w:val="006E2216"/>
    <w:rsid w:val="006E564B"/>
    <w:rsid w:val="006E7154"/>
    <w:rsid w:val="007003CD"/>
    <w:rsid w:val="00702F4D"/>
    <w:rsid w:val="0070701E"/>
    <w:rsid w:val="0072632A"/>
    <w:rsid w:val="007313C1"/>
    <w:rsid w:val="007358E8"/>
    <w:rsid w:val="00736ECE"/>
    <w:rsid w:val="0074533B"/>
    <w:rsid w:val="007643BC"/>
    <w:rsid w:val="00780C68"/>
    <w:rsid w:val="0079265C"/>
    <w:rsid w:val="007959FE"/>
    <w:rsid w:val="007A0CF1"/>
    <w:rsid w:val="007B6BA5"/>
    <w:rsid w:val="007C2372"/>
    <w:rsid w:val="007C3390"/>
    <w:rsid w:val="007C42D8"/>
    <w:rsid w:val="007C4F4B"/>
    <w:rsid w:val="007D6F65"/>
    <w:rsid w:val="007D7362"/>
    <w:rsid w:val="007E2174"/>
    <w:rsid w:val="007F5CE2"/>
    <w:rsid w:val="007F6611"/>
    <w:rsid w:val="00810BAC"/>
    <w:rsid w:val="00814C29"/>
    <w:rsid w:val="008175E9"/>
    <w:rsid w:val="008242D7"/>
    <w:rsid w:val="0082577B"/>
    <w:rsid w:val="00825CB5"/>
    <w:rsid w:val="00866893"/>
    <w:rsid w:val="00866F02"/>
    <w:rsid w:val="00867D18"/>
    <w:rsid w:val="00871F9A"/>
    <w:rsid w:val="00871FD5"/>
    <w:rsid w:val="0088172E"/>
    <w:rsid w:val="00881EFA"/>
    <w:rsid w:val="0088791F"/>
    <w:rsid w:val="008879CB"/>
    <w:rsid w:val="008979B1"/>
    <w:rsid w:val="008A6B25"/>
    <w:rsid w:val="008A6C4F"/>
    <w:rsid w:val="008B389E"/>
    <w:rsid w:val="008D045E"/>
    <w:rsid w:val="008D3F25"/>
    <w:rsid w:val="008D4D82"/>
    <w:rsid w:val="008E0E46"/>
    <w:rsid w:val="008E7116"/>
    <w:rsid w:val="008F143B"/>
    <w:rsid w:val="008F3882"/>
    <w:rsid w:val="008F4B7C"/>
    <w:rsid w:val="00923A99"/>
    <w:rsid w:val="0092556A"/>
    <w:rsid w:val="00926E47"/>
    <w:rsid w:val="00947162"/>
    <w:rsid w:val="009610D0"/>
    <w:rsid w:val="0096375C"/>
    <w:rsid w:val="009659B2"/>
    <w:rsid w:val="009662E6"/>
    <w:rsid w:val="0097095E"/>
    <w:rsid w:val="0098592B"/>
    <w:rsid w:val="00985FC4"/>
    <w:rsid w:val="00990766"/>
    <w:rsid w:val="00991261"/>
    <w:rsid w:val="009964C4"/>
    <w:rsid w:val="009A7B81"/>
    <w:rsid w:val="009B011B"/>
    <w:rsid w:val="009B7EB7"/>
    <w:rsid w:val="009D01C0"/>
    <w:rsid w:val="009D6A08"/>
    <w:rsid w:val="009E0A16"/>
    <w:rsid w:val="009E6CB7"/>
    <w:rsid w:val="009E7970"/>
    <w:rsid w:val="009F2EAC"/>
    <w:rsid w:val="009F57E3"/>
    <w:rsid w:val="009F7B5E"/>
    <w:rsid w:val="00A077A2"/>
    <w:rsid w:val="00A10F4F"/>
    <w:rsid w:val="00A11067"/>
    <w:rsid w:val="00A1704A"/>
    <w:rsid w:val="00A21E9E"/>
    <w:rsid w:val="00A36AC2"/>
    <w:rsid w:val="00A4071A"/>
    <w:rsid w:val="00A425EB"/>
    <w:rsid w:val="00A56E9D"/>
    <w:rsid w:val="00A72F22"/>
    <w:rsid w:val="00A733BC"/>
    <w:rsid w:val="00A748A6"/>
    <w:rsid w:val="00A76A69"/>
    <w:rsid w:val="00A80B84"/>
    <w:rsid w:val="00A879A4"/>
    <w:rsid w:val="00AA0FF8"/>
    <w:rsid w:val="00AA3BFE"/>
    <w:rsid w:val="00AA451C"/>
    <w:rsid w:val="00AC0F2C"/>
    <w:rsid w:val="00AC502A"/>
    <w:rsid w:val="00AE1E26"/>
    <w:rsid w:val="00AE2785"/>
    <w:rsid w:val="00AF58C1"/>
    <w:rsid w:val="00B04A3F"/>
    <w:rsid w:val="00B06643"/>
    <w:rsid w:val="00B15055"/>
    <w:rsid w:val="00B20551"/>
    <w:rsid w:val="00B30179"/>
    <w:rsid w:val="00B31E0B"/>
    <w:rsid w:val="00B33FC7"/>
    <w:rsid w:val="00B37B15"/>
    <w:rsid w:val="00B4162A"/>
    <w:rsid w:val="00B45C02"/>
    <w:rsid w:val="00B626DE"/>
    <w:rsid w:val="00B70B63"/>
    <w:rsid w:val="00B72A1E"/>
    <w:rsid w:val="00B81E12"/>
    <w:rsid w:val="00B921F6"/>
    <w:rsid w:val="00BA339B"/>
    <w:rsid w:val="00BB1A0D"/>
    <w:rsid w:val="00BB23CC"/>
    <w:rsid w:val="00BC16B2"/>
    <w:rsid w:val="00BC1E7E"/>
    <w:rsid w:val="00BC74E9"/>
    <w:rsid w:val="00BE36A9"/>
    <w:rsid w:val="00BE618E"/>
    <w:rsid w:val="00BE7BEC"/>
    <w:rsid w:val="00BF0A5A"/>
    <w:rsid w:val="00BF0E63"/>
    <w:rsid w:val="00BF12A3"/>
    <w:rsid w:val="00BF16D7"/>
    <w:rsid w:val="00BF2373"/>
    <w:rsid w:val="00BF279B"/>
    <w:rsid w:val="00C044E2"/>
    <w:rsid w:val="00C048CB"/>
    <w:rsid w:val="00C066F3"/>
    <w:rsid w:val="00C25EC3"/>
    <w:rsid w:val="00C27F1E"/>
    <w:rsid w:val="00C463DD"/>
    <w:rsid w:val="00C745C3"/>
    <w:rsid w:val="00C978F5"/>
    <w:rsid w:val="00CA24A4"/>
    <w:rsid w:val="00CB348D"/>
    <w:rsid w:val="00CD46F5"/>
    <w:rsid w:val="00CE4A8F"/>
    <w:rsid w:val="00CF071D"/>
    <w:rsid w:val="00CF4AA5"/>
    <w:rsid w:val="00D0123D"/>
    <w:rsid w:val="00D15B04"/>
    <w:rsid w:val="00D2031B"/>
    <w:rsid w:val="00D25FE2"/>
    <w:rsid w:val="00D37DA9"/>
    <w:rsid w:val="00D406A7"/>
    <w:rsid w:val="00D41AE9"/>
    <w:rsid w:val="00D43252"/>
    <w:rsid w:val="00D44D86"/>
    <w:rsid w:val="00D50B7D"/>
    <w:rsid w:val="00D52012"/>
    <w:rsid w:val="00D704E5"/>
    <w:rsid w:val="00D72727"/>
    <w:rsid w:val="00D978C6"/>
    <w:rsid w:val="00DA0956"/>
    <w:rsid w:val="00DA357F"/>
    <w:rsid w:val="00DA3E12"/>
    <w:rsid w:val="00DC18AD"/>
    <w:rsid w:val="00DF7CAE"/>
    <w:rsid w:val="00E423C0"/>
    <w:rsid w:val="00E6414C"/>
    <w:rsid w:val="00E7260F"/>
    <w:rsid w:val="00E8702D"/>
    <w:rsid w:val="00E905F4"/>
    <w:rsid w:val="00E916A9"/>
    <w:rsid w:val="00E916DE"/>
    <w:rsid w:val="00E925AD"/>
    <w:rsid w:val="00E96312"/>
    <w:rsid w:val="00E96630"/>
    <w:rsid w:val="00EB42DF"/>
    <w:rsid w:val="00ED18DC"/>
    <w:rsid w:val="00ED6201"/>
    <w:rsid w:val="00ED7A2A"/>
    <w:rsid w:val="00EE407E"/>
    <w:rsid w:val="00EF0322"/>
    <w:rsid w:val="00EF1D7F"/>
    <w:rsid w:val="00F0137E"/>
    <w:rsid w:val="00F04E44"/>
    <w:rsid w:val="00F21786"/>
    <w:rsid w:val="00F24D72"/>
    <w:rsid w:val="00F25D06"/>
    <w:rsid w:val="00F31CFF"/>
    <w:rsid w:val="00F3742B"/>
    <w:rsid w:val="00F41FDB"/>
    <w:rsid w:val="00F50597"/>
    <w:rsid w:val="00F56D63"/>
    <w:rsid w:val="00F609A9"/>
    <w:rsid w:val="00F750C8"/>
    <w:rsid w:val="00F80C99"/>
    <w:rsid w:val="00F867EC"/>
    <w:rsid w:val="00F91B2B"/>
    <w:rsid w:val="00FC03CD"/>
    <w:rsid w:val="00FC0646"/>
    <w:rsid w:val="00FC68B7"/>
    <w:rsid w:val="00FE6985"/>
    <w:rsid w:val="00FE7D04"/>
    <w:rsid w:val="00FF0E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19FA8"/>
  <w15:docId w15:val="{293F474A-8ECE-45AC-83C9-5C342F38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7D6"/>
    <w:rPr>
      <w:lang w:val="en-GB"/>
    </w:rPr>
  </w:style>
  <w:style w:type="paragraph" w:styleId="Heading1">
    <w:name w:val="heading 1"/>
    <w:aliases w:val="Table_G"/>
    <w:basedOn w:val="SingleTxtG"/>
    <w:next w:val="SingleTxtG"/>
    <w:link w:val="Heading1Char"/>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lang w:val="en-GB"/>
    </w:rPr>
  </w:style>
  <w:style w:type="character" w:styleId="FootnoteReference">
    <w:name w:val="footnote reference"/>
    <w:aliases w:val="4_G,(Footnote Reference),-E Fußnotenzeichen,BVI fnr,Footnote symbol,Footnote,Footnote Reference Superscript,SUPERS,4_GR,Fußnotenzeichen, BVI fnr"/>
    <w:basedOn w:val="DefaultParagraphFont"/>
    <w:qFormat/>
    <w:rsid w:val="006107D6"/>
    <w:rPr>
      <w:rFonts w:ascii="Times New Roman" w:hAnsi="Times New Roman"/>
      <w:sz w:val="18"/>
      <w:vertAlign w:val="superscript"/>
      <w:lang w:val="en-GB"/>
    </w:rPr>
  </w:style>
  <w:style w:type="paragraph" w:styleId="FootnoteText">
    <w:name w:val="footnote text"/>
    <w:aliases w:val="5_G,PP,5_G_6,5_GR,-E Fußnotentext,footnote text,Fußnotentext Ursprung,Footnote Text Char Char Char Char,Footnote Text1,Footnote Text Char Char Char,Fußnotentext Char1,Fußnotentext Char Char,Fußnotentext Char2,Fußn,Fußnotentext"/>
    <w:basedOn w:val="Normal"/>
    <w:link w:val="FootnoteTextChar"/>
    <w:qFormat/>
    <w:rsid w:val="006107D6"/>
    <w:pPr>
      <w:tabs>
        <w:tab w:val="right" w:pos="1021"/>
      </w:tabs>
      <w:spacing w:line="220" w:lineRule="exact"/>
      <w:ind w:left="1134" w:right="1134" w:hanging="1134"/>
    </w:pPr>
    <w:rPr>
      <w:rFonts w:eastAsiaTheme="minorHAnsi"/>
      <w:sz w:val="18"/>
      <w:lang w:eastAsia="en-US"/>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F04E44"/>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semiHidden/>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Normal"/>
    <w:qFormat/>
    <w:rsid w:val="00D41AE9"/>
    <w:pPr>
      <w:numPr>
        <w:numId w:val="19"/>
      </w:numPr>
      <w:tabs>
        <w:tab w:val="left" w:pos="1701"/>
        <w:tab w:val="left" w:pos="2268"/>
        <w:tab w:val="left" w:pos="2835"/>
      </w:tabs>
      <w:spacing w:after="120"/>
      <w:ind w:right="1134"/>
      <w:jc w:val="both"/>
    </w:pPr>
  </w:style>
  <w:style w:type="character" w:customStyle="1" w:styleId="FootnoteTextChar">
    <w:name w:val="Footnote Text Char"/>
    <w:aliases w:val="5_G Char,PP Char,5_G_6 Char,5_GR Char,-E Fußnotentext Char,footnote text Char,Fußnotentext Ursprung Char,Footnote Text Char Char Char Char Char,Footnote Text1 Char,Footnote Text Char Char Char Char1,Fußnotentext Char1 Char,Fußn Char"/>
    <w:basedOn w:val="DefaultParagraphFont"/>
    <w:link w:val="FootnoteText"/>
    <w:qFormat/>
    <w:rsid w:val="006107D6"/>
    <w:rPr>
      <w:rFonts w:eastAsiaTheme="minorHAnsi"/>
      <w:sz w:val="18"/>
      <w:lang w:val="en-GB" w:eastAsia="en-US"/>
    </w:rPr>
  </w:style>
  <w:style w:type="character" w:customStyle="1" w:styleId="SingleTxtGChar">
    <w:name w:val="_ Single Txt_G Char"/>
    <w:link w:val="SingleTxtG"/>
    <w:qFormat/>
    <w:rsid w:val="002A4E35"/>
    <w:rPr>
      <w:lang w:val="en-GB"/>
    </w:rPr>
  </w:style>
  <w:style w:type="character" w:customStyle="1" w:styleId="HChGChar">
    <w:name w:val="_ H _Ch_G Char"/>
    <w:link w:val="HChG"/>
    <w:qFormat/>
    <w:locked/>
    <w:rsid w:val="002A4E35"/>
    <w:rPr>
      <w:b/>
      <w:sz w:val="28"/>
      <w:lang w:val="en-GB"/>
    </w:rPr>
  </w:style>
  <w:style w:type="character" w:customStyle="1" w:styleId="H1GChar">
    <w:name w:val="_ H_1_G Char"/>
    <w:link w:val="H1G"/>
    <w:locked/>
    <w:rsid w:val="002A4E35"/>
    <w:rPr>
      <w:b/>
      <w:sz w:val="24"/>
      <w:lang w:val="en-GB"/>
    </w:rPr>
  </w:style>
  <w:style w:type="character" w:customStyle="1" w:styleId="Heading1Char">
    <w:name w:val="Heading 1 Char"/>
    <w:aliases w:val="Table_G Char"/>
    <w:basedOn w:val="DefaultParagraphFont"/>
    <w:link w:val="Heading1"/>
    <w:rsid w:val="00B921F6"/>
    <w:rPr>
      <w:lang w:val="en-GB"/>
    </w:rPr>
  </w:style>
  <w:style w:type="paragraph" w:styleId="PlainText">
    <w:name w:val="Plain Text"/>
    <w:basedOn w:val="Normal"/>
    <w:link w:val="PlainTextChar"/>
    <w:uiPriority w:val="99"/>
    <w:semiHidden/>
    <w:rsid w:val="00B921F6"/>
    <w:pPr>
      <w:suppressAutoHyphens/>
    </w:pPr>
    <w:rPr>
      <w:rFonts w:eastAsiaTheme="minorEastAsia" w:cs="Courier New"/>
      <w:lang w:eastAsia="en-US"/>
    </w:rPr>
  </w:style>
  <w:style w:type="character" w:customStyle="1" w:styleId="PlainTextChar">
    <w:name w:val="Plain Text Char"/>
    <w:basedOn w:val="DefaultParagraphFont"/>
    <w:link w:val="PlainText"/>
    <w:uiPriority w:val="99"/>
    <w:semiHidden/>
    <w:rsid w:val="00B921F6"/>
    <w:rPr>
      <w:rFonts w:eastAsiaTheme="minorEastAsia" w:cs="Courier New"/>
      <w:lang w:val="en-GB" w:eastAsia="en-US"/>
    </w:rPr>
  </w:style>
  <w:style w:type="paragraph" w:styleId="Revision">
    <w:name w:val="Revision"/>
    <w:hidden/>
    <w:uiPriority w:val="99"/>
    <w:semiHidden/>
    <w:rsid w:val="001D0C56"/>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errano\United%20Nations\UNOG_DCM-Macros%20-%20UNECE\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20" ma:contentTypeDescription="Create a new document." ma:contentTypeScope="" ma:versionID="8bda90588dd6c335b37361152779e204">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59377319ba133a51200161d4574cec6b"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73BDC3-5BA6-4FF6-BD59-3199A8718E77}"/>
</file>

<file path=customXml/itemProps2.xml><?xml version="1.0" encoding="utf-8"?>
<ds:datastoreItem xmlns:ds="http://schemas.openxmlformats.org/officeDocument/2006/customXml" ds:itemID="{0ABE2F0B-9CC1-4723-AD2D-D714799CD4BD}">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D4FCC3D9-27C0-4B6C-98AC-93573A3567BA}">
  <ds:schemaRefs>
    <ds:schemaRef ds:uri="http://schemas.openxmlformats.org/officeDocument/2006/bibliography"/>
  </ds:schemaRefs>
</ds:datastoreItem>
</file>

<file path=customXml/itemProps4.xml><?xml version="1.0" encoding="utf-8"?>
<ds:datastoreItem xmlns:ds="http://schemas.openxmlformats.org/officeDocument/2006/customXml" ds:itemID="{CA62F2B8-758D-4BBA-97C8-6C05A58C4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TRANS_WP29_E.dotm</Template>
  <TotalTime>0</TotalTime>
  <Pages>4</Pages>
  <Words>499</Words>
  <Characters>2682</Characters>
  <Application>Microsoft Office Word</Application>
  <DocSecurity>0</DocSecurity>
  <Lines>74</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ECE/TRANS/WP.29/2025/55</vt:lpstr>
      <vt:lpstr/>
    </vt:vector>
  </TitlesOfParts>
  <Company>CSD</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ECE/TRANS/WP.29/2025/58</dc:title>
  <dc:subject>2505478</dc:subject>
  <dc:creator>Add.128/Rev.4/Amend.2(2019/40)</dc:creator>
  <cp:keywords/>
  <dc:description/>
  <cp:lastModifiedBy>Pauline Anne Escalante</cp:lastModifiedBy>
  <cp:revision>2</cp:revision>
  <cp:lastPrinted>2025-04-14T16:24:00Z</cp:lastPrinted>
  <dcterms:created xsi:type="dcterms:W3CDTF">2025-04-15T08:11:00Z</dcterms:created>
  <dcterms:modified xsi:type="dcterms:W3CDTF">2025-04-15T08:11:00Z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