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9E6CB7" w:rsidRPr="000846F8" w14:paraId="3AE6377E" w14:textId="77777777" w:rsidTr="00B20551">
        <w:trPr>
          <w:cantSplit/>
          <w:trHeight w:hRule="exact" w:val="851"/>
        </w:trPr>
        <w:tc>
          <w:tcPr>
            <w:tcW w:w="1276" w:type="dxa"/>
            <w:tcBorders>
              <w:bottom w:val="single" w:sz="4" w:space="0" w:color="auto"/>
            </w:tcBorders>
            <w:vAlign w:val="bottom"/>
          </w:tcPr>
          <w:p w14:paraId="46D06312" w14:textId="77777777" w:rsidR="009E6CB7" w:rsidRPr="000846F8" w:rsidRDefault="009E6CB7" w:rsidP="00B20551">
            <w:pPr>
              <w:spacing w:after="80"/>
            </w:pPr>
            <w:bookmarkStart w:id="0" w:name="_Hlk194493262"/>
          </w:p>
        </w:tc>
        <w:tc>
          <w:tcPr>
            <w:tcW w:w="2268" w:type="dxa"/>
            <w:tcBorders>
              <w:bottom w:val="single" w:sz="4" w:space="0" w:color="auto"/>
            </w:tcBorders>
            <w:vAlign w:val="bottom"/>
          </w:tcPr>
          <w:p w14:paraId="4375713F" w14:textId="77777777" w:rsidR="009E6CB7" w:rsidRPr="000846F8" w:rsidRDefault="009E6CB7" w:rsidP="00B20551">
            <w:pPr>
              <w:spacing w:after="80" w:line="300" w:lineRule="exact"/>
              <w:rPr>
                <w:b/>
                <w:sz w:val="24"/>
                <w:szCs w:val="24"/>
              </w:rPr>
            </w:pPr>
            <w:r w:rsidRPr="000846F8">
              <w:rPr>
                <w:sz w:val="28"/>
                <w:szCs w:val="28"/>
              </w:rPr>
              <w:t>United Nations</w:t>
            </w:r>
          </w:p>
        </w:tc>
        <w:tc>
          <w:tcPr>
            <w:tcW w:w="6095" w:type="dxa"/>
            <w:gridSpan w:val="2"/>
            <w:tcBorders>
              <w:bottom w:val="single" w:sz="4" w:space="0" w:color="auto"/>
            </w:tcBorders>
            <w:vAlign w:val="bottom"/>
          </w:tcPr>
          <w:p w14:paraId="0B865136" w14:textId="060A8F02" w:rsidR="009E6CB7" w:rsidRPr="000846F8" w:rsidRDefault="000B1EA4" w:rsidP="000B1EA4">
            <w:pPr>
              <w:jc w:val="right"/>
            </w:pPr>
            <w:r w:rsidRPr="000846F8">
              <w:rPr>
                <w:sz w:val="40"/>
              </w:rPr>
              <w:t>ECE</w:t>
            </w:r>
            <w:r w:rsidRPr="000846F8">
              <w:t>/TRANS/WP.29/GRSG/2025/</w:t>
            </w:r>
            <w:r w:rsidR="000F4561">
              <w:t>39</w:t>
            </w:r>
          </w:p>
        </w:tc>
      </w:tr>
      <w:bookmarkEnd w:id="0"/>
      <w:tr w:rsidR="009E6CB7" w:rsidRPr="000846F8" w14:paraId="70D30756" w14:textId="77777777" w:rsidTr="00B20551">
        <w:trPr>
          <w:cantSplit/>
          <w:trHeight w:hRule="exact" w:val="2835"/>
        </w:trPr>
        <w:tc>
          <w:tcPr>
            <w:tcW w:w="1276" w:type="dxa"/>
            <w:tcBorders>
              <w:top w:val="single" w:sz="4" w:space="0" w:color="auto"/>
              <w:bottom w:val="single" w:sz="12" w:space="0" w:color="auto"/>
            </w:tcBorders>
          </w:tcPr>
          <w:p w14:paraId="2CEBC36D" w14:textId="77777777" w:rsidR="009E6CB7" w:rsidRPr="000846F8" w:rsidRDefault="00686A48" w:rsidP="00B20551">
            <w:pPr>
              <w:spacing w:before="120"/>
            </w:pPr>
            <w:r w:rsidRPr="000846F8">
              <w:rPr>
                <w:noProof/>
                <w:lang w:eastAsia="fr-CH"/>
              </w:rPr>
              <w:drawing>
                <wp:inline distT="0" distB="0" distL="0" distR="0" wp14:anchorId="65B40180" wp14:editId="45AA87CE">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6BB50097" w14:textId="77777777" w:rsidR="009E6CB7" w:rsidRPr="000846F8" w:rsidRDefault="009E6CB7" w:rsidP="00B20551">
            <w:pPr>
              <w:spacing w:before="120" w:line="420" w:lineRule="exact"/>
              <w:rPr>
                <w:sz w:val="40"/>
                <w:szCs w:val="40"/>
              </w:rPr>
            </w:pPr>
            <w:r w:rsidRPr="000846F8">
              <w:rPr>
                <w:b/>
                <w:sz w:val="40"/>
                <w:szCs w:val="40"/>
              </w:rPr>
              <w:t>Economic and Social Council</w:t>
            </w:r>
          </w:p>
        </w:tc>
        <w:tc>
          <w:tcPr>
            <w:tcW w:w="2835" w:type="dxa"/>
            <w:tcBorders>
              <w:top w:val="single" w:sz="4" w:space="0" w:color="auto"/>
              <w:bottom w:val="single" w:sz="12" w:space="0" w:color="auto"/>
            </w:tcBorders>
          </w:tcPr>
          <w:p w14:paraId="6BCD7B19" w14:textId="77777777" w:rsidR="009E6CB7" w:rsidRPr="000846F8" w:rsidRDefault="000B1EA4" w:rsidP="000B1EA4">
            <w:pPr>
              <w:spacing w:before="240" w:line="240" w:lineRule="exact"/>
            </w:pPr>
            <w:r w:rsidRPr="000846F8">
              <w:t>Distr.: General</w:t>
            </w:r>
          </w:p>
          <w:p w14:paraId="7136A103" w14:textId="1F91FC6E" w:rsidR="000B1EA4" w:rsidRPr="000846F8" w:rsidRDefault="00973AA2" w:rsidP="000B1EA4">
            <w:pPr>
              <w:spacing w:line="240" w:lineRule="exact"/>
            </w:pPr>
            <w:r>
              <w:t>1</w:t>
            </w:r>
            <w:r w:rsidR="0065155F">
              <w:t>8</w:t>
            </w:r>
            <w:r w:rsidR="00586555">
              <w:t xml:space="preserve"> July</w:t>
            </w:r>
            <w:r w:rsidR="000B1EA4" w:rsidRPr="000846F8">
              <w:t xml:space="preserve"> 2025</w:t>
            </w:r>
          </w:p>
          <w:p w14:paraId="43DFD53D" w14:textId="77777777" w:rsidR="000B1EA4" w:rsidRPr="000846F8" w:rsidRDefault="000B1EA4" w:rsidP="000B1EA4">
            <w:pPr>
              <w:spacing w:line="240" w:lineRule="exact"/>
            </w:pPr>
          </w:p>
          <w:p w14:paraId="19E49273" w14:textId="7D04516F" w:rsidR="000B1EA4" w:rsidRPr="000846F8" w:rsidRDefault="000B1EA4" w:rsidP="000B1EA4">
            <w:pPr>
              <w:spacing w:line="240" w:lineRule="exact"/>
            </w:pPr>
            <w:r w:rsidRPr="000846F8">
              <w:t>Original: English</w:t>
            </w:r>
          </w:p>
        </w:tc>
      </w:tr>
    </w:tbl>
    <w:p w14:paraId="27E68FDE" w14:textId="77777777" w:rsidR="000B1EA4" w:rsidRPr="000846F8" w:rsidRDefault="000B1EA4" w:rsidP="000B1EA4">
      <w:pPr>
        <w:spacing w:before="120"/>
        <w:rPr>
          <w:b/>
          <w:sz w:val="28"/>
          <w:szCs w:val="28"/>
        </w:rPr>
      </w:pPr>
      <w:r w:rsidRPr="000846F8">
        <w:rPr>
          <w:b/>
          <w:sz w:val="28"/>
          <w:szCs w:val="28"/>
        </w:rPr>
        <w:t>Economic Commission for Europe</w:t>
      </w:r>
    </w:p>
    <w:p w14:paraId="5329F34A" w14:textId="77777777" w:rsidR="000B1EA4" w:rsidRPr="000846F8" w:rsidRDefault="000B1EA4" w:rsidP="000B1EA4">
      <w:pPr>
        <w:spacing w:before="120"/>
        <w:rPr>
          <w:sz w:val="28"/>
          <w:szCs w:val="28"/>
        </w:rPr>
      </w:pPr>
      <w:r w:rsidRPr="000846F8">
        <w:rPr>
          <w:sz w:val="28"/>
          <w:szCs w:val="28"/>
        </w:rPr>
        <w:t>Inland Transport Committee</w:t>
      </w:r>
    </w:p>
    <w:p w14:paraId="0B674E34" w14:textId="77777777" w:rsidR="000B1EA4" w:rsidRPr="000846F8" w:rsidRDefault="000B1EA4" w:rsidP="000B1EA4">
      <w:pPr>
        <w:spacing w:before="120"/>
        <w:rPr>
          <w:b/>
          <w:sz w:val="24"/>
          <w:szCs w:val="24"/>
        </w:rPr>
      </w:pPr>
      <w:r w:rsidRPr="000846F8">
        <w:rPr>
          <w:b/>
          <w:sz w:val="24"/>
          <w:szCs w:val="24"/>
        </w:rPr>
        <w:t>World Forum for Harmonization of Vehicle Regulations</w:t>
      </w:r>
    </w:p>
    <w:p w14:paraId="152FDF16" w14:textId="77777777" w:rsidR="000B1EA4" w:rsidRPr="000846F8" w:rsidRDefault="000B1EA4" w:rsidP="000B1EA4">
      <w:pPr>
        <w:spacing w:before="120"/>
        <w:rPr>
          <w:b/>
        </w:rPr>
      </w:pPr>
      <w:r w:rsidRPr="000846F8">
        <w:rPr>
          <w:b/>
        </w:rPr>
        <w:t>Working Party on General Safety Provisions</w:t>
      </w:r>
    </w:p>
    <w:p w14:paraId="688DF953" w14:textId="4659697E" w:rsidR="000B1EA4" w:rsidRPr="000846F8" w:rsidRDefault="000B1EA4" w:rsidP="000B1EA4">
      <w:pPr>
        <w:spacing w:before="120"/>
        <w:rPr>
          <w:bCs/>
        </w:rPr>
      </w:pPr>
      <w:r w:rsidRPr="000846F8">
        <w:rPr>
          <w:b/>
        </w:rPr>
        <w:t>1</w:t>
      </w:r>
      <w:r w:rsidR="00586555">
        <w:rPr>
          <w:b/>
        </w:rPr>
        <w:t>30</w:t>
      </w:r>
      <w:r w:rsidRPr="000846F8">
        <w:rPr>
          <w:b/>
        </w:rPr>
        <w:t>th session</w:t>
      </w:r>
    </w:p>
    <w:p w14:paraId="29A2D70C" w14:textId="0D7A5999" w:rsidR="000B1EA4" w:rsidRPr="000846F8" w:rsidRDefault="000B1EA4" w:rsidP="000B1EA4">
      <w:pPr>
        <w:rPr>
          <w:b/>
          <w:bCs/>
        </w:rPr>
      </w:pPr>
      <w:r w:rsidRPr="000846F8">
        <w:t xml:space="preserve">Geneva, </w:t>
      </w:r>
      <w:r w:rsidR="002938A5">
        <w:rPr>
          <w:lang w:eastAsia="ko-KR"/>
        </w:rPr>
        <w:t>6</w:t>
      </w:r>
      <w:r w:rsidR="000846F8" w:rsidRPr="00F60022">
        <w:t>–</w:t>
      </w:r>
      <w:r w:rsidR="002938A5">
        <w:t>9</w:t>
      </w:r>
      <w:r w:rsidRPr="000846F8">
        <w:t xml:space="preserve"> </w:t>
      </w:r>
      <w:r w:rsidR="002938A5">
        <w:rPr>
          <w:lang w:eastAsia="ko-KR"/>
        </w:rPr>
        <w:t>October</w:t>
      </w:r>
      <w:r w:rsidRPr="000846F8">
        <w:t xml:space="preserve"> 2025</w:t>
      </w:r>
    </w:p>
    <w:p w14:paraId="67209E6E" w14:textId="5CE5D723" w:rsidR="000B1EA4" w:rsidRPr="000846F8" w:rsidRDefault="000B1EA4" w:rsidP="000B1EA4">
      <w:r w:rsidRPr="000846F8">
        <w:t xml:space="preserve">Item </w:t>
      </w:r>
      <w:r w:rsidR="001C15C9">
        <w:t>1</w:t>
      </w:r>
      <w:r w:rsidRPr="000846F8">
        <w:rPr>
          <w:lang w:eastAsia="ko-KR"/>
        </w:rPr>
        <w:t>4(</w:t>
      </w:r>
      <w:r w:rsidR="001C15C9">
        <w:rPr>
          <w:lang w:eastAsia="ko-KR"/>
        </w:rPr>
        <w:t>b</w:t>
      </w:r>
      <w:r w:rsidRPr="000846F8">
        <w:rPr>
          <w:lang w:eastAsia="ko-KR"/>
        </w:rPr>
        <w:t>)</w:t>
      </w:r>
      <w:r w:rsidRPr="000846F8">
        <w:t xml:space="preserve"> of the </w:t>
      </w:r>
      <w:r w:rsidR="00C865A4" w:rsidRPr="000846F8">
        <w:t>provisional agenda</w:t>
      </w:r>
    </w:p>
    <w:p w14:paraId="40237901" w14:textId="43F93EA4" w:rsidR="00A53CC1" w:rsidRPr="000846F8" w:rsidRDefault="00C865A4" w:rsidP="00A53CC1">
      <w:pPr>
        <w:rPr>
          <w:b/>
        </w:rPr>
      </w:pPr>
      <w:r>
        <w:rPr>
          <w:b/>
        </w:rPr>
        <w:t>E</w:t>
      </w:r>
      <w:r w:rsidRPr="00C4353D">
        <w:rPr>
          <w:b/>
        </w:rPr>
        <w:t>xchange of views on vehicle automation</w:t>
      </w:r>
      <w:r w:rsidRPr="000846F8">
        <w:rPr>
          <w:b/>
        </w:rPr>
        <w:t>:</w:t>
      </w:r>
    </w:p>
    <w:p w14:paraId="2BE5E95D" w14:textId="28416E38" w:rsidR="00A53CC1" w:rsidRPr="000846F8" w:rsidRDefault="00C865A4" w:rsidP="00A53CC1">
      <w:pPr>
        <w:rPr>
          <w:b/>
        </w:rPr>
      </w:pPr>
      <w:r>
        <w:rPr>
          <w:b/>
        </w:rPr>
        <w:t>C</w:t>
      </w:r>
      <w:r w:rsidRPr="00C93D45">
        <w:rPr>
          <w:b/>
        </w:rPr>
        <w:t>ategorization of automated vehicles and autonomous vehicle regulation screening</w:t>
      </w:r>
    </w:p>
    <w:p w14:paraId="17787B84" w14:textId="5DEE9820" w:rsidR="000B1EA4" w:rsidRPr="000846F8" w:rsidRDefault="000B1EA4" w:rsidP="000B1EA4">
      <w:pPr>
        <w:pStyle w:val="HChG"/>
        <w:ind w:left="1124" w:right="1138" w:firstLine="0"/>
      </w:pPr>
      <w:r w:rsidRPr="000846F8">
        <w:rPr>
          <w:szCs w:val="28"/>
        </w:rPr>
        <w:tab/>
        <w:t xml:space="preserve">Proposal for </w:t>
      </w:r>
      <w:r w:rsidR="00AB67D5">
        <w:rPr>
          <w:szCs w:val="28"/>
        </w:rPr>
        <w:t xml:space="preserve">supplement </w:t>
      </w:r>
      <w:r w:rsidR="00334E20">
        <w:rPr>
          <w:szCs w:val="28"/>
        </w:rPr>
        <w:t>6</w:t>
      </w:r>
      <w:r w:rsidR="00AB67D5">
        <w:rPr>
          <w:szCs w:val="28"/>
        </w:rPr>
        <w:t xml:space="preserve"> to the </w:t>
      </w:r>
      <w:r w:rsidR="00342FDE">
        <w:rPr>
          <w:szCs w:val="28"/>
        </w:rPr>
        <w:t>ori</w:t>
      </w:r>
      <w:r w:rsidR="00452B92">
        <w:rPr>
          <w:szCs w:val="28"/>
        </w:rPr>
        <w:t>ginal version of</w:t>
      </w:r>
      <w:r w:rsidRPr="000846F8">
        <w:rPr>
          <w:szCs w:val="28"/>
        </w:rPr>
        <w:t xml:space="preserve"> </w:t>
      </w:r>
      <w:r w:rsidR="00607878">
        <w:rPr>
          <w:szCs w:val="28"/>
        </w:rPr>
        <w:t xml:space="preserve">UN </w:t>
      </w:r>
      <w:r w:rsidRPr="000846F8">
        <w:rPr>
          <w:szCs w:val="28"/>
        </w:rPr>
        <w:t>Regulation No.</w:t>
      </w:r>
      <w:r w:rsidRPr="000846F8">
        <w:t> </w:t>
      </w:r>
      <w:r w:rsidR="009C28D9">
        <w:rPr>
          <w:szCs w:val="28"/>
        </w:rPr>
        <w:t>1</w:t>
      </w:r>
      <w:r w:rsidR="00342FDE">
        <w:rPr>
          <w:szCs w:val="28"/>
        </w:rPr>
        <w:t>5</w:t>
      </w:r>
      <w:r w:rsidR="00334E20">
        <w:rPr>
          <w:szCs w:val="28"/>
        </w:rPr>
        <w:t>8</w:t>
      </w:r>
      <w:r w:rsidRPr="000846F8">
        <w:rPr>
          <w:szCs w:val="28"/>
        </w:rPr>
        <w:t xml:space="preserve"> (</w:t>
      </w:r>
      <w:r w:rsidR="00334E20" w:rsidRPr="00334E20">
        <w:t xml:space="preserve">Devices for </w:t>
      </w:r>
      <w:r w:rsidR="00C865A4" w:rsidRPr="00334E20">
        <w:t xml:space="preserve">Means </w:t>
      </w:r>
      <w:r w:rsidR="00334E20" w:rsidRPr="00334E20">
        <w:t xml:space="preserve">of </w:t>
      </w:r>
      <w:r w:rsidR="00C865A4" w:rsidRPr="00334E20">
        <w:t xml:space="preserve">Rear Visibility </w:t>
      </w:r>
      <w:r w:rsidR="00334E20" w:rsidRPr="00334E20">
        <w:t xml:space="preserve">or </w:t>
      </w:r>
      <w:r w:rsidR="00C865A4" w:rsidRPr="00334E20">
        <w:t>Detection</w:t>
      </w:r>
      <w:r w:rsidRPr="000846F8">
        <w:rPr>
          <w:szCs w:val="28"/>
        </w:rPr>
        <w:t>)</w:t>
      </w:r>
      <w:r w:rsidRPr="000846F8">
        <w:t xml:space="preserve"> </w:t>
      </w:r>
    </w:p>
    <w:p w14:paraId="04273320" w14:textId="49A3206E" w:rsidR="000B1EA4" w:rsidRPr="000846F8" w:rsidRDefault="000B1EA4" w:rsidP="000B1EA4">
      <w:pPr>
        <w:pStyle w:val="H1G"/>
        <w:rPr>
          <w:szCs w:val="24"/>
        </w:rPr>
      </w:pPr>
      <w:r w:rsidRPr="000846F8">
        <w:tab/>
      </w:r>
      <w:r w:rsidRPr="000846F8">
        <w:tab/>
        <w:t xml:space="preserve">Submitted by the expert from </w:t>
      </w:r>
      <w:r w:rsidR="004D1435">
        <w:t xml:space="preserve">the </w:t>
      </w:r>
      <w:r w:rsidR="00C865A4">
        <w:t>European Commission</w:t>
      </w:r>
      <w:r w:rsidR="00C865A4" w:rsidRPr="000846F8">
        <w:t xml:space="preserve"> </w:t>
      </w:r>
      <w:r w:rsidRPr="000846F8">
        <w:footnoteReference w:customMarkFollows="1" w:id="2"/>
        <w:t>*</w:t>
      </w:r>
    </w:p>
    <w:p w14:paraId="6EE100A1" w14:textId="7956FCB5" w:rsidR="000B1EA4" w:rsidRPr="000846F8" w:rsidRDefault="000B1EA4" w:rsidP="000B1EA4">
      <w:pPr>
        <w:spacing w:after="120"/>
        <w:ind w:left="1134" w:right="1134" w:firstLine="567"/>
        <w:jc w:val="both"/>
      </w:pPr>
      <w:r w:rsidRPr="000846F8">
        <w:t xml:space="preserve">The text reproduced below was prepared by the expert from </w:t>
      </w:r>
      <w:r w:rsidR="00F84786">
        <w:t xml:space="preserve">the </w:t>
      </w:r>
      <w:r w:rsidR="006632BD">
        <w:t>Eu</w:t>
      </w:r>
      <w:r w:rsidR="00895307">
        <w:t>r</w:t>
      </w:r>
      <w:r w:rsidR="006632BD">
        <w:t>opean Commission</w:t>
      </w:r>
      <w:r w:rsidRPr="000846F8">
        <w:t xml:space="preserve"> on behalf of the Task Force on </w:t>
      </w:r>
      <w:r w:rsidR="00F84786">
        <w:t>Automated</w:t>
      </w:r>
      <w:r w:rsidR="00BD47D0">
        <w:t xml:space="preserve"> Vehicles</w:t>
      </w:r>
      <w:r w:rsidR="00F84786">
        <w:t xml:space="preserve"> Regulatory Screening</w:t>
      </w:r>
      <w:r w:rsidRPr="000846F8">
        <w:t xml:space="preserve"> </w:t>
      </w:r>
      <w:r w:rsidR="00762100">
        <w:br/>
      </w:r>
      <w:r w:rsidRPr="000846F8">
        <w:t>(TF</w:t>
      </w:r>
      <w:r w:rsidR="00F84786">
        <w:t>-AVRS</w:t>
      </w:r>
      <w:r w:rsidRPr="000846F8">
        <w:t>). The modifications to the current text of the UN Regulation are marked in bold for new or strikethrough for deleted characters.</w:t>
      </w:r>
    </w:p>
    <w:p w14:paraId="48E20E8F" w14:textId="77777777" w:rsidR="000B1EA4" w:rsidRPr="000846F8" w:rsidRDefault="000B1EA4" w:rsidP="000B1EA4">
      <w:pPr>
        <w:rPr>
          <w:lang w:eastAsia="ko-KR"/>
        </w:rPr>
      </w:pPr>
      <w:r w:rsidRPr="000846F8">
        <w:rPr>
          <w:lang w:eastAsia="ko-KR"/>
        </w:rPr>
        <w:br w:type="page"/>
      </w:r>
    </w:p>
    <w:p w14:paraId="23555759" w14:textId="4EC9E338" w:rsidR="000B1EA4" w:rsidRPr="000846F8" w:rsidRDefault="000B1EA4" w:rsidP="000B1EA4">
      <w:pPr>
        <w:keepNext/>
        <w:keepLines/>
        <w:tabs>
          <w:tab w:val="right" w:pos="851"/>
        </w:tabs>
        <w:spacing w:before="360" w:after="240" w:line="300" w:lineRule="exact"/>
        <w:ind w:left="1134" w:right="1134" w:hanging="1134"/>
        <w:rPr>
          <w:b/>
          <w:color w:val="FF0000"/>
          <w:sz w:val="28"/>
        </w:rPr>
      </w:pPr>
      <w:r w:rsidRPr="000846F8">
        <w:rPr>
          <w:b/>
          <w:sz w:val="28"/>
        </w:rPr>
        <w:lastRenderedPageBreak/>
        <w:tab/>
      </w:r>
      <w:r w:rsidR="00B477BD">
        <w:rPr>
          <w:b/>
          <w:sz w:val="28"/>
        </w:rPr>
        <w:tab/>
      </w:r>
      <w:r w:rsidRPr="000846F8">
        <w:rPr>
          <w:b/>
          <w:sz w:val="28"/>
        </w:rPr>
        <w:t>Proposal</w:t>
      </w:r>
    </w:p>
    <w:p w14:paraId="015F4755" w14:textId="77777777" w:rsidR="00C54C3B" w:rsidRDefault="00C54C3B" w:rsidP="00C54C3B">
      <w:pPr>
        <w:autoSpaceDE w:val="0"/>
        <w:autoSpaceDN w:val="0"/>
        <w:adjustRightInd w:val="0"/>
        <w:spacing w:before="120" w:after="120" w:line="240" w:lineRule="auto"/>
        <w:ind w:left="1134" w:right="1134"/>
        <w:jc w:val="both"/>
        <w:rPr>
          <w:rFonts w:eastAsia="DengXian"/>
          <w:iCs/>
          <w:lang w:eastAsia="zh-CN"/>
        </w:rPr>
      </w:pPr>
      <w:r>
        <w:rPr>
          <w:rFonts w:eastAsia="DengXian"/>
          <w:i/>
          <w:lang w:eastAsia="zh-CN"/>
        </w:rPr>
        <w:t>Renumber the first paragraph of the introduction to 0.1:</w:t>
      </w:r>
    </w:p>
    <w:p w14:paraId="3F40397B" w14:textId="77777777" w:rsidR="00C54C3B" w:rsidRPr="003E1301" w:rsidRDefault="00C54C3B" w:rsidP="00C54C3B">
      <w:pPr>
        <w:autoSpaceDE w:val="0"/>
        <w:autoSpaceDN w:val="0"/>
        <w:adjustRightInd w:val="0"/>
        <w:spacing w:before="120" w:after="120" w:line="240" w:lineRule="auto"/>
        <w:ind w:left="2268" w:right="1134" w:hanging="1134"/>
        <w:jc w:val="both"/>
        <w:rPr>
          <w:lang w:val="en-US"/>
        </w:rPr>
      </w:pPr>
      <w:r w:rsidRPr="00414B22">
        <w:rPr>
          <w:rStyle w:val="Hyperlink"/>
          <w:iCs/>
          <w:color w:val="auto"/>
          <w:szCs w:val="18"/>
        </w:rPr>
        <w:t>"</w:t>
      </w:r>
      <w:r w:rsidRPr="001B4565">
        <w:rPr>
          <w:b/>
          <w:bCs/>
          <w:lang w:val="en-US"/>
        </w:rPr>
        <w:t>0.1.</w:t>
      </w:r>
      <w:r>
        <w:rPr>
          <w:lang w:val="en-US"/>
        </w:rPr>
        <w:tab/>
      </w:r>
      <w:r w:rsidRPr="003E1301">
        <w:rPr>
          <w:lang w:val="en-US"/>
        </w:rPr>
        <w:t>The purpose of this Regulation is to provide the provisions for means of rear visibility and detection that would improve the driver’s awareness of vulnerable road users behind vehicles when reversing. UN Regulation No. 46. provides the provisions for indirect vision of motor vehicles. This Regulation expands driver’s awareness behind vehicles when reversing. Therefore, some requirements of this Regulation may be satisfied by devices complying with UN Regulation No.46.</w:t>
      </w:r>
    </w:p>
    <w:p w14:paraId="1DEA06F8" w14:textId="321EC78B" w:rsidR="00C54C3B" w:rsidRDefault="00C54C3B" w:rsidP="00C54C3B">
      <w:pPr>
        <w:autoSpaceDE w:val="0"/>
        <w:autoSpaceDN w:val="0"/>
        <w:adjustRightInd w:val="0"/>
        <w:spacing w:before="120" w:after="120" w:line="240" w:lineRule="auto"/>
        <w:ind w:left="2268" w:right="1134"/>
        <w:jc w:val="both"/>
        <w:rPr>
          <w:lang w:val="en-US"/>
        </w:rPr>
      </w:pPr>
      <w:r w:rsidRPr="003E1301">
        <w:rPr>
          <w:lang w:val="en-US"/>
        </w:rPr>
        <w:t xml:space="preserve">This Regulation cannot cover all the traffic conditions and infrastructure features in the type approval process; this Regulation </w:t>
      </w:r>
      <w:proofErr w:type="spellStart"/>
      <w:r w:rsidRPr="003E1301">
        <w:rPr>
          <w:lang w:val="en-US"/>
        </w:rPr>
        <w:t>recognises</w:t>
      </w:r>
      <w:proofErr w:type="spellEnd"/>
      <w:r w:rsidRPr="003E1301">
        <w:rPr>
          <w:lang w:val="en-US"/>
        </w:rPr>
        <w:t xml:space="preserve"> that the performances required in this Regulation cannot be achieved in all conditions (vehicle speed and condition, weather conditions, and traffic scenarios</w:t>
      </w:r>
      <w:r w:rsidR="00B477BD">
        <w:rPr>
          <w:lang w:val="en-US"/>
        </w:rPr>
        <w:t>,</w:t>
      </w:r>
      <w:r w:rsidRPr="003E1301">
        <w:rPr>
          <w:lang w:val="en-US"/>
        </w:rPr>
        <w:t xml:space="preserve"> etc. may affect the system performances).</w:t>
      </w:r>
      <w:r w:rsidRPr="00DE7DAA">
        <w:rPr>
          <w:rStyle w:val="Hyperlink"/>
          <w:iCs/>
          <w:color w:val="auto"/>
          <w:szCs w:val="18"/>
        </w:rPr>
        <w:t xml:space="preserve"> </w:t>
      </w:r>
      <w:r w:rsidRPr="00414B22">
        <w:rPr>
          <w:rStyle w:val="Hyperlink"/>
          <w:iCs/>
          <w:color w:val="auto"/>
          <w:szCs w:val="18"/>
        </w:rPr>
        <w:t>"</w:t>
      </w:r>
    </w:p>
    <w:p w14:paraId="20127386" w14:textId="64661157" w:rsidR="00C54C3B" w:rsidRDefault="00C54C3B" w:rsidP="00C54C3B">
      <w:pPr>
        <w:autoSpaceDE w:val="0"/>
        <w:autoSpaceDN w:val="0"/>
        <w:adjustRightInd w:val="0"/>
        <w:spacing w:before="120" w:after="120" w:line="240" w:lineRule="auto"/>
        <w:ind w:left="1134" w:right="1134"/>
        <w:jc w:val="both"/>
        <w:rPr>
          <w:rFonts w:eastAsia="DengXian"/>
          <w:i/>
          <w:lang w:eastAsia="zh-CN"/>
        </w:rPr>
      </w:pPr>
      <w:r>
        <w:rPr>
          <w:rFonts w:eastAsia="DengXian"/>
          <w:i/>
          <w:lang w:eastAsia="zh-CN"/>
        </w:rPr>
        <w:t>Insert a new paragraph 0.2., 0.2.1. to 0.2.3.,</w:t>
      </w:r>
      <w:r w:rsidRPr="000934E8">
        <w:rPr>
          <w:rFonts w:eastAsia="DengXian"/>
          <w:iCs/>
          <w:lang w:eastAsia="zh-CN"/>
        </w:rPr>
        <w:t xml:space="preserve"> to read:</w:t>
      </w:r>
    </w:p>
    <w:p w14:paraId="7EE6A209" w14:textId="77777777" w:rsidR="00C54C3B" w:rsidRPr="009E64E7" w:rsidRDefault="00C54C3B" w:rsidP="00C54C3B">
      <w:pPr>
        <w:pStyle w:val="FootnoteText"/>
        <w:widowControl w:val="0"/>
        <w:tabs>
          <w:tab w:val="clear" w:pos="1021"/>
          <w:tab w:val="right" w:pos="1418"/>
        </w:tabs>
        <w:ind w:left="2268"/>
        <w:jc w:val="both"/>
        <w:rPr>
          <w:rFonts w:eastAsia="DengXian"/>
          <w:sz w:val="20"/>
          <w:lang w:eastAsia="zh-CN"/>
        </w:rPr>
      </w:pPr>
      <w:r w:rsidRPr="00414B22">
        <w:rPr>
          <w:rStyle w:val="Hyperlink"/>
          <w:iCs/>
          <w:color w:val="auto"/>
          <w:szCs w:val="18"/>
        </w:rPr>
        <w:t>"</w:t>
      </w:r>
      <w:r w:rsidRPr="009E64E7">
        <w:rPr>
          <w:sz w:val="20"/>
          <w:lang w:val="en-US"/>
        </w:rPr>
        <w:t>0.2.</w:t>
      </w:r>
      <w:r w:rsidRPr="009E64E7">
        <w:rPr>
          <w:vertAlign w:val="superscript"/>
        </w:rPr>
        <w:tab/>
      </w:r>
      <w:r w:rsidRPr="009E64E7">
        <w:rPr>
          <w:sz w:val="20"/>
          <w:szCs w:val="22"/>
        </w:rPr>
        <w:t xml:space="preserve">For supplement </w:t>
      </w:r>
      <w:r w:rsidRPr="009E64E7">
        <w:rPr>
          <w:rFonts w:eastAsia="DengXian"/>
          <w:lang w:eastAsia="zh-CN"/>
        </w:rPr>
        <w:t>6</w:t>
      </w:r>
      <w:r w:rsidRPr="009E64E7">
        <w:rPr>
          <w:rFonts w:eastAsia="DengXian"/>
          <w:sz w:val="20"/>
          <w:lang w:eastAsia="zh-CN"/>
        </w:rPr>
        <w:t xml:space="preserve"> to the original version of the Regulation:</w:t>
      </w:r>
    </w:p>
    <w:p w14:paraId="70E3229C" w14:textId="639A408C" w:rsidR="00C54C3B" w:rsidRPr="009E64E7" w:rsidRDefault="00C54C3B" w:rsidP="00C54C3B">
      <w:pPr>
        <w:autoSpaceDE w:val="0"/>
        <w:autoSpaceDN w:val="0"/>
        <w:adjustRightInd w:val="0"/>
        <w:spacing w:before="120" w:after="120" w:line="240" w:lineRule="auto"/>
        <w:ind w:left="2268" w:right="1134" w:hanging="1134"/>
        <w:jc w:val="both"/>
      </w:pPr>
      <w:r w:rsidRPr="009E64E7">
        <w:rPr>
          <w:rFonts w:eastAsia="DengXian"/>
          <w:lang w:eastAsia="zh-CN"/>
        </w:rPr>
        <w:t>0.2.1.</w:t>
      </w:r>
      <w:r w:rsidRPr="009E64E7">
        <w:rPr>
          <w:rFonts w:eastAsia="DengXian"/>
          <w:lang w:eastAsia="zh-CN"/>
        </w:rPr>
        <w:tab/>
      </w:r>
      <w:r w:rsidRPr="009E64E7">
        <w:t>The Regulation is amended to account for vehicles of categor</w:t>
      </w:r>
      <w:r w:rsidR="00B477BD">
        <w:t>ies</w:t>
      </w:r>
      <w:r w:rsidRPr="009E64E7">
        <w:t xml:space="preserve"> X and Y.</w:t>
      </w:r>
    </w:p>
    <w:p w14:paraId="54B3B7E0" w14:textId="2FAB1D78" w:rsidR="00C54C3B" w:rsidRPr="009E64E7" w:rsidRDefault="00C54C3B" w:rsidP="00C54C3B">
      <w:pPr>
        <w:autoSpaceDE w:val="0"/>
        <w:autoSpaceDN w:val="0"/>
        <w:adjustRightInd w:val="0"/>
        <w:spacing w:before="120" w:after="120" w:line="240" w:lineRule="auto"/>
        <w:ind w:left="2268" w:right="1134" w:hanging="1134"/>
        <w:jc w:val="both"/>
      </w:pPr>
      <w:r w:rsidRPr="009E64E7">
        <w:t>0.2.2.</w:t>
      </w:r>
      <w:r w:rsidRPr="009E64E7">
        <w:tab/>
        <w:t xml:space="preserve">In preparing for the introduction of Automated Driving Systems (ADS), GRSG recognises that responsibility for rearward visibility will sit with ADS, if fitted and when an ADS feature is activated. As such, supplement 5 to this regulation exempts vehicles of categories X and Y from the requirements, and limits the requirements for other vehicles equipped with an ADS and when an ADS feature is active. </w:t>
      </w:r>
    </w:p>
    <w:p w14:paraId="0DA1FA4C" w14:textId="52964734" w:rsidR="00C54C3B" w:rsidRPr="009E64E7" w:rsidRDefault="00C54C3B" w:rsidP="00C54C3B">
      <w:pPr>
        <w:autoSpaceDE w:val="0"/>
        <w:autoSpaceDN w:val="0"/>
        <w:adjustRightInd w:val="0"/>
        <w:spacing w:before="120" w:after="120" w:line="240" w:lineRule="auto"/>
        <w:ind w:left="2268" w:right="1134" w:hanging="1134"/>
        <w:jc w:val="both"/>
      </w:pPr>
      <w:r w:rsidRPr="009E64E7">
        <w:t>0.2.3.</w:t>
      </w:r>
      <w:r w:rsidRPr="009E64E7">
        <w:tab/>
      </w:r>
      <w:r w:rsidRPr="009E64E7">
        <w:rPr>
          <w:lang w:val="en-US"/>
        </w:rPr>
        <w:t>In the case of vehicles equipped with an ADS other than vehicles of categories X and Y, in the manual driving mode no special provisions or exemptions apply.</w:t>
      </w:r>
      <w:r w:rsidRPr="009E64E7">
        <w:t>"</w:t>
      </w:r>
    </w:p>
    <w:p w14:paraId="58A8C3C1" w14:textId="63C0D0B7" w:rsidR="00C54C3B" w:rsidRDefault="00C54C3B" w:rsidP="00C54C3B">
      <w:pPr>
        <w:autoSpaceDE w:val="0"/>
        <w:autoSpaceDN w:val="0"/>
        <w:adjustRightInd w:val="0"/>
        <w:spacing w:before="120" w:after="120" w:line="240" w:lineRule="auto"/>
        <w:ind w:left="1134" w:right="1134"/>
        <w:jc w:val="both"/>
        <w:rPr>
          <w:rFonts w:eastAsia="DengXian"/>
          <w:i/>
          <w:lang w:eastAsia="zh-CN"/>
        </w:rPr>
      </w:pPr>
      <w:r w:rsidRPr="008D74EC">
        <w:rPr>
          <w:rFonts w:eastAsia="DengXian"/>
          <w:i/>
          <w:lang w:eastAsia="zh-CN"/>
        </w:rPr>
        <w:t>Paragraph 1.</w:t>
      </w:r>
      <w:r>
        <w:rPr>
          <w:rFonts w:eastAsia="DengXian"/>
          <w:i/>
          <w:lang w:eastAsia="zh-CN"/>
        </w:rPr>
        <w:t>4</w:t>
      </w:r>
      <w:r w:rsidRPr="008D74EC">
        <w:rPr>
          <w:rFonts w:eastAsia="DengXian"/>
          <w:i/>
          <w:lang w:eastAsia="zh-CN"/>
        </w:rPr>
        <w:t xml:space="preserve">., </w:t>
      </w:r>
      <w:r w:rsidRPr="00845A6B">
        <w:rPr>
          <w:rFonts w:eastAsia="DengXian"/>
          <w:iCs/>
          <w:lang w:eastAsia="zh-CN"/>
        </w:rPr>
        <w:t>amend to read:</w:t>
      </w:r>
    </w:p>
    <w:p w14:paraId="5D6AA904" w14:textId="77777777" w:rsidR="00C54C3B" w:rsidRPr="0017553A" w:rsidRDefault="00C54C3B" w:rsidP="00C54C3B">
      <w:pPr>
        <w:autoSpaceDE w:val="0"/>
        <w:autoSpaceDN w:val="0"/>
        <w:adjustRightInd w:val="0"/>
        <w:spacing w:before="120" w:after="120" w:line="240" w:lineRule="auto"/>
        <w:ind w:left="2268" w:right="1134" w:hanging="1134"/>
        <w:jc w:val="both"/>
        <w:rPr>
          <w:rFonts w:eastAsia="DengXian"/>
          <w:lang w:eastAsia="zh-CN"/>
        </w:rPr>
      </w:pPr>
      <w:r w:rsidRPr="00414B22">
        <w:rPr>
          <w:rStyle w:val="Hyperlink"/>
          <w:iCs/>
          <w:color w:val="auto"/>
          <w:szCs w:val="18"/>
        </w:rPr>
        <w:t>"</w:t>
      </w:r>
      <w:r w:rsidRPr="0017553A">
        <w:rPr>
          <w:rFonts w:eastAsia="DengXian"/>
          <w:lang w:eastAsia="zh-CN"/>
        </w:rPr>
        <w:t>1.4</w:t>
      </w:r>
      <w:r>
        <w:rPr>
          <w:rFonts w:eastAsia="DengXian"/>
          <w:lang w:eastAsia="zh-CN"/>
        </w:rPr>
        <w:t>.</w:t>
      </w:r>
      <w:r w:rsidRPr="0017553A">
        <w:rPr>
          <w:rFonts w:eastAsia="DengXian"/>
          <w:lang w:eastAsia="zh-CN"/>
        </w:rPr>
        <w:tab/>
        <w:t>The following vehicles of category M and N</w:t>
      </w:r>
      <w:r w:rsidRPr="0009185E">
        <w:rPr>
          <w:rFonts w:eastAsia="DengXian"/>
          <w:b/>
          <w:bCs/>
          <w:vertAlign w:val="superscript"/>
          <w:lang w:eastAsia="zh-CN"/>
        </w:rPr>
        <w:t>1</w:t>
      </w:r>
      <w:r w:rsidRPr="0017553A">
        <w:rPr>
          <w:rFonts w:eastAsia="DengXian"/>
          <w:lang w:eastAsia="zh-CN"/>
        </w:rPr>
        <w:t xml:space="preserve"> shall be exempted from this Regulation: </w:t>
      </w:r>
    </w:p>
    <w:p w14:paraId="5FE2D97D" w14:textId="7287E0D8" w:rsidR="00C54C3B" w:rsidRPr="0017553A" w:rsidRDefault="00B477BD" w:rsidP="00C54C3B">
      <w:pPr>
        <w:autoSpaceDE w:val="0"/>
        <w:autoSpaceDN w:val="0"/>
        <w:adjustRightInd w:val="0"/>
        <w:spacing w:before="120" w:after="120" w:line="240" w:lineRule="auto"/>
        <w:ind w:left="2268" w:right="1134"/>
        <w:jc w:val="both"/>
        <w:rPr>
          <w:rFonts w:eastAsia="DengXian"/>
          <w:lang w:eastAsia="zh-CN"/>
        </w:rPr>
      </w:pPr>
      <w:r>
        <w:rPr>
          <w:rFonts w:eastAsia="DengXian"/>
          <w:b/>
          <w:bCs/>
          <w:lang w:eastAsia="zh-CN"/>
        </w:rPr>
        <w:t>(</w:t>
      </w:r>
      <w:r w:rsidR="00C54C3B" w:rsidRPr="0017553A">
        <w:rPr>
          <w:rFonts w:eastAsia="DengXian"/>
          <w:b/>
          <w:bCs/>
          <w:lang w:eastAsia="zh-CN"/>
        </w:rPr>
        <w:t>a)</w:t>
      </w:r>
      <w:r w:rsidR="00C54C3B">
        <w:rPr>
          <w:rFonts w:eastAsia="DengXian"/>
          <w:lang w:eastAsia="zh-CN"/>
        </w:rPr>
        <w:t xml:space="preserve"> </w:t>
      </w:r>
      <w:r w:rsidR="00C54C3B" w:rsidRPr="0017553A">
        <w:rPr>
          <w:rFonts w:eastAsia="DengXian"/>
          <w:lang w:eastAsia="zh-CN"/>
        </w:rPr>
        <w:t>Vehicles where installation of means of rear visibility or detection is incompatible with their on-road use may be partly or fully exempted from this Regulation, subject to the decision of the Type Approval Authority;</w:t>
      </w:r>
    </w:p>
    <w:p w14:paraId="1CBE84DA" w14:textId="74F824DE" w:rsidR="00C54C3B" w:rsidRDefault="00B477BD" w:rsidP="00C54C3B">
      <w:pPr>
        <w:autoSpaceDE w:val="0"/>
        <w:autoSpaceDN w:val="0"/>
        <w:adjustRightInd w:val="0"/>
        <w:spacing w:before="120" w:after="120" w:line="240" w:lineRule="auto"/>
        <w:ind w:left="2268" w:right="1134"/>
        <w:jc w:val="both"/>
        <w:rPr>
          <w:rStyle w:val="Hyperlink"/>
          <w:iCs/>
          <w:color w:val="auto"/>
          <w:szCs w:val="18"/>
        </w:rPr>
      </w:pPr>
      <w:r>
        <w:rPr>
          <w:rFonts w:eastAsia="DengXian"/>
          <w:b/>
          <w:bCs/>
          <w:lang w:eastAsia="zh-CN"/>
        </w:rPr>
        <w:t>(</w:t>
      </w:r>
      <w:r w:rsidR="00C54C3B" w:rsidRPr="0017553A">
        <w:rPr>
          <w:rFonts w:eastAsia="DengXian"/>
          <w:b/>
          <w:bCs/>
          <w:lang w:eastAsia="zh-CN"/>
        </w:rPr>
        <w:t>b) Vehicles of categor</w:t>
      </w:r>
      <w:r w:rsidR="00C54C3B">
        <w:rPr>
          <w:rFonts w:eastAsia="DengXian"/>
          <w:b/>
          <w:bCs/>
          <w:lang w:eastAsia="zh-CN"/>
        </w:rPr>
        <w:t>ies</w:t>
      </w:r>
      <w:r w:rsidR="00C54C3B" w:rsidRPr="0017553A">
        <w:rPr>
          <w:rFonts w:eastAsia="DengXian"/>
          <w:b/>
          <w:bCs/>
          <w:lang w:eastAsia="zh-CN"/>
        </w:rPr>
        <w:t xml:space="preserve"> X and Y</w:t>
      </w:r>
      <w:r>
        <w:rPr>
          <w:rFonts w:eastAsia="DengXian"/>
          <w:b/>
          <w:bCs/>
          <w:lang w:eastAsia="zh-CN"/>
        </w:rPr>
        <w:t>.</w:t>
      </w:r>
      <w:r w:rsidR="00C54C3B" w:rsidRPr="0017553A">
        <w:rPr>
          <w:rFonts w:eastAsia="DengXian"/>
          <w:b/>
          <w:bCs/>
          <w:vertAlign w:val="superscript"/>
          <w:lang w:eastAsia="zh-CN"/>
        </w:rPr>
        <w:t>1</w:t>
      </w:r>
      <w:r w:rsidR="00C54C3B" w:rsidRPr="00DE7DAA">
        <w:rPr>
          <w:rStyle w:val="Hyperlink"/>
          <w:iCs/>
          <w:color w:val="auto"/>
          <w:szCs w:val="18"/>
        </w:rPr>
        <w:t xml:space="preserve"> </w:t>
      </w:r>
      <w:r w:rsidR="00C54C3B" w:rsidRPr="00414B22">
        <w:rPr>
          <w:rStyle w:val="Hyperlink"/>
          <w:iCs/>
          <w:color w:val="auto"/>
          <w:szCs w:val="18"/>
        </w:rPr>
        <w:t>"</w:t>
      </w:r>
    </w:p>
    <w:p w14:paraId="73DBFF30" w14:textId="1504B4D2" w:rsidR="00D315A8" w:rsidRDefault="00D315A8" w:rsidP="00D315A8">
      <w:pPr>
        <w:pStyle w:val="FootnoteText"/>
        <w:widowControl w:val="0"/>
        <w:tabs>
          <w:tab w:val="clear" w:pos="1021"/>
          <w:tab w:val="right" w:pos="1418"/>
        </w:tabs>
        <w:ind w:left="2268"/>
        <w:rPr>
          <w:sz w:val="20"/>
          <w:lang w:val="en-US"/>
        </w:rPr>
      </w:pPr>
      <w:r>
        <w:rPr>
          <w:i/>
          <w:iCs/>
          <w:sz w:val="20"/>
          <w:lang w:val="en-US"/>
        </w:rPr>
        <w:t>Insert new f</w:t>
      </w:r>
      <w:r w:rsidRPr="007D6A3B">
        <w:rPr>
          <w:i/>
          <w:iCs/>
          <w:sz w:val="20"/>
          <w:lang w:val="en-US"/>
        </w:rPr>
        <w:t xml:space="preserve">ootnote 1, </w:t>
      </w:r>
      <w:r>
        <w:rPr>
          <w:sz w:val="20"/>
          <w:lang w:val="en-US"/>
        </w:rPr>
        <w:t>to read:</w:t>
      </w:r>
    </w:p>
    <w:p w14:paraId="1C74AB89" w14:textId="77777777" w:rsidR="00D315A8" w:rsidRDefault="00D315A8" w:rsidP="00C54C3B">
      <w:pPr>
        <w:ind w:left="1134" w:right="1134"/>
        <w:rPr>
          <w:rStyle w:val="Hyperlink"/>
          <w:iCs/>
          <w:color w:val="auto"/>
          <w:szCs w:val="18"/>
        </w:rPr>
      </w:pPr>
    </w:p>
    <w:p w14:paraId="6D2C104F" w14:textId="09D63A89" w:rsidR="00C54C3B" w:rsidRPr="00025FE3" w:rsidRDefault="002C50C2" w:rsidP="00D315A8">
      <w:pPr>
        <w:tabs>
          <w:tab w:val="right" w:pos="993"/>
        </w:tabs>
        <w:ind w:left="1134" w:right="1134" w:hanging="1134"/>
        <w:rPr>
          <w:rStyle w:val="Hyperlink"/>
          <w:iCs/>
          <w:color w:val="auto"/>
          <w:sz w:val="18"/>
          <w:szCs w:val="18"/>
        </w:rPr>
      </w:pPr>
      <w:r>
        <w:rPr>
          <w:rStyle w:val="Hyperlink"/>
          <w:iCs/>
          <w:color w:val="auto"/>
          <w:szCs w:val="18"/>
        </w:rPr>
        <w:tab/>
      </w:r>
      <w:r w:rsidR="00C54C3B" w:rsidRPr="00025FE3">
        <w:rPr>
          <w:rStyle w:val="Hyperlink"/>
          <w:iCs/>
          <w:color w:val="auto"/>
          <w:sz w:val="18"/>
          <w:szCs w:val="18"/>
        </w:rPr>
        <w:t>"</w:t>
      </w:r>
      <w:r w:rsidR="00C54C3B" w:rsidRPr="00025FE3">
        <w:rPr>
          <w:iCs/>
          <w:sz w:val="18"/>
          <w:szCs w:val="18"/>
          <w:vertAlign w:val="superscript"/>
          <w:lang w:val="en-US"/>
        </w:rPr>
        <w:t>1</w:t>
      </w:r>
      <w:r w:rsidR="00C54C3B" w:rsidRPr="00025FE3">
        <w:rPr>
          <w:sz w:val="18"/>
          <w:szCs w:val="18"/>
        </w:rPr>
        <w:t xml:space="preserve"> </w:t>
      </w:r>
      <w:r w:rsidRPr="00025FE3">
        <w:rPr>
          <w:sz w:val="18"/>
          <w:szCs w:val="18"/>
        </w:rPr>
        <w:tab/>
      </w:r>
      <w:r w:rsidRPr="00025FE3">
        <w:rPr>
          <w:sz w:val="18"/>
          <w:szCs w:val="18"/>
        </w:rPr>
        <w:tab/>
      </w:r>
      <w:r w:rsidR="00C54C3B" w:rsidRPr="00025FE3">
        <w:rPr>
          <w:sz w:val="18"/>
          <w:szCs w:val="18"/>
        </w:rPr>
        <w:t xml:space="preserve">As defined in the Consolidated Resolution on the Construction of Vehicles (R.E.3.), document ECE/TRANS/WP.29/78/Rev.8, para. 2 - </w:t>
      </w:r>
      <w:r w:rsidR="00C54C3B" w:rsidRPr="00025FE3">
        <w:rPr>
          <w:sz w:val="18"/>
          <w:szCs w:val="18"/>
        </w:rPr>
        <w:br/>
      </w:r>
      <w:hyperlink r:id="rId12" w:history="1">
        <w:r w:rsidR="00C54C3B" w:rsidRPr="00025FE3">
          <w:rPr>
            <w:rStyle w:val="Hyperlink"/>
            <w:sz w:val="18"/>
            <w:szCs w:val="18"/>
          </w:rPr>
          <w:t>https://unece.org/transport/vehicle-regulations/wp29/resolutions</w:t>
        </w:r>
      </w:hyperlink>
      <w:r w:rsidR="00C54C3B" w:rsidRPr="00025FE3">
        <w:rPr>
          <w:rStyle w:val="Hyperlink"/>
          <w:iCs/>
          <w:color w:val="auto"/>
          <w:sz w:val="18"/>
          <w:szCs w:val="18"/>
        </w:rPr>
        <w:t>"</w:t>
      </w:r>
    </w:p>
    <w:p w14:paraId="4E7A86D5" w14:textId="77777777" w:rsidR="00C54C3B" w:rsidRDefault="00C54C3B" w:rsidP="00C54C3B">
      <w:pPr>
        <w:ind w:left="1134" w:right="1134"/>
        <w:rPr>
          <w:rStyle w:val="Hyperlink"/>
          <w:iCs/>
          <w:color w:val="auto"/>
          <w:szCs w:val="18"/>
        </w:rPr>
      </w:pPr>
    </w:p>
    <w:p w14:paraId="2CFCF9EA" w14:textId="77777777" w:rsidR="00C54C3B" w:rsidRDefault="00C54C3B" w:rsidP="00C54C3B">
      <w:pPr>
        <w:autoSpaceDE w:val="0"/>
        <w:autoSpaceDN w:val="0"/>
        <w:adjustRightInd w:val="0"/>
        <w:spacing w:before="120" w:after="120" w:line="240" w:lineRule="auto"/>
        <w:ind w:left="2268" w:right="1134" w:hanging="1134"/>
        <w:jc w:val="both"/>
        <w:rPr>
          <w:rFonts w:eastAsia="DengXian"/>
          <w:i/>
          <w:lang w:eastAsia="zh-CN"/>
        </w:rPr>
      </w:pPr>
      <w:r w:rsidRPr="00CD59FE">
        <w:rPr>
          <w:rFonts w:eastAsia="DengXian"/>
          <w:i/>
          <w:lang w:eastAsia="zh-CN"/>
        </w:rPr>
        <w:t>Paragraph 5.4.1., footnote 1,</w:t>
      </w:r>
      <w:r>
        <w:rPr>
          <w:rFonts w:eastAsia="DengXian"/>
          <w:i/>
          <w:lang w:eastAsia="zh-CN"/>
        </w:rPr>
        <w:t xml:space="preserve"> </w:t>
      </w:r>
      <w:r w:rsidRPr="00CD59FE">
        <w:rPr>
          <w:rFonts w:eastAsia="DengXian"/>
          <w:iCs/>
          <w:lang w:eastAsia="zh-CN"/>
        </w:rPr>
        <w:t>renumber to footnote 2 and amend to read:</w:t>
      </w:r>
      <w:r w:rsidRPr="00CD59FE">
        <w:rPr>
          <w:rFonts w:eastAsia="DengXian"/>
          <w:i/>
          <w:lang w:eastAsia="zh-CN"/>
        </w:rPr>
        <w:t xml:space="preserve"> </w:t>
      </w:r>
    </w:p>
    <w:p w14:paraId="000C4939" w14:textId="22484870" w:rsidR="00C54C3B" w:rsidRPr="00025FE3" w:rsidRDefault="002C50C2" w:rsidP="00B477BD">
      <w:pPr>
        <w:tabs>
          <w:tab w:val="right" w:pos="993"/>
        </w:tabs>
        <w:autoSpaceDE w:val="0"/>
        <w:autoSpaceDN w:val="0"/>
        <w:adjustRightInd w:val="0"/>
        <w:spacing w:before="120" w:after="120" w:line="240" w:lineRule="auto"/>
        <w:ind w:left="1134" w:right="1134" w:hanging="1134"/>
        <w:rPr>
          <w:rFonts w:eastAsia="DengXian"/>
          <w:i/>
          <w:sz w:val="18"/>
          <w:szCs w:val="18"/>
          <w:lang w:eastAsia="zh-CN"/>
        </w:rPr>
      </w:pPr>
      <w:r>
        <w:rPr>
          <w:rFonts w:eastAsia="DengXian"/>
          <w:iCs/>
          <w:lang w:eastAsia="zh-CN"/>
        </w:rPr>
        <w:tab/>
      </w:r>
      <w:r w:rsidR="00C54C3B" w:rsidRPr="00025FE3">
        <w:rPr>
          <w:rFonts w:eastAsia="DengXian"/>
          <w:iCs/>
          <w:sz w:val="18"/>
          <w:szCs w:val="18"/>
          <w:lang w:eastAsia="zh-CN"/>
        </w:rPr>
        <w:t>"</w:t>
      </w:r>
      <w:r w:rsidR="00C54C3B" w:rsidRPr="00025FE3">
        <w:rPr>
          <w:rFonts w:eastAsia="DengXian"/>
          <w:iCs/>
          <w:strike/>
          <w:sz w:val="18"/>
          <w:szCs w:val="18"/>
          <w:vertAlign w:val="superscript"/>
          <w:lang w:eastAsia="zh-CN"/>
        </w:rPr>
        <w:t>1</w:t>
      </w:r>
      <w:r w:rsidR="00C54C3B" w:rsidRPr="00025FE3">
        <w:rPr>
          <w:rFonts w:eastAsia="DengXian"/>
          <w:b/>
          <w:bCs/>
          <w:iCs/>
          <w:sz w:val="18"/>
          <w:szCs w:val="18"/>
          <w:vertAlign w:val="superscript"/>
          <w:lang w:eastAsia="zh-CN"/>
        </w:rPr>
        <w:t>2</w:t>
      </w:r>
      <w:r w:rsidR="00C54C3B" w:rsidRPr="00025FE3">
        <w:rPr>
          <w:rFonts w:eastAsia="DengXian"/>
          <w:iCs/>
          <w:sz w:val="18"/>
          <w:szCs w:val="18"/>
          <w:lang w:eastAsia="zh-CN"/>
        </w:rPr>
        <w:t xml:space="preserve"> </w:t>
      </w:r>
      <w:r w:rsidRPr="00025FE3">
        <w:rPr>
          <w:rFonts w:eastAsia="DengXian"/>
          <w:iCs/>
          <w:sz w:val="18"/>
          <w:szCs w:val="18"/>
          <w:lang w:eastAsia="zh-CN"/>
        </w:rPr>
        <w:tab/>
      </w:r>
      <w:r w:rsidR="00C54C3B" w:rsidRPr="00025FE3">
        <w:rPr>
          <w:rFonts w:eastAsia="DengXian"/>
          <w:iCs/>
          <w:sz w:val="18"/>
          <w:szCs w:val="18"/>
          <w:lang w:eastAsia="zh-CN"/>
        </w:rPr>
        <w:t>The distinguishing numbers of the Contracting Parties to the 1958 Agreement are reproduced in Annex 3 to the Consolidated Resolution on the Construction of Vehicles (R.E.3), document ECE/TRANS/WP.29/78/Rev.</w:t>
      </w:r>
      <w:r w:rsidR="00C54C3B" w:rsidRPr="00025FE3">
        <w:rPr>
          <w:rFonts w:eastAsia="DengXian"/>
          <w:iCs/>
          <w:strike/>
          <w:sz w:val="18"/>
          <w:szCs w:val="18"/>
          <w:lang w:eastAsia="zh-CN"/>
        </w:rPr>
        <w:t>7</w:t>
      </w:r>
      <w:r w:rsidR="00C54C3B" w:rsidRPr="00025FE3">
        <w:rPr>
          <w:rFonts w:eastAsia="DengXian"/>
          <w:b/>
          <w:bCs/>
          <w:iCs/>
          <w:sz w:val="18"/>
          <w:szCs w:val="18"/>
          <w:lang w:eastAsia="zh-CN"/>
        </w:rPr>
        <w:t>8</w:t>
      </w:r>
      <w:r w:rsidR="00C54C3B" w:rsidRPr="00025FE3">
        <w:rPr>
          <w:rFonts w:eastAsia="DengXian"/>
          <w:iCs/>
          <w:sz w:val="18"/>
          <w:szCs w:val="18"/>
          <w:lang w:eastAsia="zh-CN"/>
        </w:rPr>
        <w:t xml:space="preserve"> - </w:t>
      </w:r>
      <w:r w:rsidRPr="00025FE3">
        <w:rPr>
          <w:rFonts w:eastAsia="DengXian"/>
          <w:iCs/>
          <w:sz w:val="18"/>
          <w:szCs w:val="18"/>
          <w:lang w:eastAsia="zh-CN"/>
        </w:rPr>
        <w:br/>
      </w:r>
      <w:hyperlink r:id="rId13" w:history="1">
        <w:r w:rsidRPr="00025FE3">
          <w:rPr>
            <w:rStyle w:val="Hyperlink"/>
            <w:rFonts w:eastAsia="DengXian"/>
            <w:iCs/>
            <w:sz w:val="18"/>
            <w:szCs w:val="18"/>
            <w:lang w:eastAsia="zh-CN"/>
          </w:rPr>
          <w:t>https://unece.org/transport/vehicle-regulations/wp29/resolutions</w:t>
        </w:r>
      </w:hyperlink>
      <w:r w:rsidR="00C54C3B" w:rsidRPr="00025FE3">
        <w:rPr>
          <w:rFonts w:eastAsia="DengXian"/>
          <w:iCs/>
          <w:sz w:val="18"/>
          <w:szCs w:val="18"/>
          <w:lang w:eastAsia="zh-CN"/>
        </w:rPr>
        <w:t>"</w:t>
      </w:r>
    </w:p>
    <w:p w14:paraId="7261C08F" w14:textId="77777777" w:rsidR="00C54C3B" w:rsidRDefault="00C54C3B" w:rsidP="00C54C3B">
      <w:pPr>
        <w:autoSpaceDE w:val="0"/>
        <w:autoSpaceDN w:val="0"/>
        <w:adjustRightInd w:val="0"/>
        <w:spacing w:before="120" w:after="120" w:line="240" w:lineRule="auto"/>
        <w:ind w:left="2268" w:right="1134" w:hanging="1134"/>
        <w:jc w:val="both"/>
        <w:rPr>
          <w:rFonts w:eastAsia="DengXian"/>
          <w:i/>
          <w:lang w:eastAsia="zh-CN"/>
        </w:rPr>
      </w:pPr>
    </w:p>
    <w:p w14:paraId="471E1456" w14:textId="77777777" w:rsidR="002C50C2" w:rsidRDefault="002C50C2">
      <w:pPr>
        <w:rPr>
          <w:rFonts w:eastAsia="DengXian"/>
          <w:i/>
          <w:lang w:eastAsia="zh-CN"/>
        </w:rPr>
      </w:pPr>
      <w:r>
        <w:rPr>
          <w:rFonts w:eastAsia="DengXian"/>
          <w:i/>
          <w:lang w:eastAsia="zh-CN"/>
        </w:rPr>
        <w:br w:type="page"/>
      </w:r>
    </w:p>
    <w:p w14:paraId="2B251847" w14:textId="2D87463F" w:rsidR="00C54C3B" w:rsidRDefault="00C54C3B" w:rsidP="00C54C3B">
      <w:pPr>
        <w:autoSpaceDE w:val="0"/>
        <w:autoSpaceDN w:val="0"/>
        <w:adjustRightInd w:val="0"/>
        <w:spacing w:before="120" w:after="120" w:line="240" w:lineRule="auto"/>
        <w:ind w:left="2268" w:right="1134" w:hanging="1134"/>
        <w:jc w:val="both"/>
        <w:rPr>
          <w:rFonts w:eastAsia="DengXian"/>
          <w:i/>
          <w:lang w:eastAsia="zh-CN"/>
        </w:rPr>
      </w:pPr>
      <w:r w:rsidRPr="00845A6B">
        <w:rPr>
          <w:rFonts w:eastAsia="DengXian"/>
          <w:i/>
          <w:lang w:eastAsia="zh-CN"/>
        </w:rPr>
        <w:lastRenderedPageBreak/>
        <w:t xml:space="preserve">Paragraph 12.4., </w:t>
      </w:r>
      <w:r w:rsidRPr="00845A6B">
        <w:rPr>
          <w:rFonts w:eastAsia="DengXian"/>
          <w:iCs/>
          <w:lang w:eastAsia="zh-CN"/>
        </w:rPr>
        <w:t>amend to read</w:t>
      </w:r>
    </w:p>
    <w:p w14:paraId="49211351" w14:textId="77777777" w:rsidR="00C54C3B" w:rsidRPr="00847B84" w:rsidRDefault="00C54C3B" w:rsidP="00C54C3B">
      <w:pPr>
        <w:autoSpaceDE w:val="0"/>
        <w:autoSpaceDN w:val="0"/>
        <w:adjustRightInd w:val="0"/>
        <w:spacing w:before="120" w:after="120" w:line="240" w:lineRule="auto"/>
        <w:ind w:left="2268" w:right="1134" w:hanging="1134"/>
        <w:jc w:val="both"/>
        <w:rPr>
          <w:rFonts w:eastAsia="DengXian"/>
          <w:iCs/>
          <w:lang w:eastAsia="zh-CN"/>
        </w:rPr>
      </w:pPr>
      <w:r w:rsidRPr="00847B84">
        <w:rPr>
          <w:rFonts w:eastAsia="DengXian"/>
          <w:iCs/>
          <w:lang w:eastAsia="zh-CN"/>
        </w:rPr>
        <w:t xml:space="preserve">"12.4. </w:t>
      </w:r>
      <w:r w:rsidRPr="00847B84">
        <w:rPr>
          <w:rFonts w:eastAsia="DengXian"/>
          <w:iCs/>
          <w:lang w:eastAsia="zh-CN"/>
        </w:rPr>
        <w:tab/>
        <w:t>"Vehicles of categories M</w:t>
      </w:r>
      <w:r w:rsidRPr="00CD59FE">
        <w:rPr>
          <w:rFonts w:eastAsia="DengXian"/>
          <w:iCs/>
          <w:vertAlign w:val="subscript"/>
          <w:lang w:eastAsia="zh-CN"/>
        </w:rPr>
        <w:t>1</w:t>
      </w:r>
      <w:r w:rsidRPr="00847B84">
        <w:rPr>
          <w:rFonts w:eastAsia="DengXian"/>
          <w:iCs/>
          <w:lang w:eastAsia="zh-CN"/>
        </w:rPr>
        <w:t>, M</w:t>
      </w:r>
      <w:r w:rsidRPr="00CD59FE">
        <w:rPr>
          <w:rFonts w:eastAsia="DengXian"/>
          <w:iCs/>
          <w:vertAlign w:val="subscript"/>
          <w:lang w:eastAsia="zh-CN"/>
        </w:rPr>
        <w:t>2</w:t>
      </w:r>
      <w:r w:rsidRPr="00847B84">
        <w:rPr>
          <w:rFonts w:eastAsia="DengXian"/>
          <w:iCs/>
          <w:lang w:eastAsia="zh-CN"/>
        </w:rPr>
        <w:t>, M</w:t>
      </w:r>
      <w:r w:rsidRPr="00CD59FE">
        <w:rPr>
          <w:rFonts w:eastAsia="DengXian"/>
          <w:iCs/>
          <w:vertAlign w:val="subscript"/>
          <w:lang w:eastAsia="zh-CN"/>
        </w:rPr>
        <w:t>3</w:t>
      </w:r>
      <w:r w:rsidRPr="00847B84">
        <w:rPr>
          <w:rFonts w:eastAsia="DengXian"/>
          <w:iCs/>
          <w:lang w:eastAsia="zh-CN"/>
        </w:rPr>
        <w:t>, N</w:t>
      </w:r>
      <w:r w:rsidRPr="00CD59FE">
        <w:rPr>
          <w:rFonts w:eastAsia="DengXian"/>
          <w:iCs/>
          <w:vertAlign w:val="subscript"/>
          <w:lang w:eastAsia="zh-CN"/>
        </w:rPr>
        <w:t>1</w:t>
      </w:r>
      <w:r w:rsidRPr="00847B84">
        <w:rPr>
          <w:rFonts w:eastAsia="DengXian"/>
          <w:iCs/>
          <w:lang w:eastAsia="zh-CN"/>
        </w:rPr>
        <w:t>, N</w:t>
      </w:r>
      <w:r w:rsidRPr="00CD59FE">
        <w:rPr>
          <w:rFonts w:eastAsia="DengXian"/>
          <w:iCs/>
          <w:vertAlign w:val="subscript"/>
          <w:lang w:eastAsia="zh-CN"/>
        </w:rPr>
        <w:t>2</w:t>
      </w:r>
      <w:r w:rsidRPr="00847B84">
        <w:rPr>
          <w:rFonts w:eastAsia="DengXian"/>
          <w:iCs/>
          <w:lang w:eastAsia="zh-CN"/>
        </w:rPr>
        <w:t xml:space="preserve"> and N</w:t>
      </w:r>
      <w:r w:rsidRPr="00CD59FE">
        <w:rPr>
          <w:rFonts w:eastAsia="DengXian"/>
          <w:iCs/>
          <w:vertAlign w:val="subscript"/>
          <w:lang w:eastAsia="zh-CN"/>
        </w:rPr>
        <w:t>3</w:t>
      </w:r>
      <w:r w:rsidRPr="00847B84">
        <w:rPr>
          <w:rFonts w:eastAsia="DengXian"/>
          <w:iCs/>
          <w:lang w:eastAsia="zh-CN"/>
        </w:rPr>
        <w:t>" means those defined in the Consolidated Resolution on the Construction of Vehicles (R.E.3), (document ECE/TRANS/WP.29/78/Rev.</w:t>
      </w:r>
      <w:r w:rsidRPr="00847B84">
        <w:rPr>
          <w:rFonts w:eastAsia="DengXian"/>
          <w:iCs/>
          <w:strike/>
          <w:lang w:eastAsia="zh-CN"/>
        </w:rPr>
        <w:t>7</w:t>
      </w:r>
      <w:r w:rsidRPr="00847B84">
        <w:rPr>
          <w:rFonts w:eastAsia="DengXian"/>
          <w:b/>
          <w:bCs/>
          <w:iCs/>
          <w:lang w:eastAsia="zh-CN"/>
        </w:rPr>
        <w:t>8</w:t>
      </w:r>
      <w:r w:rsidRPr="00847B84">
        <w:rPr>
          <w:rFonts w:eastAsia="DengXian"/>
          <w:iCs/>
          <w:lang w:eastAsia="zh-CN"/>
        </w:rPr>
        <w:t>)."</w:t>
      </w:r>
    </w:p>
    <w:p w14:paraId="2964D126" w14:textId="77777777" w:rsidR="00C54C3B" w:rsidRPr="00845A6B" w:rsidRDefault="00C54C3B" w:rsidP="00C54C3B">
      <w:pPr>
        <w:autoSpaceDE w:val="0"/>
        <w:autoSpaceDN w:val="0"/>
        <w:adjustRightInd w:val="0"/>
        <w:spacing w:before="120" w:after="120" w:line="240" w:lineRule="auto"/>
        <w:ind w:left="2268" w:right="1134" w:hanging="1134"/>
        <w:jc w:val="both"/>
        <w:rPr>
          <w:rFonts w:eastAsia="DengXian"/>
          <w:i/>
          <w:lang w:eastAsia="zh-CN"/>
        </w:rPr>
      </w:pPr>
      <w:r w:rsidRPr="00845A6B">
        <w:rPr>
          <w:rFonts w:eastAsia="DengXian"/>
          <w:i/>
          <w:lang w:eastAsia="zh-CN"/>
        </w:rPr>
        <w:t xml:space="preserve">Insert a new </w:t>
      </w:r>
      <w:r>
        <w:rPr>
          <w:rFonts w:eastAsia="DengXian"/>
          <w:i/>
          <w:lang w:eastAsia="zh-CN"/>
        </w:rPr>
        <w:t>p</w:t>
      </w:r>
      <w:r w:rsidRPr="00845A6B">
        <w:rPr>
          <w:rFonts w:eastAsia="DengXian"/>
          <w:i/>
          <w:lang w:eastAsia="zh-CN"/>
        </w:rPr>
        <w:t>aragraph 15.1.3., to read:</w:t>
      </w:r>
    </w:p>
    <w:p w14:paraId="1BB85AE6" w14:textId="675BEC92" w:rsidR="00C54C3B" w:rsidRPr="00EE71CD" w:rsidRDefault="00C54C3B" w:rsidP="00C54C3B">
      <w:pPr>
        <w:ind w:left="2268" w:right="1134" w:hanging="1134"/>
      </w:pPr>
      <w:r w:rsidRPr="00EE71CD">
        <w:t>"</w:t>
      </w:r>
      <w:r w:rsidRPr="00EE71CD">
        <w:rPr>
          <w:szCs w:val="18"/>
        </w:rPr>
        <w:t>15.1.3.</w:t>
      </w:r>
      <w:r w:rsidRPr="00EE71CD">
        <w:rPr>
          <w:szCs w:val="18"/>
        </w:rPr>
        <w:tab/>
        <w:t>The requirements in paragraph 15 shall not apply whi</w:t>
      </w:r>
      <w:r w:rsidR="0065155F">
        <w:rPr>
          <w:szCs w:val="18"/>
        </w:rPr>
        <w:t>le</w:t>
      </w:r>
      <w:r w:rsidRPr="00EE71CD">
        <w:rPr>
          <w:szCs w:val="18"/>
        </w:rPr>
        <w:t xml:space="preserve"> an ADS feature is active.</w:t>
      </w:r>
      <w:r w:rsidRPr="00EE71CD">
        <w:t>"</w:t>
      </w:r>
    </w:p>
    <w:p w14:paraId="03A5E0D6" w14:textId="77777777" w:rsidR="00C54C3B" w:rsidRDefault="00C54C3B" w:rsidP="00C54C3B">
      <w:pPr>
        <w:spacing w:before="120" w:after="120"/>
        <w:ind w:left="2268" w:right="1134" w:hanging="1134"/>
      </w:pPr>
      <w:r w:rsidRPr="00847B84">
        <w:rPr>
          <w:i/>
          <w:iCs/>
        </w:rPr>
        <w:t>Paragraph 15.2.2.,</w:t>
      </w:r>
      <w:r>
        <w:t xml:space="preserve"> amend to read: </w:t>
      </w:r>
    </w:p>
    <w:p w14:paraId="0DAF1E54" w14:textId="77777777" w:rsidR="00C54C3B" w:rsidRDefault="00C54C3B" w:rsidP="00C54C3B">
      <w:pPr>
        <w:ind w:left="2268" w:right="1134" w:hanging="1134"/>
        <w:jc w:val="both"/>
      </w:pPr>
      <w:r>
        <w:t xml:space="preserve">"15.2.2. </w:t>
      </w:r>
      <w:r>
        <w:tab/>
        <w:t xml:space="preserve">The close-proximity rear-view field of vision shall be established using </w:t>
      </w:r>
      <w:proofErr w:type="spellStart"/>
      <w:r>
        <w:t>ambinocular</w:t>
      </w:r>
      <w:proofErr w:type="spellEnd"/>
      <w:r>
        <w:t xml:space="preserve"> vision, the eyes being at the "driver's ocular points" as defined in paragraph 12.1. above. The fields of vision shall be determined when the vehicle is in running order as defined in the consolidated Resolution on the Construction of vehicles (R.E.3) (ECE/TRANS/WP.29/78/Rev. </w:t>
      </w:r>
      <w:r w:rsidRPr="00847B84">
        <w:rPr>
          <w:strike/>
        </w:rPr>
        <w:t>7</w:t>
      </w:r>
      <w:r w:rsidRPr="00847B84">
        <w:rPr>
          <w:b/>
          <w:bCs/>
        </w:rPr>
        <w:t>8</w:t>
      </w:r>
      <w:r>
        <w:t>, para. 2.2.5.4.), plus for M</w:t>
      </w:r>
      <w:r w:rsidRPr="00847B84">
        <w:rPr>
          <w:vertAlign w:val="subscript"/>
        </w:rPr>
        <w:t>1</w:t>
      </w:r>
      <w:r>
        <w:t xml:space="preserve"> and N</w:t>
      </w:r>
      <w:r w:rsidRPr="00847B84">
        <w:rPr>
          <w:vertAlign w:val="subscript"/>
        </w:rPr>
        <w:t>1</w:t>
      </w:r>
      <w:r>
        <w:t xml:space="preserve"> vehicles </w:t>
      </w:r>
      <w:r w:rsidRPr="00EE71CD">
        <w:t>one front seat passenger (75 kg)</w:t>
      </w:r>
      <w:r>
        <w:t>. When established through windows, the glazing shall have a total light transmission factor in accordance with UN Regulation No. 43, Annex 24"</w:t>
      </w:r>
    </w:p>
    <w:p w14:paraId="1E4D0FE7" w14:textId="77777777" w:rsidR="00C54C3B" w:rsidRDefault="00C54C3B" w:rsidP="00C54C3B">
      <w:pPr>
        <w:spacing w:before="120" w:after="120"/>
        <w:ind w:left="2268" w:right="1134" w:hanging="1134"/>
        <w:jc w:val="both"/>
      </w:pPr>
      <w:r w:rsidRPr="00847B84">
        <w:rPr>
          <w:i/>
          <w:iCs/>
        </w:rPr>
        <w:t>Annex 9, paragraph 1.3.3.2.,</w:t>
      </w:r>
      <w:r w:rsidRPr="00847B84">
        <w:t xml:space="preserve"> amend to read:</w:t>
      </w:r>
    </w:p>
    <w:p w14:paraId="0D67E30B" w14:textId="77777777" w:rsidR="00C54C3B" w:rsidRDefault="00C54C3B" w:rsidP="00C54C3B">
      <w:pPr>
        <w:spacing w:before="120" w:after="120"/>
        <w:ind w:left="2268" w:right="1134" w:hanging="1134"/>
        <w:jc w:val="both"/>
      </w:pPr>
      <w:r>
        <w:t xml:space="preserve">"1.3.3.2. </w:t>
      </w:r>
      <w:r>
        <w:tab/>
        <w:t xml:space="preserve">Vehicle load. </w:t>
      </w:r>
    </w:p>
    <w:p w14:paraId="27267E75" w14:textId="181E9F91" w:rsidR="00C54C3B" w:rsidRPr="00CD72C0" w:rsidRDefault="00C54C3B" w:rsidP="00CD72C0">
      <w:pPr>
        <w:ind w:left="2268" w:right="1134"/>
        <w:jc w:val="both"/>
        <w:rPr>
          <w:b/>
          <w:bCs/>
          <w:szCs w:val="18"/>
        </w:rPr>
      </w:pPr>
      <w:r>
        <w:t>The vehicle is in running order as defined in the consolidated Resolution on the Construction of vehicles (R.E.3) (ECE/TRANS/WP.29/78/Rev.</w:t>
      </w:r>
      <w:r w:rsidRPr="00847B84">
        <w:rPr>
          <w:strike/>
        </w:rPr>
        <w:t>7</w:t>
      </w:r>
      <w:r w:rsidRPr="00847B84">
        <w:rPr>
          <w:b/>
          <w:bCs/>
        </w:rPr>
        <w:t>8</w:t>
      </w:r>
      <w:r>
        <w:t>, paragraph 2.2.5.4.), plus for M</w:t>
      </w:r>
      <w:r w:rsidRPr="00CD59FE">
        <w:rPr>
          <w:vertAlign w:val="subscript"/>
        </w:rPr>
        <w:t>1</w:t>
      </w:r>
      <w:r>
        <w:t xml:space="preserve"> and N</w:t>
      </w:r>
      <w:r w:rsidRPr="00CD59FE">
        <w:rPr>
          <w:vertAlign w:val="subscript"/>
        </w:rPr>
        <w:t>1</w:t>
      </w:r>
      <w:r>
        <w:t xml:space="preserve"> vehicles </w:t>
      </w:r>
      <w:r w:rsidRPr="00EE71CD">
        <w:t>one front seat passenger (75 kg)</w:t>
      </w:r>
      <w:r>
        <w:t>.</w:t>
      </w:r>
    </w:p>
    <w:p w14:paraId="1A4033C5" w14:textId="57AD3A5D" w:rsidR="001C6663" w:rsidRPr="000846F8" w:rsidRDefault="000B1EA4" w:rsidP="00FF70DD">
      <w:pPr>
        <w:spacing w:before="240"/>
        <w:jc w:val="center"/>
      </w:pPr>
      <w:r w:rsidRPr="000846F8">
        <w:rPr>
          <w:u w:val="single"/>
        </w:rPr>
        <w:tab/>
      </w:r>
      <w:r w:rsidRPr="000846F8">
        <w:rPr>
          <w:u w:val="single"/>
        </w:rPr>
        <w:tab/>
      </w:r>
      <w:r w:rsidRPr="000846F8">
        <w:rPr>
          <w:u w:val="single"/>
        </w:rPr>
        <w:tab/>
      </w:r>
    </w:p>
    <w:sectPr w:rsidR="001C6663" w:rsidRPr="000846F8" w:rsidSect="000B1EA4">
      <w:headerReference w:type="even" r:id="rId14"/>
      <w:headerReference w:type="default" r:id="rId15"/>
      <w:footerReference w:type="even" r:id="rId16"/>
      <w:footerReference w:type="default" r:id="rId17"/>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0A4F7" w14:textId="77777777" w:rsidR="00F238E2" w:rsidRDefault="00F238E2"/>
  </w:endnote>
  <w:endnote w:type="continuationSeparator" w:id="0">
    <w:p w14:paraId="7A6FBA7A" w14:textId="77777777" w:rsidR="00F238E2" w:rsidRDefault="00F238E2"/>
  </w:endnote>
  <w:endnote w:type="continuationNotice" w:id="1">
    <w:p w14:paraId="7F83A9A0" w14:textId="77777777" w:rsidR="00F238E2" w:rsidRDefault="00F238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1B953" w14:textId="4C9BF9A4" w:rsidR="000B1EA4" w:rsidRPr="000B1EA4" w:rsidRDefault="000B1EA4" w:rsidP="000B1EA4">
    <w:pPr>
      <w:pStyle w:val="Footer"/>
      <w:tabs>
        <w:tab w:val="right" w:pos="9638"/>
      </w:tabs>
      <w:rPr>
        <w:sz w:val="18"/>
      </w:rPr>
    </w:pPr>
    <w:r w:rsidRPr="000B1EA4">
      <w:rPr>
        <w:b/>
        <w:sz w:val="18"/>
      </w:rPr>
      <w:fldChar w:fldCharType="begin"/>
    </w:r>
    <w:r w:rsidRPr="000B1EA4">
      <w:rPr>
        <w:b/>
        <w:sz w:val="18"/>
      </w:rPr>
      <w:instrText xml:space="preserve"> PAGE  \* MERGEFORMAT </w:instrText>
    </w:r>
    <w:r w:rsidRPr="000B1EA4">
      <w:rPr>
        <w:b/>
        <w:sz w:val="18"/>
      </w:rPr>
      <w:fldChar w:fldCharType="separate"/>
    </w:r>
    <w:r w:rsidRPr="000B1EA4">
      <w:rPr>
        <w:b/>
        <w:noProof/>
        <w:sz w:val="18"/>
      </w:rPr>
      <w:t>2</w:t>
    </w:r>
    <w:r w:rsidRPr="000B1EA4">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E42C1" w14:textId="60AB91A9" w:rsidR="000B1EA4" w:rsidRPr="000B1EA4" w:rsidRDefault="000B1EA4" w:rsidP="000B1EA4">
    <w:pPr>
      <w:pStyle w:val="Footer"/>
      <w:tabs>
        <w:tab w:val="right" w:pos="9638"/>
      </w:tabs>
      <w:rPr>
        <w:b/>
        <w:sz w:val="18"/>
      </w:rPr>
    </w:pPr>
    <w:r>
      <w:tab/>
    </w:r>
    <w:r w:rsidRPr="000B1EA4">
      <w:rPr>
        <w:b/>
        <w:sz w:val="18"/>
      </w:rPr>
      <w:fldChar w:fldCharType="begin"/>
    </w:r>
    <w:r w:rsidRPr="000B1EA4">
      <w:rPr>
        <w:b/>
        <w:sz w:val="18"/>
      </w:rPr>
      <w:instrText xml:space="preserve"> PAGE  \* MERGEFORMAT </w:instrText>
    </w:r>
    <w:r w:rsidRPr="000B1EA4">
      <w:rPr>
        <w:b/>
        <w:sz w:val="18"/>
      </w:rPr>
      <w:fldChar w:fldCharType="separate"/>
    </w:r>
    <w:r w:rsidRPr="000B1EA4">
      <w:rPr>
        <w:b/>
        <w:noProof/>
        <w:sz w:val="18"/>
      </w:rPr>
      <w:t>3</w:t>
    </w:r>
    <w:r w:rsidRPr="000B1EA4">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E4C46" w14:textId="77777777" w:rsidR="00F238E2" w:rsidRPr="000B175B" w:rsidRDefault="00F238E2" w:rsidP="000B175B">
      <w:pPr>
        <w:tabs>
          <w:tab w:val="right" w:pos="2155"/>
        </w:tabs>
        <w:spacing w:after="80"/>
        <w:ind w:left="680"/>
        <w:rPr>
          <w:u w:val="single"/>
        </w:rPr>
      </w:pPr>
      <w:r>
        <w:rPr>
          <w:u w:val="single"/>
        </w:rPr>
        <w:tab/>
      </w:r>
    </w:p>
  </w:footnote>
  <w:footnote w:type="continuationSeparator" w:id="0">
    <w:p w14:paraId="363AC1A5" w14:textId="77777777" w:rsidR="00F238E2" w:rsidRPr="00FC68B7" w:rsidRDefault="00F238E2" w:rsidP="00FC68B7">
      <w:pPr>
        <w:tabs>
          <w:tab w:val="left" w:pos="2155"/>
        </w:tabs>
        <w:spacing w:after="80"/>
        <w:ind w:left="680"/>
        <w:rPr>
          <w:u w:val="single"/>
        </w:rPr>
      </w:pPr>
      <w:r>
        <w:rPr>
          <w:u w:val="single"/>
        </w:rPr>
        <w:tab/>
      </w:r>
    </w:p>
  </w:footnote>
  <w:footnote w:type="continuationNotice" w:id="1">
    <w:p w14:paraId="7B1FE9EB" w14:textId="77777777" w:rsidR="00F238E2" w:rsidRDefault="00F238E2"/>
  </w:footnote>
  <w:footnote w:id="2">
    <w:p w14:paraId="2AEA900E" w14:textId="37D7EA77" w:rsidR="000B1EA4" w:rsidRPr="00B715E3" w:rsidRDefault="000B1EA4" w:rsidP="000B1EA4">
      <w:pPr>
        <w:pStyle w:val="FootnoteText"/>
        <w:jc w:val="both"/>
      </w:pPr>
      <w:r w:rsidRPr="00B715E3">
        <w:tab/>
      </w:r>
      <w:r w:rsidRPr="00B715E3">
        <w:rPr>
          <w:rStyle w:val="FootnoteReference"/>
          <w:sz w:val="20"/>
        </w:rPr>
        <w:t>*</w:t>
      </w:r>
      <w:r w:rsidRPr="00B715E3">
        <w:rPr>
          <w:sz w:val="20"/>
        </w:rPr>
        <w:tab/>
      </w:r>
      <w:r w:rsidRPr="00B715E3">
        <w:rPr>
          <w:szCs w:val="18"/>
        </w:rPr>
        <w:t xml:space="preserve">In accordance with the programme of work of the Inland Transport Committee for </w:t>
      </w:r>
      <w:r w:rsidRPr="00B715E3">
        <w:t xml:space="preserve">2025 as outlined in proposed programme budget for </w:t>
      </w:r>
      <w:r w:rsidRPr="00B715E3">
        <w:rPr>
          <w:szCs w:val="18"/>
        </w:rPr>
        <w:t>2025 (A/79/6 (Sect. 20), table 20.6), the World Forum will develop, harmonize and update UN Regulations to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BE6D0" w14:textId="67BB5483" w:rsidR="000B1EA4" w:rsidRPr="0065155F" w:rsidRDefault="0065155F">
    <w:pPr>
      <w:pStyle w:val="Header"/>
      <w:rPr>
        <w:lang w:val="fr-CH"/>
      </w:rPr>
    </w:pPr>
    <w:r>
      <w:rPr>
        <w:lang w:val="fr-CH"/>
      </w:rPr>
      <w:t>ECE/TRANS/WP.29/GRSG/2025/39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420E8" w14:textId="3980C7A6" w:rsidR="000B1EA4" w:rsidRPr="0065155F" w:rsidRDefault="0065155F" w:rsidP="000B1EA4">
    <w:pPr>
      <w:pStyle w:val="Header"/>
      <w:jc w:val="right"/>
      <w:rPr>
        <w:lang w:val="fr-CH"/>
      </w:rPr>
    </w:pPr>
    <w:r>
      <w:rPr>
        <w:lang w:val="fr-CH"/>
      </w:rPr>
      <w:t>ECE/TRANS/WP.29/GRSG/2025/39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F05E60"/>
    <w:multiLevelType w:val="hybridMultilevel"/>
    <w:tmpl w:val="B6624FA0"/>
    <w:lvl w:ilvl="0" w:tplc="0407000F">
      <w:start w:val="1"/>
      <w:numFmt w:val="decimal"/>
      <w:lvlText w:val="%1."/>
      <w:lvlJc w:val="left"/>
      <w:pPr>
        <w:ind w:left="6030" w:hanging="360"/>
      </w:pPr>
    </w:lvl>
    <w:lvl w:ilvl="1" w:tplc="04070019" w:tentative="1">
      <w:start w:val="1"/>
      <w:numFmt w:val="lowerLetter"/>
      <w:lvlText w:val="%2."/>
      <w:lvlJc w:val="left"/>
      <w:pPr>
        <w:ind w:left="6750" w:hanging="360"/>
      </w:pPr>
    </w:lvl>
    <w:lvl w:ilvl="2" w:tplc="0407001B" w:tentative="1">
      <w:start w:val="1"/>
      <w:numFmt w:val="lowerRoman"/>
      <w:lvlText w:val="%3."/>
      <w:lvlJc w:val="right"/>
      <w:pPr>
        <w:ind w:left="7470" w:hanging="180"/>
      </w:pPr>
    </w:lvl>
    <w:lvl w:ilvl="3" w:tplc="0407000F" w:tentative="1">
      <w:start w:val="1"/>
      <w:numFmt w:val="decimal"/>
      <w:lvlText w:val="%4."/>
      <w:lvlJc w:val="left"/>
      <w:pPr>
        <w:ind w:left="8190" w:hanging="360"/>
      </w:pPr>
    </w:lvl>
    <w:lvl w:ilvl="4" w:tplc="04070019" w:tentative="1">
      <w:start w:val="1"/>
      <w:numFmt w:val="lowerLetter"/>
      <w:lvlText w:val="%5."/>
      <w:lvlJc w:val="left"/>
      <w:pPr>
        <w:ind w:left="8910" w:hanging="360"/>
      </w:pPr>
    </w:lvl>
    <w:lvl w:ilvl="5" w:tplc="0407001B" w:tentative="1">
      <w:start w:val="1"/>
      <w:numFmt w:val="lowerRoman"/>
      <w:lvlText w:val="%6."/>
      <w:lvlJc w:val="right"/>
      <w:pPr>
        <w:ind w:left="9630" w:hanging="180"/>
      </w:pPr>
    </w:lvl>
    <w:lvl w:ilvl="6" w:tplc="0407000F" w:tentative="1">
      <w:start w:val="1"/>
      <w:numFmt w:val="decimal"/>
      <w:lvlText w:val="%7."/>
      <w:lvlJc w:val="left"/>
      <w:pPr>
        <w:ind w:left="10350" w:hanging="360"/>
      </w:pPr>
    </w:lvl>
    <w:lvl w:ilvl="7" w:tplc="04070019" w:tentative="1">
      <w:start w:val="1"/>
      <w:numFmt w:val="lowerLetter"/>
      <w:lvlText w:val="%8."/>
      <w:lvlJc w:val="left"/>
      <w:pPr>
        <w:ind w:left="11070" w:hanging="360"/>
      </w:pPr>
    </w:lvl>
    <w:lvl w:ilvl="8" w:tplc="0407001B" w:tentative="1">
      <w:start w:val="1"/>
      <w:numFmt w:val="lowerRoman"/>
      <w:lvlText w:val="%9."/>
      <w:lvlJc w:val="right"/>
      <w:pPr>
        <w:ind w:left="11790" w:hanging="180"/>
      </w:pPr>
    </w:lvl>
  </w:abstractNum>
  <w:abstractNum w:abstractNumId="19"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369985810">
    <w:abstractNumId w:val="1"/>
  </w:num>
  <w:num w:numId="2" w16cid:durableId="1716390396">
    <w:abstractNumId w:val="0"/>
  </w:num>
  <w:num w:numId="3" w16cid:durableId="2110193780">
    <w:abstractNumId w:val="2"/>
  </w:num>
  <w:num w:numId="4" w16cid:durableId="852230718">
    <w:abstractNumId w:val="3"/>
  </w:num>
  <w:num w:numId="5" w16cid:durableId="749616534">
    <w:abstractNumId w:val="8"/>
  </w:num>
  <w:num w:numId="6" w16cid:durableId="74014676">
    <w:abstractNumId w:val="9"/>
  </w:num>
  <w:num w:numId="7" w16cid:durableId="50429632">
    <w:abstractNumId w:val="7"/>
  </w:num>
  <w:num w:numId="8" w16cid:durableId="1297561801">
    <w:abstractNumId w:val="6"/>
  </w:num>
  <w:num w:numId="9" w16cid:durableId="875120523">
    <w:abstractNumId w:val="5"/>
  </w:num>
  <w:num w:numId="10" w16cid:durableId="1069841246">
    <w:abstractNumId w:val="4"/>
  </w:num>
  <w:num w:numId="11" w16cid:durableId="1933514449">
    <w:abstractNumId w:val="15"/>
  </w:num>
  <w:num w:numId="12" w16cid:durableId="1211183943">
    <w:abstractNumId w:val="14"/>
  </w:num>
  <w:num w:numId="13" w16cid:durableId="482426443">
    <w:abstractNumId w:val="10"/>
  </w:num>
  <w:num w:numId="14" w16cid:durableId="539629582">
    <w:abstractNumId w:val="12"/>
  </w:num>
  <w:num w:numId="15" w16cid:durableId="650136043">
    <w:abstractNumId w:val="16"/>
  </w:num>
  <w:num w:numId="16" w16cid:durableId="462188031">
    <w:abstractNumId w:val="13"/>
  </w:num>
  <w:num w:numId="17" w16cid:durableId="393236747">
    <w:abstractNumId w:val="17"/>
  </w:num>
  <w:num w:numId="18" w16cid:durableId="920482846">
    <w:abstractNumId w:val="19"/>
  </w:num>
  <w:num w:numId="19" w16cid:durableId="662591124">
    <w:abstractNumId w:val="11"/>
  </w:num>
  <w:num w:numId="20" w16cid:durableId="1793862634">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A4"/>
    <w:rsid w:val="00002A7D"/>
    <w:rsid w:val="000038A8"/>
    <w:rsid w:val="00005DF3"/>
    <w:rsid w:val="00006790"/>
    <w:rsid w:val="00007AF2"/>
    <w:rsid w:val="00025FE3"/>
    <w:rsid w:val="00027624"/>
    <w:rsid w:val="00050F6B"/>
    <w:rsid w:val="00051972"/>
    <w:rsid w:val="000678CD"/>
    <w:rsid w:val="00072364"/>
    <w:rsid w:val="00072C8C"/>
    <w:rsid w:val="00081CE0"/>
    <w:rsid w:val="000833E8"/>
    <w:rsid w:val="00083896"/>
    <w:rsid w:val="000846F8"/>
    <w:rsid w:val="00084D30"/>
    <w:rsid w:val="00090320"/>
    <w:rsid w:val="000931C0"/>
    <w:rsid w:val="00097003"/>
    <w:rsid w:val="000A2E09"/>
    <w:rsid w:val="000B175B"/>
    <w:rsid w:val="000B1EA4"/>
    <w:rsid w:val="000B3A0F"/>
    <w:rsid w:val="000C01EE"/>
    <w:rsid w:val="000D598D"/>
    <w:rsid w:val="000E0415"/>
    <w:rsid w:val="000E0E92"/>
    <w:rsid w:val="000F35BA"/>
    <w:rsid w:val="000F4561"/>
    <w:rsid w:val="000F7715"/>
    <w:rsid w:val="001259DE"/>
    <w:rsid w:val="00156B99"/>
    <w:rsid w:val="00166124"/>
    <w:rsid w:val="001763F3"/>
    <w:rsid w:val="0017782E"/>
    <w:rsid w:val="00184DDA"/>
    <w:rsid w:val="001900CD"/>
    <w:rsid w:val="001A0452"/>
    <w:rsid w:val="001A7EF8"/>
    <w:rsid w:val="001B1734"/>
    <w:rsid w:val="001B369F"/>
    <w:rsid w:val="001B408D"/>
    <w:rsid w:val="001B4B04"/>
    <w:rsid w:val="001B5875"/>
    <w:rsid w:val="001C15C9"/>
    <w:rsid w:val="001C2CED"/>
    <w:rsid w:val="001C4B9C"/>
    <w:rsid w:val="001C6663"/>
    <w:rsid w:val="001C7895"/>
    <w:rsid w:val="001D18F6"/>
    <w:rsid w:val="001D26DF"/>
    <w:rsid w:val="001F1599"/>
    <w:rsid w:val="001F19C4"/>
    <w:rsid w:val="001F241E"/>
    <w:rsid w:val="002043F0"/>
    <w:rsid w:val="00210D97"/>
    <w:rsid w:val="00211E0B"/>
    <w:rsid w:val="002163BE"/>
    <w:rsid w:val="00232575"/>
    <w:rsid w:val="00247258"/>
    <w:rsid w:val="00257CAC"/>
    <w:rsid w:val="00260D2F"/>
    <w:rsid w:val="00267487"/>
    <w:rsid w:val="00271E29"/>
    <w:rsid w:val="0027237A"/>
    <w:rsid w:val="002731A9"/>
    <w:rsid w:val="002903C0"/>
    <w:rsid w:val="002920DC"/>
    <w:rsid w:val="002938A5"/>
    <w:rsid w:val="00296CEB"/>
    <w:rsid w:val="002974E9"/>
    <w:rsid w:val="002A306B"/>
    <w:rsid w:val="002A7F94"/>
    <w:rsid w:val="002B109A"/>
    <w:rsid w:val="002B29E9"/>
    <w:rsid w:val="002C50C2"/>
    <w:rsid w:val="002C67B4"/>
    <w:rsid w:val="002C6D45"/>
    <w:rsid w:val="002D0751"/>
    <w:rsid w:val="002D6E53"/>
    <w:rsid w:val="002E110E"/>
    <w:rsid w:val="002F046D"/>
    <w:rsid w:val="002F22C3"/>
    <w:rsid w:val="002F3023"/>
    <w:rsid w:val="0030126A"/>
    <w:rsid w:val="00301764"/>
    <w:rsid w:val="003229D8"/>
    <w:rsid w:val="00322D40"/>
    <w:rsid w:val="00334E20"/>
    <w:rsid w:val="00335BB1"/>
    <w:rsid w:val="00336C97"/>
    <w:rsid w:val="00337F88"/>
    <w:rsid w:val="00342432"/>
    <w:rsid w:val="00342FDE"/>
    <w:rsid w:val="0035047B"/>
    <w:rsid w:val="00350949"/>
    <w:rsid w:val="00350FC7"/>
    <w:rsid w:val="0035223F"/>
    <w:rsid w:val="00352D4B"/>
    <w:rsid w:val="0035638C"/>
    <w:rsid w:val="003749D5"/>
    <w:rsid w:val="00380772"/>
    <w:rsid w:val="00382A3A"/>
    <w:rsid w:val="00394D6B"/>
    <w:rsid w:val="00394EF2"/>
    <w:rsid w:val="003A46BB"/>
    <w:rsid w:val="003A4EC7"/>
    <w:rsid w:val="003A7295"/>
    <w:rsid w:val="003B0C82"/>
    <w:rsid w:val="003B1F60"/>
    <w:rsid w:val="003C2CC4"/>
    <w:rsid w:val="003C6404"/>
    <w:rsid w:val="003D4B23"/>
    <w:rsid w:val="003E278A"/>
    <w:rsid w:val="003E6AF7"/>
    <w:rsid w:val="003E6DC1"/>
    <w:rsid w:val="003F0A27"/>
    <w:rsid w:val="003F21FC"/>
    <w:rsid w:val="004056B8"/>
    <w:rsid w:val="00413520"/>
    <w:rsid w:val="00426E70"/>
    <w:rsid w:val="00431F55"/>
    <w:rsid w:val="004325CB"/>
    <w:rsid w:val="00440A07"/>
    <w:rsid w:val="00440AB6"/>
    <w:rsid w:val="00445124"/>
    <w:rsid w:val="00452B92"/>
    <w:rsid w:val="00457E1A"/>
    <w:rsid w:val="00462880"/>
    <w:rsid w:val="00466414"/>
    <w:rsid w:val="00466D33"/>
    <w:rsid w:val="00476F24"/>
    <w:rsid w:val="00481761"/>
    <w:rsid w:val="004833AF"/>
    <w:rsid w:val="0048697F"/>
    <w:rsid w:val="004A570C"/>
    <w:rsid w:val="004A5D33"/>
    <w:rsid w:val="004A60AF"/>
    <w:rsid w:val="004B383B"/>
    <w:rsid w:val="004B59A0"/>
    <w:rsid w:val="004C55B0"/>
    <w:rsid w:val="004C651E"/>
    <w:rsid w:val="004D1435"/>
    <w:rsid w:val="004F6BA0"/>
    <w:rsid w:val="0050158B"/>
    <w:rsid w:val="00502B9C"/>
    <w:rsid w:val="00503BEA"/>
    <w:rsid w:val="00510783"/>
    <w:rsid w:val="00513249"/>
    <w:rsid w:val="00533616"/>
    <w:rsid w:val="00535ABA"/>
    <w:rsid w:val="005373CB"/>
    <w:rsid w:val="0053768B"/>
    <w:rsid w:val="005420F2"/>
    <w:rsid w:val="0054285C"/>
    <w:rsid w:val="005501B6"/>
    <w:rsid w:val="00566E03"/>
    <w:rsid w:val="005736D0"/>
    <w:rsid w:val="00576CA0"/>
    <w:rsid w:val="00584173"/>
    <w:rsid w:val="00584856"/>
    <w:rsid w:val="00586555"/>
    <w:rsid w:val="00595520"/>
    <w:rsid w:val="005A44B9"/>
    <w:rsid w:val="005B03EB"/>
    <w:rsid w:val="005B1BA0"/>
    <w:rsid w:val="005B3DB3"/>
    <w:rsid w:val="005C0268"/>
    <w:rsid w:val="005D15CA"/>
    <w:rsid w:val="005E7B0B"/>
    <w:rsid w:val="005F06C6"/>
    <w:rsid w:val="005F08DF"/>
    <w:rsid w:val="005F0F7B"/>
    <w:rsid w:val="005F3066"/>
    <w:rsid w:val="005F3E61"/>
    <w:rsid w:val="005F56C6"/>
    <w:rsid w:val="00603618"/>
    <w:rsid w:val="00604DDD"/>
    <w:rsid w:val="0060506B"/>
    <w:rsid w:val="00605581"/>
    <w:rsid w:val="00607878"/>
    <w:rsid w:val="006107D6"/>
    <w:rsid w:val="006115CC"/>
    <w:rsid w:val="00611FC4"/>
    <w:rsid w:val="00612471"/>
    <w:rsid w:val="006176FB"/>
    <w:rsid w:val="00623BD8"/>
    <w:rsid w:val="006263EB"/>
    <w:rsid w:val="006301DA"/>
    <w:rsid w:val="00630E40"/>
    <w:rsid w:val="00630FCB"/>
    <w:rsid w:val="00640B26"/>
    <w:rsid w:val="00642B6B"/>
    <w:rsid w:val="0065155F"/>
    <w:rsid w:val="0065207D"/>
    <w:rsid w:val="00655B0A"/>
    <w:rsid w:val="0065766B"/>
    <w:rsid w:val="006632BD"/>
    <w:rsid w:val="0067039D"/>
    <w:rsid w:val="00670B41"/>
    <w:rsid w:val="00671576"/>
    <w:rsid w:val="0067393D"/>
    <w:rsid w:val="006770B2"/>
    <w:rsid w:val="00686A48"/>
    <w:rsid w:val="0068763C"/>
    <w:rsid w:val="00691C3C"/>
    <w:rsid w:val="006940E1"/>
    <w:rsid w:val="00695423"/>
    <w:rsid w:val="006A3C72"/>
    <w:rsid w:val="006A7392"/>
    <w:rsid w:val="006B03A1"/>
    <w:rsid w:val="006B3B36"/>
    <w:rsid w:val="006B5B88"/>
    <w:rsid w:val="006B67D9"/>
    <w:rsid w:val="006C5535"/>
    <w:rsid w:val="006D0589"/>
    <w:rsid w:val="006D071C"/>
    <w:rsid w:val="006D1060"/>
    <w:rsid w:val="006D4056"/>
    <w:rsid w:val="006E564B"/>
    <w:rsid w:val="006E7154"/>
    <w:rsid w:val="006E757A"/>
    <w:rsid w:val="006F1361"/>
    <w:rsid w:val="006F22CE"/>
    <w:rsid w:val="007003CD"/>
    <w:rsid w:val="0070701E"/>
    <w:rsid w:val="0072632A"/>
    <w:rsid w:val="007358E8"/>
    <w:rsid w:val="00736ECE"/>
    <w:rsid w:val="007402FF"/>
    <w:rsid w:val="0074533B"/>
    <w:rsid w:val="00745C23"/>
    <w:rsid w:val="00745F4F"/>
    <w:rsid w:val="00750069"/>
    <w:rsid w:val="00750606"/>
    <w:rsid w:val="00762100"/>
    <w:rsid w:val="007643BC"/>
    <w:rsid w:val="00780C68"/>
    <w:rsid w:val="00790063"/>
    <w:rsid w:val="007959FE"/>
    <w:rsid w:val="007A0CF1"/>
    <w:rsid w:val="007B6BA5"/>
    <w:rsid w:val="007B6F4A"/>
    <w:rsid w:val="007C3390"/>
    <w:rsid w:val="007C42D8"/>
    <w:rsid w:val="007C4F4B"/>
    <w:rsid w:val="007D321E"/>
    <w:rsid w:val="007D6A3B"/>
    <w:rsid w:val="007D6F65"/>
    <w:rsid w:val="007D7362"/>
    <w:rsid w:val="007E2A38"/>
    <w:rsid w:val="007E7053"/>
    <w:rsid w:val="007F5460"/>
    <w:rsid w:val="007F5CE2"/>
    <w:rsid w:val="007F6611"/>
    <w:rsid w:val="00802847"/>
    <w:rsid w:val="00810BAC"/>
    <w:rsid w:val="008121DD"/>
    <w:rsid w:val="00814C29"/>
    <w:rsid w:val="008175E9"/>
    <w:rsid w:val="008242D7"/>
    <w:rsid w:val="0082577B"/>
    <w:rsid w:val="00825CB5"/>
    <w:rsid w:val="00832FA4"/>
    <w:rsid w:val="0085316C"/>
    <w:rsid w:val="00866893"/>
    <w:rsid w:val="00866F02"/>
    <w:rsid w:val="00867D18"/>
    <w:rsid w:val="00871F9A"/>
    <w:rsid w:val="00871FA5"/>
    <w:rsid w:val="00871FD5"/>
    <w:rsid w:val="00872499"/>
    <w:rsid w:val="00877453"/>
    <w:rsid w:val="00877A8A"/>
    <w:rsid w:val="0088172E"/>
    <w:rsid w:val="00881EFA"/>
    <w:rsid w:val="008879CB"/>
    <w:rsid w:val="00895307"/>
    <w:rsid w:val="00895AF3"/>
    <w:rsid w:val="00895FF8"/>
    <w:rsid w:val="008979B1"/>
    <w:rsid w:val="008A5166"/>
    <w:rsid w:val="008A6B25"/>
    <w:rsid w:val="008A6C4F"/>
    <w:rsid w:val="008B389E"/>
    <w:rsid w:val="008C34D7"/>
    <w:rsid w:val="008C725F"/>
    <w:rsid w:val="008D045E"/>
    <w:rsid w:val="008D3F25"/>
    <w:rsid w:val="008D4D82"/>
    <w:rsid w:val="008D4DC1"/>
    <w:rsid w:val="008D6009"/>
    <w:rsid w:val="008E0E46"/>
    <w:rsid w:val="008E33E0"/>
    <w:rsid w:val="008E7116"/>
    <w:rsid w:val="008F143B"/>
    <w:rsid w:val="008F18DF"/>
    <w:rsid w:val="008F3882"/>
    <w:rsid w:val="008F4B7C"/>
    <w:rsid w:val="00914D27"/>
    <w:rsid w:val="0092556A"/>
    <w:rsid w:val="00926E47"/>
    <w:rsid w:val="0093268C"/>
    <w:rsid w:val="00937B66"/>
    <w:rsid w:val="00947162"/>
    <w:rsid w:val="00947314"/>
    <w:rsid w:val="00952BE2"/>
    <w:rsid w:val="009610D0"/>
    <w:rsid w:val="0096375C"/>
    <w:rsid w:val="009662E6"/>
    <w:rsid w:val="009664D0"/>
    <w:rsid w:val="0097095E"/>
    <w:rsid w:val="00973AA2"/>
    <w:rsid w:val="0097411D"/>
    <w:rsid w:val="00975D1C"/>
    <w:rsid w:val="00984641"/>
    <w:rsid w:val="0098592B"/>
    <w:rsid w:val="00985FC4"/>
    <w:rsid w:val="00990766"/>
    <w:rsid w:val="00991261"/>
    <w:rsid w:val="009964C4"/>
    <w:rsid w:val="009A1127"/>
    <w:rsid w:val="009A1FBE"/>
    <w:rsid w:val="009A6533"/>
    <w:rsid w:val="009A7B81"/>
    <w:rsid w:val="009B011B"/>
    <w:rsid w:val="009B0370"/>
    <w:rsid w:val="009B5F6F"/>
    <w:rsid w:val="009B7EB7"/>
    <w:rsid w:val="009C28D9"/>
    <w:rsid w:val="009D01C0"/>
    <w:rsid w:val="009D6A08"/>
    <w:rsid w:val="009E0A16"/>
    <w:rsid w:val="009E6CB7"/>
    <w:rsid w:val="009E7970"/>
    <w:rsid w:val="009F2EAC"/>
    <w:rsid w:val="009F5302"/>
    <w:rsid w:val="009F57E3"/>
    <w:rsid w:val="009F65A5"/>
    <w:rsid w:val="00A077A2"/>
    <w:rsid w:val="00A10F4F"/>
    <w:rsid w:val="00A11067"/>
    <w:rsid w:val="00A1406A"/>
    <w:rsid w:val="00A14490"/>
    <w:rsid w:val="00A1704A"/>
    <w:rsid w:val="00A171D0"/>
    <w:rsid w:val="00A35A0F"/>
    <w:rsid w:val="00A36AC2"/>
    <w:rsid w:val="00A425EB"/>
    <w:rsid w:val="00A512FF"/>
    <w:rsid w:val="00A53CC1"/>
    <w:rsid w:val="00A72D6A"/>
    <w:rsid w:val="00A72F22"/>
    <w:rsid w:val="00A733BC"/>
    <w:rsid w:val="00A748A6"/>
    <w:rsid w:val="00A766C3"/>
    <w:rsid w:val="00A76A69"/>
    <w:rsid w:val="00A7780E"/>
    <w:rsid w:val="00A879A4"/>
    <w:rsid w:val="00A95C34"/>
    <w:rsid w:val="00A9719E"/>
    <w:rsid w:val="00AA0FF8"/>
    <w:rsid w:val="00AA768A"/>
    <w:rsid w:val="00AA7F40"/>
    <w:rsid w:val="00AB67D5"/>
    <w:rsid w:val="00AC0F2C"/>
    <w:rsid w:val="00AC502A"/>
    <w:rsid w:val="00AD136A"/>
    <w:rsid w:val="00AE1E26"/>
    <w:rsid w:val="00AF58C1"/>
    <w:rsid w:val="00AF6152"/>
    <w:rsid w:val="00B046F8"/>
    <w:rsid w:val="00B04A3F"/>
    <w:rsid w:val="00B06643"/>
    <w:rsid w:val="00B15055"/>
    <w:rsid w:val="00B15BF2"/>
    <w:rsid w:val="00B17E89"/>
    <w:rsid w:val="00B20551"/>
    <w:rsid w:val="00B210F9"/>
    <w:rsid w:val="00B25618"/>
    <w:rsid w:val="00B30179"/>
    <w:rsid w:val="00B31E0B"/>
    <w:rsid w:val="00B33FC7"/>
    <w:rsid w:val="00B34A6C"/>
    <w:rsid w:val="00B3552F"/>
    <w:rsid w:val="00B37B15"/>
    <w:rsid w:val="00B4162A"/>
    <w:rsid w:val="00B45C02"/>
    <w:rsid w:val="00B477BD"/>
    <w:rsid w:val="00B616FA"/>
    <w:rsid w:val="00B65424"/>
    <w:rsid w:val="00B70B63"/>
    <w:rsid w:val="00B715E3"/>
    <w:rsid w:val="00B72A1E"/>
    <w:rsid w:val="00B76463"/>
    <w:rsid w:val="00B81E12"/>
    <w:rsid w:val="00B8479C"/>
    <w:rsid w:val="00BA339B"/>
    <w:rsid w:val="00BB23CC"/>
    <w:rsid w:val="00BC1E7E"/>
    <w:rsid w:val="00BC3F9E"/>
    <w:rsid w:val="00BC71A2"/>
    <w:rsid w:val="00BC74E9"/>
    <w:rsid w:val="00BC7693"/>
    <w:rsid w:val="00BD0FFF"/>
    <w:rsid w:val="00BD47D0"/>
    <w:rsid w:val="00BD5763"/>
    <w:rsid w:val="00BE33D0"/>
    <w:rsid w:val="00BE36A9"/>
    <w:rsid w:val="00BE618E"/>
    <w:rsid w:val="00BE65B0"/>
    <w:rsid w:val="00BE7BEC"/>
    <w:rsid w:val="00BE7DE0"/>
    <w:rsid w:val="00BF0902"/>
    <w:rsid w:val="00BF0A5A"/>
    <w:rsid w:val="00BF0D6E"/>
    <w:rsid w:val="00BF0E63"/>
    <w:rsid w:val="00BF12A3"/>
    <w:rsid w:val="00BF16D7"/>
    <w:rsid w:val="00BF2373"/>
    <w:rsid w:val="00BF279B"/>
    <w:rsid w:val="00BF6850"/>
    <w:rsid w:val="00C01731"/>
    <w:rsid w:val="00C044E2"/>
    <w:rsid w:val="00C048CB"/>
    <w:rsid w:val="00C06536"/>
    <w:rsid w:val="00C066F3"/>
    <w:rsid w:val="00C2715E"/>
    <w:rsid w:val="00C33280"/>
    <w:rsid w:val="00C463DD"/>
    <w:rsid w:val="00C54C3B"/>
    <w:rsid w:val="00C720D2"/>
    <w:rsid w:val="00C73AAF"/>
    <w:rsid w:val="00C745C3"/>
    <w:rsid w:val="00C7495C"/>
    <w:rsid w:val="00C865A4"/>
    <w:rsid w:val="00C90990"/>
    <w:rsid w:val="00C978F5"/>
    <w:rsid w:val="00CA24A4"/>
    <w:rsid w:val="00CB348D"/>
    <w:rsid w:val="00CD46F5"/>
    <w:rsid w:val="00CD6F8D"/>
    <w:rsid w:val="00CD72C0"/>
    <w:rsid w:val="00CE1B38"/>
    <w:rsid w:val="00CE4A8F"/>
    <w:rsid w:val="00CF071D"/>
    <w:rsid w:val="00CF6C8D"/>
    <w:rsid w:val="00D0123D"/>
    <w:rsid w:val="00D05931"/>
    <w:rsid w:val="00D15B04"/>
    <w:rsid w:val="00D2031B"/>
    <w:rsid w:val="00D22746"/>
    <w:rsid w:val="00D25FE2"/>
    <w:rsid w:val="00D315A8"/>
    <w:rsid w:val="00D32885"/>
    <w:rsid w:val="00D33C14"/>
    <w:rsid w:val="00D37DA9"/>
    <w:rsid w:val="00D406A7"/>
    <w:rsid w:val="00D41AE9"/>
    <w:rsid w:val="00D43252"/>
    <w:rsid w:val="00D44D86"/>
    <w:rsid w:val="00D50B7D"/>
    <w:rsid w:val="00D52012"/>
    <w:rsid w:val="00D52E21"/>
    <w:rsid w:val="00D52ECF"/>
    <w:rsid w:val="00D704E5"/>
    <w:rsid w:val="00D71579"/>
    <w:rsid w:val="00D72727"/>
    <w:rsid w:val="00D82177"/>
    <w:rsid w:val="00D903C4"/>
    <w:rsid w:val="00D9365B"/>
    <w:rsid w:val="00D978C6"/>
    <w:rsid w:val="00DA029E"/>
    <w:rsid w:val="00DA0956"/>
    <w:rsid w:val="00DA13BD"/>
    <w:rsid w:val="00DA357F"/>
    <w:rsid w:val="00DA3E12"/>
    <w:rsid w:val="00DB2D44"/>
    <w:rsid w:val="00DB4F0B"/>
    <w:rsid w:val="00DC18AD"/>
    <w:rsid w:val="00DD6C2D"/>
    <w:rsid w:val="00DF504D"/>
    <w:rsid w:val="00DF7CAE"/>
    <w:rsid w:val="00E03DE4"/>
    <w:rsid w:val="00E06261"/>
    <w:rsid w:val="00E1573C"/>
    <w:rsid w:val="00E16AA2"/>
    <w:rsid w:val="00E2427A"/>
    <w:rsid w:val="00E423C0"/>
    <w:rsid w:val="00E4395D"/>
    <w:rsid w:val="00E43BDD"/>
    <w:rsid w:val="00E47B84"/>
    <w:rsid w:val="00E6414C"/>
    <w:rsid w:val="00E7260F"/>
    <w:rsid w:val="00E76394"/>
    <w:rsid w:val="00E8702D"/>
    <w:rsid w:val="00E905F4"/>
    <w:rsid w:val="00E916A9"/>
    <w:rsid w:val="00E916DE"/>
    <w:rsid w:val="00E925AD"/>
    <w:rsid w:val="00E96630"/>
    <w:rsid w:val="00EA7291"/>
    <w:rsid w:val="00ED18DC"/>
    <w:rsid w:val="00ED6201"/>
    <w:rsid w:val="00ED7A2A"/>
    <w:rsid w:val="00ED7DD7"/>
    <w:rsid w:val="00EF1D7F"/>
    <w:rsid w:val="00EF230B"/>
    <w:rsid w:val="00F0137E"/>
    <w:rsid w:val="00F04E44"/>
    <w:rsid w:val="00F10EFC"/>
    <w:rsid w:val="00F140E2"/>
    <w:rsid w:val="00F21786"/>
    <w:rsid w:val="00F238E2"/>
    <w:rsid w:val="00F23BDC"/>
    <w:rsid w:val="00F25D06"/>
    <w:rsid w:val="00F31CFF"/>
    <w:rsid w:val="00F3742B"/>
    <w:rsid w:val="00F41FDB"/>
    <w:rsid w:val="00F44C9A"/>
    <w:rsid w:val="00F50597"/>
    <w:rsid w:val="00F5132A"/>
    <w:rsid w:val="00F52073"/>
    <w:rsid w:val="00F5436B"/>
    <w:rsid w:val="00F56D63"/>
    <w:rsid w:val="00F609A9"/>
    <w:rsid w:val="00F62C75"/>
    <w:rsid w:val="00F74EC7"/>
    <w:rsid w:val="00F767C5"/>
    <w:rsid w:val="00F80C99"/>
    <w:rsid w:val="00F84786"/>
    <w:rsid w:val="00F867EC"/>
    <w:rsid w:val="00F91B2B"/>
    <w:rsid w:val="00FA2265"/>
    <w:rsid w:val="00FC03CD"/>
    <w:rsid w:val="00FC0646"/>
    <w:rsid w:val="00FC1DE7"/>
    <w:rsid w:val="00FC68B7"/>
    <w:rsid w:val="00FC76FA"/>
    <w:rsid w:val="00FD220C"/>
    <w:rsid w:val="00FE0518"/>
    <w:rsid w:val="00FE3E4E"/>
    <w:rsid w:val="00FE6985"/>
    <w:rsid w:val="00FE7B8F"/>
    <w:rsid w:val="00FF70D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BAD4E"/>
  <w15:docId w15:val="{7876326D-CF67-4379-9DDA-56C6B399B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7D6"/>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Footnote Reference),-E Fußnotenzeichen,BVI fnr, BVI fnr,Footnote symbol,Footnote,Footnote Reference Superscript,SUPERS,4_GR"/>
    <w:basedOn w:val="DefaultParagraphFont"/>
    <w:qFormat/>
    <w:rsid w:val="006107D6"/>
    <w:rPr>
      <w:rFonts w:ascii="Times New Roman" w:hAnsi="Times New Roman"/>
      <w:sz w:val="18"/>
      <w:vertAlign w:val="superscript"/>
      <w:lang w:val="en-GB"/>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Fußnotentext"/>
    <w:basedOn w:val="Normal"/>
    <w:link w:val="FootnoteTextChar"/>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link w:val="H1GChar"/>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uiPriority w:val="99"/>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qFormat/>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basedOn w:val="DefaultParagraphFont"/>
    <w:link w:val="FootnoteText"/>
    <w:qFormat/>
    <w:rsid w:val="006107D6"/>
    <w:rPr>
      <w:rFonts w:eastAsiaTheme="minorHAnsi"/>
      <w:sz w:val="18"/>
      <w:lang w:val="en-GB" w:eastAsia="en-US"/>
    </w:rPr>
  </w:style>
  <w:style w:type="character" w:customStyle="1" w:styleId="SingleTxtGChar">
    <w:name w:val="_ Single Txt_G Char"/>
    <w:link w:val="SingleTxtG"/>
    <w:qFormat/>
    <w:rsid w:val="000B1EA4"/>
    <w:rPr>
      <w:lang w:val="en-GB"/>
    </w:rPr>
  </w:style>
  <w:style w:type="character" w:customStyle="1" w:styleId="HChGChar">
    <w:name w:val="_ H _Ch_G Char"/>
    <w:link w:val="HChG"/>
    <w:qFormat/>
    <w:rsid w:val="000B1EA4"/>
    <w:rPr>
      <w:b/>
      <w:sz w:val="28"/>
      <w:lang w:val="en-GB"/>
    </w:rPr>
  </w:style>
  <w:style w:type="character" w:customStyle="1" w:styleId="H1GChar">
    <w:name w:val="_ H_1_G Char"/>
    <w:link w:val="H1G"/>
    <w:locked/>
    <w:rsid w:val="000B1EA4"/>
    <w:rPr>
      <w:b/>
      <w:sz w:val="24"/>
      <w:lang w:val="en-GB"/>
    </w:rPr>
  </w:style>
  <w:style w:type="paragraph" w:styleId="NormalWeb">
    <w:name w:val="Normal (Web)"/>
    <w:basedOn w:val="Normal"/>
    <w:uiPriority w:val="99"/>
    <w:rsid w:val="000B1EA4"/>
    <w:pPr>
      <w:suppressAutoHyphens/>
    </w:pPr>
    <w:rPr>
      <w:sz w:val="24"/>
      <w:szCs w:val="24"/>
      <w:lang w:eastAsia="en-US"/>
    </w:rPr>
  </w:style>
  <w:style w:type="paragraph" w:styleId="ListParagraph">
    <w:name w:val="List Paragraph"/>
    <w:basedOn w:val="Normal"/>
    <w:uiPriority w:val="34"/>
    <w:qFormat/>
    <w:rsid w:val="000B1EA4"/>
    <w:pPr>
      <w:suppressAutoHyphens/>
      <w:ind w:left="720"/>
      <w:contextualSpacing/>
    </w:pPr>
    <w:rPr>
      <w:rFonts w:eastAsia="MS Mincho"/>
    </w:rPr>
  </w:style>
  <w:style w:type="character" w:customStyle="1" w:styleId="Flietext">
    <w:name w:val="Fließtext_"/>
    <w:basedOn w:val="DefaultParagraphFont"/>
    <w:link w:val="Flietext0"/>
    <w:rsid w:val="000B1EA4"/>
    <w:rPr>
      <w:b/>
      <w:bCs/>
    </w:rPr>
  </w:style>
  <w:style w:type="paragraph" w:customStyle="1" w:styleId="Flietext0">
    <w:name w:val="Fließtext"/>
    <w:basedOn w:val="Normal"/>
    <w:link w:val="Flietext"/>
    <w:rsid w:val="000B1EA4"/>
    <w:pPr>
      <w:widowControl w:val="0"/>
      <w:spacing w:after="120" w:line="240" w:lineRule="auto"/>
    </w:pPr>
    <w:rPr>
      <w:b/>
      <w:bCs/>
      <w:lang w:val="fr-FR"/>
    </w:rPr>
  </w:style>
  <w:style w:type="paragraph" w:styleId="BodyText">
    <w:name w:val="Body Text"/>
    <w:basedOn w:val="Normal"/>
    <w:link w:val="BodyTextChar"/>
    <w:uiPriority w:val="1"/>
    <w:qFormat/>
    <w:rsid w:val="000B1EA4"/>
    <w:pPr>
      <w:widowControl w:val="0"/>
      <w:autoSpaceDE w:val="0"/>
      <w:autoSpaceDN w:val="0"/>
      <w:spacing w:line="240" w:lineRule="auto"/>
    </w:pPr>
    <w:rPr>
      <w:rFonts w:ascii="Courier New" w:eastAsia="Courier New" w:hAnsi="Courier New" w:cs="Courier New"/>
      <w:sz w:val="17"/>
      <w:szCs w:val="17"/>
      <w:lang w:val="en-US" w:eastAsia="en-US"/>
    </w:rPr>
  </w:style>
  <w:style w:type="character" w:customStyle="1" w:styleId="BodyTextChar">
    <w:name w:val="Body Text Char"/>
    <w:basedOn w:val="DefaultParagraphFont"/>
    <w:link w:val="BodyText"/>
    <w:uiPriority w:val="1"/>
    <w:rsid w:val="000B1EA4"/>
    <w:rPr>
      <w:rFonts w:ascii="Courier New" w:eastAsia="Courier New" w:hAnsi="Courier New" w:cs="Courier New"/>
      <w:sz w:val="17"/>
      <w:szCs w:val="17"/>
      <w:lang w:val="en-US" w:eastAsia="en-US"/>
    </w:rPr>
  </w:style>
  <w:style w:type="paragraph" w:styleId="PlainText">
    <w:name w:val="Plain Text"/>
    <w:basedOn w:val="Normal"/>
    <w:link w:val="PlainTextChar"/>
    <w:uiPriority w:val="99"/>
    <w:semiHidden/>
    <w:unhideWhenUsed/>
    <w:rsid w:val="000B1EA4"/>
    <w:pPr>
      <w:spacing w:line="240" w:lineRule="auto"/>
    </w:pPr>
    <w:rPr>
      <w:rFonts w:ascii="Arial" w:eastAsiaTheme="minorHAnsi" w:hAnsi="Arial" w:cs="Arial"/>
      <w:lang w:val="de-DE" w:eastAsia="en-US"/>
    </w:rPr>
  </w:style>
  <w:style w:type="character" w:customStyle="1" w:styleId="PlainTextChar">
    <w:name w:val="Plain Text Char"/>
    <w:basedOn w:val="DefaultParagraphFont"/>
    <w:link w:val="PlainText"/>
    <w:uiPriority w:val="99"/>
    <w:semiHidden/>
    <w:rsid w:val="000B1EA4"/>
    <w:rPr>
      <w:rFonts w:ascii="Arial" w:eastAsiaTheme="minorHAnsi" w:hAnsi="Arial" w:cs="Arial"/>
      <w:lang w:val="de-DE" w:eastAsia="en-US"/>
    </w:rPr>
  </w:style>
  <w:style w:type="paragraph" w:styleId="Revision">
    <w:name w:val="Revision"/>
    <w:hidden/>
    <w:uiPriority w:val="99"/>
    <w:semiHidden/>
    <w:rsid w:val="000846F8"/>
    <w:pPr>
      <w:spacing w:line="240" w:lineRule="auto"/>
    </w:pPr>
    <w:rPr>
      <w:lang w:val="en-GB"/>
    </w:rPr>
  </w:style>
  <w:style w:type="character" w:styleId="CommentReference">
    <w:name w:val="annotation reference"/>
    <w:basedOn w:val="DefaultParagraphFont"/>
    <w:semiHidden/>
    <w:unhideWhenUsed/>
    <w:rsid w:val="007E7053"/>
    <w:rPr>
      <w:sz w:val="16"/>
      <w:szCs w:val="16"/>
    </w:rPr>
  </w:style>
  <w:style w:type="paragraph" w:styleId="CommentText">
    <w:name w:val="annotation text"/>
    <w:basedOn w:val="Normal"/>
    <w:link w:val="CommentTextChar"/>
    <w:unhideWhenUsed/>
    <w:rsid w:val="007E7053"/>
    <w:pPr>
      <w:spacing w:line="240" w:lineRule="auto"/>
    </w:pPr>
  </w:style>
  <w:style w:type="character" w:customStyle="1" w:styleId="CommentTextChar">
    <w:name w:val="Comment Text Char"/>
    <w:basedOn w:val="DefaultParagraphFont"/>
    <w:link w:val="CommentText"/>
    <w:rsid w:val="007E7053"/>
    <w:rPr>
      <w:lang w:val="en-GB"/>
    </w:rPr>
  </w:style>
  <w:style w:type="paragraph" w:styleId="CommentSubject">
    <w:name w:val="annotation subject"/>
    <w:basedOn w:val="CommentText"/>
    <w:next w:val="CommentText"/>
    <w:link w:val="CommentSubjectChar"/>
    <w:semiHidden/>
    <w:unhideWhenUsed/>
    <w:rsid w:val="007E7053"/>
    <w:rPr>
      <w:b/>
      <w:bCs/>
    </w:rPr>
  </w:style>
  <w:style w:type="character" w:customStyle="1" w:styleId="CommentSubjectChar">
    <w:name w:val="Comment Subject Char"/>
    <w:basedOn w:val="CommentTextChar"/>
    <w:link w:val="CommentSubject"/>
    <w:semiHidden/>
    <w:rsid w:val="007E7053"/>
    <w:rPr>
      <w:b/>
      <w:bCs/>
      <w:lang w:val="en-GB"/>
    </w:rPr>
  </w:style>
  <w:style w:type="character" w:styleId="UnresolvedMention">
    <w:name w:val="Unresolved Mention"/>
    <w:basedOn w:val="DefaultParagraphFont"/>
    <w:uiPriority w:val="99"/>
    <w:semiHidden/>
    <w:unhideWhenUsed/>
    <w:rsid w:val="007E7053"/>
    <w:rPr>
      <w:color w:val="605E5C"/>
      <w:shd w:val="clear" w:color="auto" w:fill="E1DFDD"/>
    </w:rPr>
  </w:style>
  <w:style w:type="paragraph" w:customStyle="1" w:styleId="para">
    <w:name w:val="para"/>
    <w:basedOn w:val="Normal"/>
    <w:link w:val="paraChar"/>
    <w:qFormat/>
    <w:rsid w:val="00CE1B38"/>
    <w:pPr>
      <w:spacing w:after="120"/>
      <w:ind w:left="2268" w:right="1134" w:hanging="1134"/>
      <w:jc w:val="both"/>
    </w:pPr>
    <w:rPr>
      <w:rFonts w:eastAsia="Yu Mincho"/>
      <w:snapToGrid w:val="0"/>
      <w:lang w:val="fr-FR" w:eastAsia="en-US"/>
    </w:rPr>
  </w:style>
  <w:style w:type="character" w:customStyle="1" w:styleId="paraChar">
    <w:name w:val="para Char"/>
    <w:link w:val="para"/>
    <w:rsid w:val="00CE1B38"/>
    <w:rPr>
      <w:rFonts w:eastAsia="Yu Mincho"/>
      <w:snapToGrid w:val="0"/>
      <w:lang w:eastAsia="en-US"/>
    </w:rPr>
  </w:style>
  <w:style w:type="paragraph" w:customStyle="1" w:styleId="Para0">
    <w:name w:val="Para"/>
    <w:basedOn w:val="Normal"/>
    <w:qFormat/>
    <w:rsid w:val="001B1734"/>
    <w:pPr>
      <w:spacing w:after="120"/>
      <w:ind w:left="2268" w:right="1134" w:hanging="1134"/>
      <w:jc w:val="both"/>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nece.org/transport/vehicle-regulations/wp29/resolution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nece.org/transport/vehicle-regulations/wp29/resolution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anotti\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0aa97d293dc1b068aad8ec574bd5b29">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116effa8a8d4dca7515820515ac66886"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Path xmlns="acccb6d4-dbe5-46d2-b4d3-5733603d8cc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2A0742-B760-4490-BD7F-82C032E171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customXml/itemProps3.xml><?xml version="1.0" encoding="utf-8"?>
<ds:datastoreItem xmlns:ds="http://schemas.openxmlformats.org/officeDocument/2006/customXml" ds:itemID="{0ABE2F0B-9CC1-4723-AD2D-D714799CD4BD}">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4.xml><?xml version="1.0" encoding="utf-8"?>
<ds:datastoreItem xmlns:ds="http://schemas.openxmlformats.org/officeDocument/2006/customXml" ds:itemID="{CA62F2B8-758D-4BBA-97C8-6C05A58C44EC}">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 id="{150cfa2a-f5d3-460a-ae30-e92179b1b1a9}" enabled="0" method="" siteId="{150cfa2a-f5d3-460a-ae30-e92179b1b1a9}" removed="1"/>
</clbl:labelList>
</file>

<file path=docProps/app.xml><?xml version="1.0" encoding="utf-8"?>
<Properties xmlns="http://schemas.openxmlformats.org/officeDocument/2006/extended-properties" xmlns:vt="http://schemas.openxmlformats.org/officeDocument/2006/docPropsVTypes">
  <Template>TRANS_WP29_E.dotm</Template>
  <TotalTime>4</TotalTime>
  <Pages>3</Pages>
  <Words>754</Words>
  <Characters>4298</Characters>
  <Application>Microsoft Office Word</Application>
  <DocSecurity>4</DocSecurity>
  <Lines>35</Lines>
  <Paragraphs>10</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ECE/TRANS/WP.29/GRSG/2025/XX</vt:lpstr>
      <vt:lpstr>ECE/TRANS/WP.29/GRSG/2025/8</vt:lpstr>
      <vt:lpstr/>
    </vt:vector>
  </TitlesOfParts>
  <Company>CSD</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ECE/TRANS/WP.29/GRSG/2025/XX</dc:title>
  <dc:subject>2500997</dc:subject>
  <dc:creator>Edoardo Gianotti</dc:creator>
  <cp:keywords/>
  <dc:description/>
  <cp:lastModifiedBy>Benedicte Boudol</cp:lastModifiedBy>
  <cp:revision>2</cp:revision>
  <cp:lastPrinted>2025-01-24T14:01:00Z</cp:lastPrinted>
  <dcterms:created xsi:type="dcterms:W3CDTF">2025-07-18T13:58:00Z</dcterms:created>
  <dcterms:modified xsi:type="dcterms:W3CDTF">2025-07-18T13:58:00Z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ies>
</file>