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F48F4F8" w14:textId="77777777" w:rsidTr="00B20551">
        <w:trPr>
          <w:cantSplit/>
          <w:trHeight w:hRule="exact" w:val="851"/>
        </w:trPr>
        <w:tc>
          <w:tcPr>
            <w:tcW w:w="1276" w:type="dxa"/>
            <w:tcBorders>
              <w:bottom w:val="single" w:sz="4" w:space="0" w:color="auto"/>
            </w:tcBorders>
            <w:vAlign w:val="bottom"/>
          </w:tcPr>
          <w:p w14:paraId="69E79DA0" w14:textId="77777777" w:rsidR="009E6CB7" w:rsidRDefault="009E6CB7" w:rsidP="00B20551">
            <w:pPr>
              <w:spacing w:after="80"/>
            </w:pPr>
          </w:p>
        </w:tc>
        <w:tc>
          <w:tcPr>
            <w:tcW w:w="2268" w:type="dxa"/>
            <w:tcBorders>
              <w:bottom w:val="single" w:sz="4" w:space="0" w:color="auto"/>
            </w:tcBorders>
            <w:vAlign w:val="bottom"/>
          </w:tcPr>
          <w:p w14:paraId="7596E9EC"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9990B08" w14:textId="6E01161C" w:rsidR="009E6CB7" w:rsidRPr="00D47EEA" w:rsidRDefault="00A15D3F" w:rsidP="00A15D3F">
            <w:pPr>
              <w:jc w:val="right"/>
            </w:pPr>
            <w:r w:rsidRPr="00A15D3F">
              <w:rPr>
                <w:sz w:val="40"/>
              </w:rPr>
              <w:t>ECE</w:t>
            </w:r>
            <w:r>
              <w:t>/TRANS/WP.29/GRSP/2025/13</w:t>
            </w:r>
          </w:p>
        </w:tc>
      </w:tr>
      <w:tr w:rsidR="009E6CB7" w14:paraId="0F13DE68" w14:textId="77777777" w:rsidTr="00B20551">
        <w:trPr>
          <w:cantSplit/>
          <w:trHeight w:hRule="exact" w:val="2835"/>
        </w:trPr>
        <w:tc>
          <w:tcPr>
            <w:tcW w:w="1276" w:type="dxa"/>
            <w:tcBorders>
              <w:top w:val="single" w:sz="4" w:space="0" w:color="auto"/>
              <w:bottom w:val="single" w:sz="12" w:space="0" w:color="auto"/>
            </w:tcBorders>
          </w:tcPr>
          <w:p w14:paraId="6CEA975F" w14:textId="77777777" w:rsidR="009E6CB7" w:rsidRDefault="00686A48" w:rsidP="00B20551">
            <w:pPr>
              <w:spacing w:before="120"/>
            </w:pPr>
            <w:r>
              <w:rPr>
                <w:noProof/>
                <w:lang w:val="fr-CH" w:eastAsia="fr-CH"/>
              </w:rPr>
              <w:drawing>
                <wp:inline distT="0" distB="0" distL="0" distR="0" wp14:anchorId="4AA9E909" wp14:editId="735DE40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EBE0A13"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C212399" w14:textId="77777777" w:rsidR="009E6CB7" w:rsidRDefault="00A15D3F" w:rsidP="00A15D3F">
            <w:pPr>
              <w:spacing w:before="240" w:line="240" w:lineRule="exact"/>
            </w:pPr>
            <w:r>
              <w:t>Distr.: General</w:t>
            </w:r>
          </w:p>
          <w:p w14:paraId="578A2676" w14:textId="43879A44" w:rsidR="00A15D3F" w:rsidRDefault="00D5230A" w:rsidP="00A15D3F">
            <w:pPr>
              <w:spacing w:line="240" w:lineRule="exact"/>
            </w:pPr>
            <w:r>
              <w:t>19 September 2025</w:t>
            </w:r>
          </w:p>
          <w:p w14:paraId="14258AB3" w14:textId="77777777" w:rsidR="00A15D3F" w:rsidRDefault="00A15D3F" w:rsidP="00A15D3F">
            <w:pPr>
              <w:spacing w:line="240" w:lineRule="exact"/>
            </w:pPr>
          </w:p>
          <w:p w14:paraId="5B9570C3" w14:textId="7F46BAEF" w:rsidR="00A15D3F" w:rsidRDefault="00A15D3F" w:rsidP="00A15D3F">
            <w:pPr>
              <w:spacing w:line="240" w:lineRule="exact"/>
            </w:pPr>
            <w:r>
              <w:t>Original: English</w:t>
            </w:r>
          </w:p>
        </w:tc>
      </w:tr>
    </w:tbl>
    <w:p w14:paraId="3336A66E" w14:textId="77777777" w:rsidR="002428BC" w:rsidRPr="00371D53" w:rsidRDefault="002428BC" w:rsidP="002428BC">
      <w:pPr>
        <w:spacing w:before="120"/>
        <w:rPr>
          <w:b/>
          <w:sz w:val="28"/>
          <w:szCs w:val="28"/>
        </w:rPr>
      </w:pPr>
      <w:r w:rsidRPr="00371D53">
        <w:rPr>
          <w:b/>
          <w:sz w:val="28"/>
          <w:szCs w:val="28"/>
        </w:rPr>
        <w:t>Economic Commission for Europe</w:t>
      </w:r>
    </w:p>
    <w:p w14:paraId="529B9869" w14:textId="77777777" w:rsidR="002428BC" w:rsidRPr="00371D53" w:rsidRDefault="002428BC" w:rsidP="002428BC">
      <w:pPr>
        <w:spacing w:before="120"/>
        <w:rPr>
          <w:sz w:val="28"/>
          <w:szCs w:val="28"/>
        </w:rPr>
      </w:pPr>
      <w:r w:rsidRPr="00371D53">
        <w:rPr>
          <w:sz w:val="28"/>
          <w:szCs w:val="28"/>
        </w:rPr>
        <w:t>Inland Transport Committee</w:t>
      </w:r>
    </w:p>
    <w:p w14:paraId="3632D4CE" w14:textId="77777777" w:rsidR="002428BC" w:rsidRPr="00371D53" w:rsidRDefault="002428BC" w:rsidP="002428BC">
      <w:pPr>
        <w:spacing w:before="120"/>
        <w:rPr>
          <w:b/>
          <w:sz w:val="24"/>
          <w:szCs w:val="24"/>
        </w:rPr>
      </w:pPr>
      <w:r w:rsidRPr="00371D53">
        <w:rPr>
          <w:b/>
          <w:sz w:val="24"/>
          <w:szCs w:val="24"/>
        </w:rPr>
        <w:t>World Forum for Harmonization of Vehicle Regulations</w:t>
      </w:r>
    </w:p>
    <w:p w14:paraId="571AA273" w14:textId="77777777" w:rsidR="002428BC" w:rsidRPr="00371D53" w:rsidRDefault="002428BC" w:rsidP="002428BC">
      <w:pPr>
        <w:spacing w:before="120" w:after="120"/>
        <w:rPr>
          <w:b/>
          <w:bCs/>
        </w:rPr>
      </w:pPr>
      <w:r w:rsidRPr="00371D53">
        <w:rPr>
          <w:b/>
          <w:bCs/>
        </w:rPr>
        <w:t>Working Party on Passive Safety</w:t>
      </w:r>
    </w:p>
    <w:p w14:paraId="33D6F7C9" w14:textId="77777777" w:rsidR="002428BC" w:rsidRPr="00371D53" w:rsidRDefault="002428BC" w:rsidP="002428BC">
      <w:pPr>
        <w:rPr>
          <w:b/>
        </w:rPr>
      </w:pPr>
      <w:r w:rsidRPr="00371D53">
        <w:rPr>
          <w:b/>
        </w:rPr>
        <w:t>Seventy-</w:t>
      </w:r>
      <w:r>
        <w:rPr>
          <w:b/>
        </w:rPr>
        <w:t>eighth</w:t>
      </w:r>
      <w:r w:rsidRPr="00371D53">
        <w:rPr>
          <w:b/>
        </w:rPr>
        <w:t xml:space="preserve"> session </w:t>
      </w:r>
    </w:p>
    <w:p w14:paraId="58ECA3F9" w14:textId="77777777" w:rsidR="002428BC" w:rsidRPr="00003BAC" w:rsidRDefault="002428BC" w:rsidP="002428BC">
      <w:pPr>
        <w:spacing w:line="240" w:lineRule="auto"/>
      </w:pPr>
      <w:r w:rsidRPr="00003BAC">
        <w:t xml:space="preserve">Geneva, </w:t>
      </w:r>
      <w:r>
        <w:t>1</w:t>
      </w:r>
      <w:r w:rsidRPr="00003BAC">
        <w:t>–</w:t>
      </w:r>
      <w:r>
        <w:t>4</w:t>
      </w:r>
      <w:r w:rsidRPr="00003BAC">
        <w:t xml:space="preserve"> </w:t>
      </w:r>
      <w:r>
        <w:t xml:space="preserve">December </w:t>
      </w:r>
      <w:r w:rsidRPr="00003BAC">
        <w:t>2025</w:t>
      </w:r>
    </w:p>
    <w:p w14:paraId="169A3517" w14:textId="77777777" w:rsidR="000605AC" w:rsidRPr="00B16B68" w:rsidRDefault="000605AC" w:rsidP="000605AC">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34F36CFA" w14:textId="77777777" w:rsidR="000605AC" w:rsidRPr="00B16B68" w:rsidRDefault="000605AC" w:rsidP="000605AC">
      <w:r w:rsidRPr="00DF2EAB">
        <w:rPr>
          <w:b/>
        </w:rPr>
        <w:t>Collective amendments to UN Regulations that impact automated vehicles</w:t>
      </w:r>
    </w:p>
    <w:p w14:paraId="527233E9" w14:textId="6F251FB9" w:rsidR="002428BC" w:rsidRDefault="002428BC" w:rsidP="002428BC">
      <w:pPr>
        <w:pStyle w:val="HChG"/>
      </w:pPr>
      <w:r>
        <w:tab/>
      </w:r>
      <w:r>
        <w:tab/>
      </w:r>
      <w:r w:rsidRPr="0079666C">
        <w:t xml:space="preserve">Proposal for </w:t>
      </w:r>
      <w:r w:rsidR="0069464E" w:rsidRPr="00372A29">
        <w:t>supplement 5 to the 09 series</w:t>
      </w:r>
      <w:r w:rsidR="0069464E" w:rsidRPr="00536403">
        <w:t xml:space="preserve"> of amendments to </w:t>
      </w:r>
      <w:bookmarkStart w:id="0" w:name="_Hlk206597886"/>
      <w:bookmarkStart w:id="1" w:name="_Hlk206597846"/>
      <w:r w:rsidR="0069464E" w:rsidRPr="00536403">
        <w:t>UN Regulation No. 14 (Safety-belt anchorages</w:t>
      </w:r>
      <w:bookmarkEnd w:id="0"/>
      <w:r w:rsidR="0069464E" w:rsidRPr="00536403">
        <w:t>)</w:t>
      </w:r>
      <w:bookmarkEnd w:id="1"/>
    </w:p>
    <w:p w14:paraId="023E4F16" w14:textId="6140F422" w:rsidR="002428BC" w:rsidRDefault="002428BC" w:rsidP="002428BC">
      <w:pPr>
        <w:pStyle w:val="H1G"/>
        <w:rPr>
          <w:sz w:val="20"/>
        </w:rPr>
      </w:pPr>
      <w:r>
        <w:tab/>
      </w:r>
      <w:r>
        <w:tab/>
        <w:t xml:space="preserve">Submitted by the </w:t>
      </w:r>
      <w:r>
        <w:rPr>
          <w:spacing w:val="-4"/>
        </w:rPr>
        <w:t>expert from</w:t>
      </w:r>
      <w:r w:rsidR="00F43003" w:rsidRPr="00F43003">
        <w:t xml:space="preserve"> </w:t>
      </w:r>
      <w:r w:rsidR="00F43003" w:rsidRPr="003172C7">
        <w:t xml:space="preserve">Germany on behalf of the </w:t>
      </w:r>
      <w:r w:rsidR="00F43003" w:rsidRPr="00CD08B8">
        <w:t>GRSP Task Force on Automated Vehicles Regulation Screening</w:t>
      </w:r>
      <w:r w:rsidR="00F43003">
        <w:t xml:space="preserve"> </w:t>
      </w:r>
      <w:r w:rsidR="00F43003" w:rsidRPr="00CD08B8">
        <w:t>(</w:t>
      </w:r>
      <w:r w:rsidR="00F43003">
        <w:t>TF-</w:t>
      </w:r>
      <w:r w:rsidR="00F43003" w:rsidRPr="00CD08B8">
        <w:t>AVRS)</w:t>
      </w:r>
      <w:r>
        <w:rPr>
          <w:spacing w:val="-4"/>
        </w:rPr>
        <w:t xml:space="preserve"> </w:t>
      </w:r>
      <w:r w:rsidRPr="00122355">
        <w:rPr>
          <w:rStyle w:val="FootnoteReference"/>
          <w:sz w:val="20"/>
          <w:vertAlign w:val="baseline"/>
        </w:rPr>
        <w:footnoteReference w:customMarkFollows="1" w:id="2"/>
        <w:t>*</w:t>
      </w:r>
    </w:p>
    <w:p w14:paraId="2B6C9F83" w14:textId="288151C8" w:rsidR="002428BC" w:rsidRDefault="002428BC" w:rsidP="002428BC">
      <w:pPr>
        <w:pStyle w:val="SingleTxtG"/>
      </w:pPr>
      <w:r>
        <w:rPr>
          <w:rStyle w:val="FootnoteReference"/>
          <w:sz w:val="20"/>
          <w:vertAlign w:val="baseline"/>
        </w:rPr>
        <w:tab/>
      </w:r>
      <w:r w:rsidRPr="004E3F12">
        <w:rPr>
          <w:rStyle w:val="FootnoteReference"/>
          <w:sz w:val="20"/>
          <w:vertAlign w:val="baseline"/>
        </w:rPr>
        <w:t xml:space="preserve">The text reproduced below </w:t>
      </w:r>
      <w:r w:rsidR="00A47301" w:rsidRPr="00372A29">
        <w:t xml:space="preserve">was prepared by the expert from Germany on behalf of </w:t>
      </w:r>
      <w:r w:rsidR="003659B5">
        <w:t>TF-</w:t>
      </w:r>
      <w:r w:rsidR="003659B5" w:rsidRPr="00CD08B8">
        <w:t>AVRS</w:t>
      </w:r>
      <w:r w:rsidR="00A47301" w:rsidRPr="00372A29">
        <w:t xml:space="preserve">, to enable the application of the regulation to vehicles equipped with an ADS. The modifications to the existing text of the UN Regulation are marked in </w:t>
      </w:r>
      <w:r w:rsidR="00A47301" w:rsidRPr="00372A29">
        <w:rPr>
          <w:bCs/>
        </w:rPr>
        <w:t>bold</w:t>
      </w:r>
      <w:r w:rsidR="00A47301" w:rsidRPr="00372A29">
        <w:t xml:space="preserve"> for new or strikethrough for deleted characters. This document is superseding </w:t>
      </w:r>
      <w:r w:rsidR="003659B5">
        <w:t>i</w:t>
      </w:r>
      <w:r w:rsidR="00A47301" w:rsidRPr="00372A29">
        <w:t xml:space="preserve">nformal </w:t>
      </w:r>
      <w:r w:rsidR="003659B5">
        <w:t>d</w:t>
      </w:r>
      <w:r w:rsidR="00A47301" w:rsidRPr="00372A29">
        <w:t>ocument GRSP-77-58.</w:t>
      </w:r>
    </w:p>
    <w:p w14:paraId="013037FE" w14:textId="77777777" w:rsidR="002428BC" w:rsidRDefault="002428BC" w:rsidP="002428BC">
      <w:r>
        <w:br w:type="page"/>
      </w:r>
    </w:p>
    <w:p w14:paraId="31E0B5C2" w14:textId="77777777" w:rsidR="002428BC" w:rsidRPr="004E3F12" w:rsidRDefault="002428BC" w:rsidP="002428BC">
      <w:pPr>
        <w:pStyle w:val="HChG"/>
      </w:pPr>
      <w:r>
        <w:lastRenderedPageBreak/>
        <w:tab/>
        <w:t>I.</w:t>
      </w:r>
      <w:r>
        <w:tab/>
      </w:r>
      <w:r w:rsidRPr="004E3F12">
        <w:t>Proposal</w:t>
      </w:r>
    </w:p>
    <w:p w14:paraId="5B3991BC" w14:textId="77777777" w:rsidR="009F1CEB" w:rsidRPr="007455C2" w:rsidRDefault="009F1CEB" w:rsidP="009F1CEB">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4A98C44B" w14:textId="77777777" w:rsidR="009F1CEB" w:rsidRPr="00E827D3" w:rsidRDefault="009F1CEB" w:rsidP="009F1CEB">
      <w:pPr>
        <w:pStyle w:val="SingleTxtG"/>
        <w:tabs>
          <w:tab w:val="clear" w:pos="1701"/>
          <w:tab w:val="clear" w:pos="2268"/>
          <w:tab w:val="clear" w:pos="2835"/>
        </w:tabs>
        <w:ind w:left="2268" w:hanging="1134"/>
        <w:rPr>
          <w:rFonts w:eastAsiaTheme="minorEastAsia"/>
          <w:b/>
          <w:bCs/>
          <w:sz w:val="28"/>
          <w:szCs w:val="28"/>
        </w:rPr>
      </w:pPr>
      <w:r w:rsidRPr="003F728E">
        <w:rPr>
          <w:rFonts w:eastAsiaTheme="minorEastAsia"/>
          <w:sz w:val="28"/>
          <w:szCs w:val="28"/>
        </w:rPr>
        <w:t>“</w:t>
      </w:r>
      <w:r w:rsidRPr="00E827D3">
        <w:rPr>
          <w:rFonts w:eastAsiaTheme="minorEastAsia"/>
          <w:b/>
          <w:bCs/>
          <w:sz w:val="28"/>
          <w:szCs w:val="28"/>
        </w:rPr>
        <w:t>0.</w:t>
      </w:r>
      <w:r w:rsidRPr="00E827D3">
        <w:rPr>
          <w:rFonts w:eastAsiaTheme="minorEastAsia"/>
          <w:b/>
          <w:bCs/>
          <w:sz w:val="28"/>
          <w:szCs w:val="28"/>
        </w:rPr>
        <w:tab/>
        <w:t xml:space="preserve">Introduction </w:t>
      </w:r>
    </w:p>
    <w:p w14:paraId="61AF59C5" w14:textId="77777777" w:rsidR="009F1CEB" w:rsidRPr="007D173D" w:rsidRDefault="009F1CEB" w:rsidP="009F1CEB">
      <w:pPr>
        <w:pStyle w:val="SingleTxtG"/>
        <w:tabs>
          <w:tab w:val="clear" w:pos="1701"/>
          <w:tab w:val="clear" w:pos="2268"/>
          <w:tab w:val="clear" w:pos="2835"/>
        </w:tabs>
        <w:ind w:left="2268" w:hanging="1134"/>
        <w:rPr>
          <w:rFonts w:eastAsiaTheme="minorEastAsia"/>
        </w:rPr>
      </w:pPr>
      <w:r w:rsidRPr="007D173D">
        <w:rPr>
          <w:rFonts w:eastAsiaTheme="minorEastAsia"/>
        </w:rPr>
        <w:t>0.1.</w:t>
      </w:r>
      <w:r w:rsidRPr="007D173D">
        <w:rPr>
          <w:rFonts w:eastAsiaTheme="minorEastAsia"/>
        </w:rPr>
        <w:tab/>
        <w:t xml:space="preserve">For </w:t>
      </w:r>
      <w:r w:rsidRPr="007D173D">
        <w:t>supplement 5 to the 09 series of amendments:</w:t>
      </w:r>
      <w:r w:rsidRPr="007D173D">
        <w:rPr>
          <w:rFonts w:eastAsiaTheme="minorEastAsia"/>
        </w:rPr>
        <w:t xml:space="preserve"> </w:t>
      </w:r>
    </w:p>
    <w:p w14:paraId="1F13C352" w14:textId="77777777" w:rsidR="009F1CEB" w:rsidRPr="007D173D" w:rsidRDefault="009F1CEB" w:rsidP="009F1CEB">
      <w:pPr>
        <w:pStyle w:val="SingleTxtG"/>
        <w:tabs>
          <w:tab w:val="clear" w:pos="1701"/>
          <w:tab w:val="clear" w:pos="2268"/>
          <w:tab w:val="clear" w:pos="2835"/>
        </w:tabs>
        <w:ind w:left="2268" w:hanging="1134"/>
        <w:rPr>
          <w:rFonts w:eastAsiaTheme="minorEastAsia"/>
          <w:color w:val="000000" w:themeColor="text1"/>
        </w:rPr>
      </w:pPr>
      <w:r w:rsidRPr="007D173D">
        <w:rPr>
          <w:rFonts w:eastAsiaTheme="minorEastAsia"/>
          <w:color w:val="000000" w:themeColor="text1"/>
        </w:rPr>
        <w:t>0.1.1.</w:t>
      </w:r>
      <w:r w:rsidRPr="007D173D">
        <w:rPr>
          <w:rFonts w:eastAsiaTheme="minorEastAsia"/>
          <w:color w:val="000000" w:themeColor="text1"/>
        </w:rPr>
        <w:tab/>
        <w:t>The Regulation is amended to account for vehicles of categor</w:t>
      </w:r>
      <w:r w:rsidRPr="007D173D">
        <w:rPr>
          <w:rFonts w:eastAsiaTheme="minorEastAsia"/>
        </w:rPr>
        <w:t>y X</w:t>
      </w:r>
      <w:r w:rsidRPr="007D173D">
        <w:rPr>
          <w:rFonts w:eastAsiaTheme="minorEastAsia"/>
          <w:vertAlign w:val="superscript"/>
        </w:rPr>
        <w:t>1</w:t>
      </w:r>
      <w:r w:rsidRPr="007D173D">
        <w:rPr>
          <w:rFonts w:eastAsiaTheme="minorEastAsia"/>
        </w:rPr>
        <w:t>.</w:t>
      </w:r>
    </w:p>
    <w:p w14:paraId="5438D1B7" w14:textId="77777777" w:rsidR="009F1CEB" w:rsidRPr="007D173D" w:rsidRDefault="009F1CEB" w:rsidP="009F1CEB">
      <w:pPr>
        <w:pStyle w:val="SingleTxtG"/>
        <w:tabs>
          <w:tab w:val="clear" w:pos="1701"/>
          <w:tab w:val="clear" w:pos="2268"/>
          <w:tab w:val="clear" w:pos="2835"/>
        </w:tabs>
        <w:ind w:left="2268" w:hanging="1134"/>
        <w:rPr>
          <w:rFonts w:eastAsiaTheme="minorEastAsia"/>
          <w:color w:val="000000" w:themeColor="text1"/>
        </w:rPr>
      </w:pPr>
      <w:r w:rsidRPr="007D173D">
        <w:rPr>
          <w:rFonts w:eastAsiaTheme="minorEastAsia"/>
          <w:color w:val="000000" w:themeColor="text1"/>
        </w:rPr>
        <w:t xml:space="preserve">0.1.2. </w:t>
      </w:r>
      <w:r w:rsidRPr="007D173D">
        <w:rPr>
          <w:rFonts w:eastAsiaTheme="minorEastAsia"/>
          <w:color w:val="000000" w:themeColor="text1"/>
        </w:rPr>
        <w:tab/>
      </w:r>
      <w:r w:rsidRPr="007D173D">
        <w:rPr>
          <w:rFonts w:eastAsiaTheme="minorEastAsia"/>
        </w:rPr>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w:t>
      </w:r>
      <w:r w:rsidRPr="007D173D">
        <w:rPr>
          <w:rFonts w:eastAsiaTheme="minorEastAsia"/>
          <w:color w:val="000000" w:themeColor="text1"/>
        </w:rPr>
        <w:t>in the vehicle</w:t>
      </w:r>
      <w:r w:rsidRPr="007D173D">
        <w:rPr>
          <w:rFonts w:eastAsiaTheme="minorEastAsia"/>
        </w:rPr>
        <w:t>. In the absence of driver/manual driving controls in the vehicle, provisions related to them shall not be taken into account if not already covered by this amendment.</w:t>
      </w:r>
    </w:p>
    <w:p w14:paraId="22D24AC6" w14:textId="065E3CD9" w:rsidR="009F1CEB" w:rsidRPr="007D173D" w:rsidRDefault="009F1CEB" w:rsidP="009F1CEB">
      <w:pPr>
        <w:pStyle w:val="SingleTxtG"/>
        <w:tabs>
          <w:tab w:val="clear" w:pos="1701"/>
          <w:tab w:val="clear" w:pos="2268"/>
          <w:tab w:val="clear" w:pos="2835"/>
        </w:tabs>
        <w:ind w:left="2268" w:hanging="1134"/>
        <w:rPr>
          <w:rFonts w:eastAsiaTheme="minorEastAsia"/>
        </w:rPr>
      </w:pPr>
      <w:bookmarkStart w:id="2" w:name="_Hlk182312371"/>
      <w:r w:rsidRPr="007D173D">
        <w:rPr>
          <w:rFonts w:eastAsiaTheme="minorEastAsia"/>
        </w:rPr>
        <w:t xml:space="preserve">0.1.3. </w:t>
      </w:r>
      <w:r w:rsidRPr="007D173D">
        <w:rPr>
          <w:rFonts w:eastAsiaTheme="minorEastAsia"/>
        </w:rPr>
        <w:tab/>
        <w:t>In case of vehicles equipped with an Automated Driving System (ADS)</w:t>
      </w:r>
      <w:r w:rsidRPr="007D173D">
        <w:rPr>
          <w:rFonts w:eastAsiaTheme="minorEastAsia"/>
          <w:vertAlign w:val="superscript"/>
        </w:rPr>
        <w:t>1</w:t>
      </w:r>
      <w:r w:rsidRPr="007D173D">
        <w:rPr>
          <w:rFonts w:eastAsiaTheme="minorEastAsia"/>
        </w:rPr>
        <w:t xml:space="preserve"> other than vehicles of categories X and Y, in the manual driving mode no special provisions or exemptions apply. In a mode where an ADS feature is active the relevant ADS requirements apply.</w:t>
      </w:r>
      <w:r w:rsidR="003F728E" w:rsidRPr="007D173D">
        <w:rPr>
          <w:rFonts w:eastAsiaTheme="minorEastAsia"/>
        </w:rPr>
        <w:t>”</w:t>
      </w:r>
    </w:p>
    <w:p w14:paraId="1507DA0A" w14:textId="77777777" w:rsidR="009F1CEB" w:rsidRPr="000341EB" w:rsidRDefault="009F1CEB" w:rsidP="009F1CEB">
      <w:pPr>
        <w:pStyle w:val="SingleTxtG"/>
        <w:keepNext/>
        <w:tabs>
          <w:tab w:val="clear" w:pos="1701"/>
          <w:tab w:val="clear" w:pos="2268"/>
          <w:tab w:val="clear" w:pos="2835"/>
        </w:tabs>
        <w:rPr>
          <w:bCs/>
        </w:rPr>
      </w:pPr>
      <w:r w:rsidRPr="00F252A8">
        <w:rPr>
          <w:i/>
        </w:rPr>
        <w:t>Paragraph</w:t>
      </w:r>
      <w:r>
        <w:rPr>
          <w:i/>
        </w:rPr>
        <w:t xml:space="preserve"> 1.</w:t>
      </w:r>
      <w:r w:rsidRPr="00F252A8">
        <w:rPr>
          <w:i/>
          <w:iCs/>
        </w:rPr>
        <w:t>,</w:t>
      </w:r>
      <w:r>
        <w:rPr>
          <w:i/>
          <w:iCs/>
        </w:rPr>
        <w:t xml:space="preserve"> </w:t>
      </w:r>
      <w:r w:rsidRPr="009345C7">
        <w:t>amend to read:</w:t>
      </w:r>
    </w:p>
    <w:bookmarkEnd w:id="2"/>
    <w:p w14:paraId="69445BD1" w14:textId="77777777" w:rsidR="009F1CEB" w:rsidRDefault="009F1CEB" w:rsidP="009F1CEB">
      <w:pPr>
        <w:pStyle w:val="SingleTxtG"/>
        <w:tabs>
          <w:tab w:val="clear" w:pos="1701"/>
          <w:tab w:val="clear" w:pos="2268"/>
          <w:tab w:val="clear" w:pos="2835"/>
        </w:tabs>
        <w:ind w:left="2268" w:hanging="1134"/>
      </w:pPr>
      <w:r>
        <w:t>“1.</w:t>
      </w:r>
      <w:r>
        <w:tab/>
      </w:r>
      <w:r w:rsidRPr="008E055B">
        <w:t>Scope</w:t>
      </w:r>
    </w:p>
    <w:p w14:paraId="7E8344E0" w14:textId="77777777" w:rsidR="009F1CEB" w:rsidRPr="008E055B" w:rsidRDefault="009F1CEB" w:rsidP="009F1CEB">
      <w:pPr>
        <w:pStyle w:val="SingleTxtG"/>
        <w:tabs>
          <w:tab w:val="clear" w:pos="1701"/>
          <w:tab w:val="clear" w:pos="2268"/>
          <w:tab w:val="clear" w:pos="2835"/>
        </w:tabs>
        <w:ind w:left="2268" w:hanging="1134"/>
      </w:pPr>
      <w:r>
        <w:tab/>
      </w:r>
      <w:r w:rsidRPr="008E055B">
        <w:t>This Regulation applies to</w:t>
      </w:r>
      <w:r w:rsidRPr="00756721">
        <w:t xml:space="preserve">: </w:t>
      </w:r>
      <w:r w:rsidRPr="00D90322">
        <w:rPr>
          <w:b/>
          <w:strike/>
        </w:rPr>
        <w:t xml:space="preserve"> </w:t>
      </w:r>
      <w:proofErr w:type="spellStart"/>
      <w:r w:rsidRPr="004919F9">
        <w:rPr>
          <w:strike/>
        </w:rPr>
        <w:t>V</w:t>
      </w:r>
      <w:r w:rsidRPr="004919F9">
        <w:rPr>
          <w:b/>
        </w:rPr>
        <w:t>v</w:t>
      </w:r>
      <w:r w:rsidRPr="008E055B">
        <w:t>ehicles</w:t>
      </w:r>
      <w:proofErr w:type="spellEnd"/>
      <w:r w:rsidRPr="008E055B">
        <w:t xml:space="preserve"> of categories M and N</w:t>
      </w:r>
      <w:r w:rsidRPr="008E055B">
        <w:rPr>
          <w:vertAlign w:val="superscript"/>
        </w:rPr>
        <w:t>1</w:t>
      </w:r>
      <w:r w:rsidRPr="008E055B">
        <w:t xml:space="preserve"> with regard to their anchorages for safety-belts intended for adult occupants of forward-facing or rearward-facing or side-facing seats</w:t>
      </w:r>
      <w:r>
        <w:t>;</w:t>
      </w:r>
      <w:r w:rsidRPr="008E055B">
        <w:t xml:space="preserve"> </w:t>
      </w:r>
    </w:p>
    <w:p w14:paraId="0CF6516B" w14:textId="77777777" w:rsidR="009F1CEB" w:rsidRPr="0008142F" w:rsidRDefault="009F1CEB" w:rsidP="009F1CEB">
      <w:pPr>
        <w:pStyle w:val="SingleTxtG"/>
        <w:tabs>
          <w:tab w:val="clear" w:pos="1701"/>
          <w:tab w:val="clear" w:pos="2268"/>
          <w:tab w:val="clear" w:pos="2835"/>
        </w:tabs>
        <w:ind w:left="2268" w:hanging="1134"/>
      </w:pPr>
      <w:r>
        <w:rPr>
          <w:b/>
          <w:bCs/>
        </w:rPr>
        <w:tab/>
      </w:r>
      <w:r w:rsidRPr="00372A29">
        <w:rPr>
          <w:b/>
          <w:bCs/>
        </w:rPr>
        <w:t>This regulation does not apply to vehicles of category Y.”</w:t>
      </w:r>
    </w:p>
    <w:p w14:paraId="3173ACAC" w14:textId="77777777" w:rsidR="009F1CEB" w:rsidRPr="0008142F" w:rsidRDefault="009F1CEB" w:rsidP="00E827D3">
      <w:pPr>
        <w:pStyle w:val="SingleTxtG"/>
        <w:tabs>
          <w:tab w:val="clear" w:pos="1701"/>
          <w:tab w:val="clear" w:pos="2268"/>
          <w:tab w:val="clear" w:pos="2835"/>
        </w:tabs>
        <w:ind w:left="2268" w:hanging="1134"/>
        <w:rPr>
          <w:rFonts w:eastAsia="DengXian"/>
          <w:i/>
          <w:lang w:eastAsia="zh-CN"/>
        </w:rPr>
      </w:pPr>
      <w:r>
        <w:rPr>
          <w:rFonts w:eastAsia="DengXian"/>
          <w:i/>
          <w:lang w:eastAsia="zh-CN"/>
        </w:rPr>
        <w:t>F</w:t>
      </w:r>
      <w:r w:rsidRPr="0008142F">
        <w:rPr>
          <w:rFonts w:eastAsia="DengXian"/>
          <w:i/>
          <w:lang w:eastAsia="zh-CN"/>
        </w:rPr>
        <w:t xml:space="preserve">ootnote 1, </w:t>
      </w:r>
      <w:r w:rsidRPr="0008142F">
        <w:rPr>
          <w:rFonts w:eastAsia="DengXian"/>
          <w:iCs/>
          <w:lang w:eastAsia="zh-CN"/>
        </w:rPr>
        <w:t xml:space="preserve">amend </w:t>
      </w:r>
      <w:r w:rsidRPr="00877095">
        <w:t>to</w:t>
      </w:r>
      <w:r w:rsidRPr="0008142F">
        <w:rPr>
          <w:rFonts w:eastAsia="DengXian"/>
          <w:iCs/>
          <w:lang w:eastAsia="zh-CN"/>
        </w:rPr>
        <w:t xml:space="preserve"> read:</w:t>
      </w:r>
    </w:p>
    <w:p w14:paraId="3DB4216B" w14:textId="354B2BCC" w:rsidR="009F1CEB" w:rsidRPr="00414B22" w:rsidRDefault="009F1CEB" w:rsidP="00E827D3">
      <w:pPr>
        <w:pStyle w:val="SingleTxtG"/>
        <w:tabs>
          <w:tab w:val="clear" w:pos="1701"/>
          <w:tab w:val="clear" w:pos="2268"/>
          <w:tab w:val="clear" w:pos="2835"/>
        </w:tabs>
        <w:ind w:left="2268" w:hanging="1134"/>
        <w:rPr>
          <w:iCs/>
          <w:color w:val="0000FF"/>
          <w:szCs w:val="18"/>
        </w:rPr>
      </w:pPr>
      <w:r w:rsidRPr="003F728E">
        <w:rPr>
          <w:szCs w:val="18"/>
        </w:rPr>
        <w:t>“</w:t>
      </w:r>
      <w:r w:rsidRPr="003F728E">
        <w:rPr>
          <w:szCs w:val="18"/>
          <w:vertAlign w:val="superscript"/>
        </w:rPr>
        <w:t>1</w:t>
      </w:r>
      <w:r w:rsidR="003F728E" w:rsidRPr="003F728E">
        <w:rPr>
          <w:szCs w:val="18"/>
        </w:rPr>
        <w:tab/>
      </w:r>
      <w:r w:rsidRPr="00372A29">
        <w:rPr>
          <w:szCs w:val="18"/>
        </w:rPr>
        <w:t xml:space="preserve">As </w:t>
      </w:r>
      <w:r w:rsidRPr="00372A29">
        <w:t>defined</w:t>
      </w:r>
      <w:r w:rsidRPr="00372A29">
        <w:rPr>
          <w:szCs w:val="18"/>
        </w:rPr>
        <w:t xml:space="preserve"> in the Consolidated Resolution on the Construction of Vehicles (R.E.3.), document ECE/TRANS/WP.29/78/Rev.</w:t>
      </w:r>
      <w:r w:rsidRPr="00372A29">
        <w:rPr>
          <w:strike/>
          <w:szCs w:val="18"/>
        </w:rPr>
        <w:t>7</w:t>
      </w:r>
      <w:r w:rsidRPr="00372A29">
        <w:rPr>
          <w:b/>
          <w:bCs/>
          <w:szCs w:val="18"/>
        </w:rPr>
        <w:t>8</w:t>
      </w:r>
      <w:r w:rsidRPr="00372A29">
        <w:rPr>
          <w:szCs w:val="18"/>
        </w:rPr>
        <w:t xml:space="preserve">, para. 2 - </w:t>
      </w:r>
      <w:r w:rsidRPr="00372A29">
        <w:rPr>
          <w:szCs w:val="18"/>
        </w:rPr>
        <w:br/>
      </w:r>
      <w:hyperlink r:id="rId12" w:history="1">
        <w:r w:rsidRPr="00372A29">
          <w:rPr>
            <w:rStyle w:val="Hyperlink"/>
            <w:szCs w:val="18"/>
          </w:rPr>
          <w:t>https://unece.org/transport/vehicle-regulations/wp29/resolutions</w:t>
        </w:r>
      </w:hyperlink>
      <w:r w:rsidRPr="00372A29">
        <w:rPr>
          <w:rStyle w:val="Hyperlink"/>
          <w:iCs/>
          <w:color w:val="auto"/>
          <w:szCs w:val="18"/>
        </w:rPr>
        <w:t>”</w:t>
      </w:r>
    </w:p>
    <w:p w14:paraId="4CC9319B" w14:textId="77777777" w:rsidR="009F1CEB" w:rsidRDefault="009F1CEB" w:rsidP="009F1CEB">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2.6.1., </w:t>
      </w:r>
      <w:r w:rsidRPr="000B5AB9">
        <w:rPr>
          <w:iCs/>
        </w:rPr>
        <w:t>amend to read:</w:t>
      </w:r>
      <w:r>
        <w:rPr>
          <w:i/>
          <w:iCs/>
        </w:rPr>
        <w:t xml:space="preserve"> </w:t>
      </w:r>
    </w:p>
    <w:p w14:paraId="5D80EF02" w14:textId="77777777" w:rsidR="009F1CEB" w:rsidRPr="0008142F" w:rsidRDefault="009F1CEB" w:rsidP="009F1CEB">
      <w:pPr>
        <w:pStyle w:val="SingleTxtG"/>
        <w:tabs>
          <w:tab w:val="clear" w:pos="1701"/>
          <w:tab w:val="clear" w:pos="2268"/>
          <w:tab w:val="clear" w:pos="2835"/>
        </w:tabs>
        <w:ind w:left="2268" w:hanging="1134"/>
        <w:rPr>
          <w:snapToGrid w:val="0"/>
        </w:rPr>
      </w:pPr>
      <w:r>
        <w:rPr>
          <w:snapToGrid w:val="0"/>
        </w:rPr>
        <w:t>“2.6.1.</w:t>
      </w:r>
      <w:r>
        <w:rPr>
          <w:snapToGrid w:val="0"/>
        </w:rPr>
        <w:tab/>
      </w:r>
      <w:r w:rsidRPr="00BC2225">
        <w:rPr>
          <w:i/>
          <w:iCs/>
          <w:snapToGrid w:val="0"/>
        </w:rPr>
        <w:t>"A front passenger seat"</w:t>
      </w:r>
      <w:r w:rsidRPr="0008142F">
        <w:rPr>
          <w:snapToGrid w:val="0"/>
        </w:rPr>
        <w:t xml:space="preserve"> means any seat where the "foremost H-point" of the seat in question is in or in front of the vertical transverse plane through the driver's R-point. </w:t>
      </w:r>
      <w:r w:rsidRPr="0008142F">
        <w:rPr>
          <w:b/>
          <w:bCs/>
          <w:snapToGrid w:val="0"/>
        </w:rPr>
        <w:t xml:space="preserve">For vehicles of category </w:t>
      </w:r>
      <w:r>
        <w:rPr>
          <w:b/>
          <w:bCs/>
          <w:snapToGrid w:val="0"/>
        </w:rPr>
        <w:t>X</w:t>
      </w:r>
      <w:r w:rsidRPr="0008142F">
        <w:rPr>
          <w:b/>
          <w:bCs/>
          <w:snapToGrid w:val="0"/>
        </w:rPr>
        <w:t>, the "R" point of the most forward passenger seat shall be taken instead of the R-point of the driver's seat.</w:t>
      </w:r>
      <w:r>
        <w:rPr>
          <w:b/>
          <w:bCs/>
          <w:snapToGrid w:val="0"/>
        </w:rPr>
        <w:t>”</w:t>
      </w:r>
    </w:p>
    <w:p w14:paraId="507AE77B" w14:textId="77777777" w:rsidR="009F1CEB" w:rsidRDefault="009F1CEB" w:rsidP="009F1CEB">
      <w:pPr>
        <w:pStyle w:val="SingleTxtG"/>
        <w:keepNext/>
        <w:tabs>
          <w:tab w:val="clear" w:pos="1701"/>
          <w:tab w:val="clear" w:pos="2268"/>
          <w:tab w:val="clear" w:pos="2835"/>
        </w:tabs>
      </w:pPr>
      <w:r>
        <w:rPr>
          <w:i/>
          <w:iCs/>
        </w:rPr>
        <w:t>P</w:t>
      </w:r>
      <w:r w:rsidRPr="005D764E">
        <w:rPr>
          <w:i/>
          <w:iCs/>
        </w:rPr>
        <w:t xml:space="preserve">aragraph </w:t>
      </w:r>
      <w:r w:rsidRPr="008A25E5">
        <w:rPr>
          <w:i/>
          <w:iCs/>
        </w:rPr>
        <w:t>5.</w:t>
      </w:r>
      <w:r>
        <w:rPr>
          <w:i/>
          <w:iCs/>
        </w:rPr>
        <w:t xml:space="preserve">1.6., </w:t>
      </w:r>
      <w:r>
        <w:t>amend to read:</w:t>
      </w:r>
    </w:p>
    <w:p w14:paraId="160F46DB" w14:textId="77777777" w:rsidR="009F1CEB" w:rsidRDefault="009F1CEB" w:rsidP="009F1CEB">
      <w:pPr>
        <w:pStyle w:val="SingleTxtG"/>
        <w:tabs>
          <w:tab w:val="clear" w:pos="1701"/>
          <w:tab w:val="clear" w:pos="2268"/>
          <w:tab w:val="clear" w:pos="2835"/>
        </w:tabs>
        <w:ind w:left="2268" w:hanging="1134"/>
        <w:rPr>
          <w:b/>
        </w:rPr>
      </w:pPr>
      <w:r>
        <w:t xml:space="preserve">“5.1.6. </w:t>
      </w:r>
      <w:r>
        <w:tab/>
        <w:t xml:space="preserve">S is the distance in millimetres of the effective upper belt anchorages from a reference plane P parallel to the longitudinal median plane of the vehicle </w:t>
      </w:r>
      <w:r w:rsidRPr="000B5AB9">
        <w:rPr>
          <w:b/>
        </w:rPr>
        <w:t>as</w:t>
      </w:r>
      <w:r>
        <w:t xml:space="preserve"> defined </w:t>
      </w:r>
      <w:r w:rsidRPr="00365E7D">
        <w:rPr>
          <w:strike/>
        </w:rPr>
        <w:t>as follows:</w:t>
      </w:r>
      <w:r>
        <w:t xml:space="preserve"> </w:t>
      </w:r>
      <w:r w:rsidRPr="000B5AB9">
        <w:rPr>
          <w:b/>
        </w:rPr>
        <w:t>below.</w:t>
      </w:r>
    </w:p>
    <w:p w14:paraId="631E0BFC" w14:textId="77777777" w:rsidR="009F1CEB" w:rsidRDefault="009F1CEB" w:rsidP="009F1CEB">
      <w:pPr>
        <w:pStyle w:val="SingleTxtG"/>
        <w:tabs>
          <w:tab w:val="clear" w:pos="1701"/>
          <w:tab w:val="clear" w:pos="2268"/>
          <w:tab w:val="clear" w:pos="2835"/>
        </w:tabs>
        <w:ind w:left="2268" w:hanging="1134"/>
      </w:pPr>
      <w:r>
        <w:tab/>
      </w:r>
      <w:r w:rsidRPr="00D454C2">
        <w:rPr>
          <w:rStyle w:val="ui-provider"/>
          <w:b/>
          <w:bCs/>
        </w:rPr>
        <w:t>For vehicles other than category X</w:t>
      </w:r>
      <w:r>
        <w:rPr>
          <w:b/>
          <w:lang w:val="en-IE" w:eastAsia="en-IE"/>
        </w:rPr>
        <w:t>, the procedure set out in paragraphs 5.1.6.1. to 5.1.6.3. shall be used, as applicable.</w:t>
      </w:r>
    </w:p>
    <w:p w14:paraId="12BEA6E1" w14:textId="77777777" w:rsidR="009F1CEB" w:rsidRDefault="009F1CEB" w:rsidP="009F1CEB">
      <w:pPr>
        <w:pStyle w:val="SingleTxtG"/>
        <w:tabs>
          <w:tab w:val="clear" w:pos="1701"/>
          <w:tab w:val="clear" w:pos="2268"/>
          <w:tab w:val="clear" w:pos="2835"/>
        </w:tabs>
        <w:ind w:left="2268" w:hanging="1134"/>
        <w:rPr>
          <w:b/>
          <w:bCs/>
          <w:lang w:val="en-IE" w:eastAsia="en-IE"/>
        </w:rPr>
      </w:pPr>
      <w:r>
        <w:tab/>
      </w:r>
      <w:r w:rsidRPr="0008142F">
        <w:rPr>
          <w:b/>
          <w:bCs/>
          <w:lang w:val="en-IE" w:eastAsia="en-IE"/>
        </w:rPr>
        <w:t xml:space="preserve">For vehicles of category </w:t>
      </w:r>
      <w:r>
        <w:rPr>
          <w:b/>
          <w:bCs/>
          <w:lang w:val="en-IE" w:eastAsia="en-IE"/>
        </w:rPr>
        <w:t>X</w:t>
      </w:r>
      <w:r w:rsidRPr="0008142F">
        <w:rPr>
          <w:b/>
          <w:bCs/>
          <w:lang w:val="en-IE" w:eastAsia="en-IE"/>
        </w:rPr>
        <w:t>, the proc</w:t>
      </w:r>
      <w:r>
        <w:rPr>
          <w:b/>
          <w:bCs/>
          <w:lang w:val="en-IE" w:eastAsia="en-IE"/>
        </w:rPr>
        <w:t>e</w:t>
      </w:r>
      <w:r w:rsidRPr="0008142F">
        <w:rPr>
          <w:b/>
          <w:bCs/>
          <w:lang w:val="en-IE" w:eastAsia="en-IE"/>
        </w:rPr>
        <w:t xml:space="preserve">dure set out in paragraph 5.1.6.2.3 </w:t>
      </w:r>
      <w:r>
        <w:rPr>
          <w:b/>
          <w:bCs/>
          <w:lang w:val="en-IE" w:eastAsia="en-IE"/>
        </w:rPr>
        <w:t>shall be</w:t>
      </w:r>
      <w:r w:rsidRPr="0008142F">
        <w:rPr>
          <w:b/>
          <w:bCs/>
          <w:lang w:val="en-IE" w:eastAsia="en-IE"/>
        </w:rPr>
        <w:t xml:space="preserve"> used for all seats.</w:t>
      </w:r>
    </w:p>
    <w:p w14:paraId="3714C188" w14:textId="77777777" w:rsidR="009F1CEB" w:rsidRPr="00046372" w:rsidRDefault="009F1CEB" w:rsidP="009F1CEB">
      <w:pPr>
        <w:pStyle w:val="SingleTxtG"/>
        <w:tabs>
          <w:tab w:val="clear" w:pos="1701"/>
          <w:tab w:val="clear" w:pos="2268"/>
          <w:tab w:val="clear" w:pos="2835"/>
        </w:tabs>
        <w:ind w:left="2268" w:hanging="1134"/>
      </w:pPr>
      <w:r w:rsidRPr="00046372">
        <w:rPr>
          <w:bCs/>
          <w:lang w:val="en-IE" w:eastAsia="en-IE"/>
        </w:rPr>
        <w:t>5.1.6.1.</w:t>
      </w:r>
      <w:r w:rsidRPr="00046372">
        <w:rPr>
          <w:bCs/>
          <w:lang w:val="en-IE" w:eastAsia="en-IE"/>
        </w:rPr>
        <w:tab/>
        <w:t>…</w:t>
      </w:r>
      <w:r>
        <w:rPr>
          <w:bCs/>
          <w:lang w:val="en-IE" w:eastAsia="en-IE"/>
        </w:rPr>
        <w:t>”</w:t>
      </w:r>
    </w:p>
    <w:p w14:paraId="75687DEB" w14:textId="02F45988" w:rsidR="009F1CEB" w:rsidRPr="00823DA8" w:rsidRDefault="009F1CEB" w:rsidP="009F1CEB">
      <w:pPr>
        <w:pStyle w:val="SingleTxtG"/>
        <w:keepNext/>
        <w:tabs>
          <w:tab w:val="clear" w:pos="1701"/>
          <w:tab w:val="clear" w:pos="2268"/>
          <w:tab w:val="clear" w:pos="2835"/>
        </w:tabs>
      </w:pPr>
      <w:r>
        <w:rPr>
          <w:i/>
          <w:iCs/>
        </w:rPr>
        <w:t>P</w:t>
      </w:r>
      <w:r w:rsidRPr="005D764E">
        <w:rPr>
          <w:i/>
          <w:iCs/>
        </w:rPr>
        <w:t>aragraph</w:t>
      </w:r>
      <w:r w:rsidR="00A7419B">
        <w:rPr>
          <w:i/>
          <w:iCs/>
        </w:rPr>
        <w:t>s</w:t>
      </w:r>
      <w:r w:rsidRPr="005D764E">
        <w:rPr>
          <w:i/>
          <w:iCs/>
        </w:rPr>
        <w:t xml:space="preserve"> </w:t>
      </w:r>
      <w:r w:rsidRPr="008A25E5">
        <w:rPr>
          <w:i/>
          <w:iCs/>
        </w:rPr>
        <w:t>5.</w:t>
      </w:r>
      <w:r>
        <w:rPr>
          <w:i/>
          <w:iCs/>
        </w:rPr>
        <w:t>1.6.2.</w:t>
      </w:r>
      <w:r w:rsidR="00A7419B">
        <w:rPr>
          <w:i/>
          <w:iCs/>
        </w:rPr>
        <w:t>1</w:t>
      </w:r>
      <w:r w:rsidR="00ED772B">
        <w:rPr>
          <w:i/>
          <w:iCs/>
        </w:rPr>
        <w:t>.</w:t>
      </w:r>
      <w:r w:rsidR="00A7419B">
        <w:rPr>
          <w:i/>
          <w:iCs/>
        </w:rPr>
        <w:t xml:space="preserve"> and 5.1.6.2.2.</w:t>
      </w:r>
      <w:r>
        <w:rPr>
          <w:i/>
          <w:iCs/>
        </w:rPr>
        <w:t xml:space="preserve">, </w:t>
      </w:r>
      <w:r>
        <w:t>amend to read:</w:t>
      </w:r>
    </w:p>
    <w:p w14:paraId="38E207A2" w14:textId="45952A79" w:rsidR="009F1CEB" w:rsidRDefault="00A7419B" w:rsidP="009F1CEB">
      <w:pPr>
        <w:pStyle w:val="SingleTxtG"/>
        <w:tabs>
          <w:tab w:val="clear" w:pos="1701"/>
          <w:tab w:val="clear" w:pos="2268"/>
          <w:tab w:val="clear" w:pos="2835"/>
        </w:tabs>
        <w:ind w:left="2268" w:hanging="1134"/>
        <w:rPr>
          <w:lang w:val="en-IE" w:eastAsia="en-IE"/>
        </w:rPr>
      </w:pPr>
      <w:r>
        <w:rPr>
          <w:lang w:val="en-IE" w:eastAsia="en-IE"/>
        </w:rPr>
        <w:t>“</w:t>
      </w:r>
      <w:r w:rsidR="009F1CEB" w:rsidRPr="000A3AC0">
        <w:rPr>
          <w:lang w:val="en-IE" w:eastAsia="en-IE"/>
        </w:rPr>
        <w:t>5.1.6.2.1.</w:t>
      </w:r>
      <w:r w:rsidR="009F1CEB" w:rsidRPr="000A3AC0">
        <w:rPr>
          <w:lang w:val="en-IE" w:eastAsia="en-IE"/>
        </w:rPr>
        <w:tab/>
        <w:t>The plane P for the driver's seat</w:t>
      </w:r>
      <w:r w:rsidR="009F1CEB">
        <w:rPr>
          <w:lang w:val="en-IE" w:eastAsia="en-IE"/>
        </w:rPr>
        <w:t xml:space="preserve"> </w:t>
      </w:r>
      <w:r w:rsidR="009F1CEB" w:rsidRPr="000A3AC0">
        <w:rPr>
          <w:b/>
          <w:lang w:val="en-IE" w:eastAsia="en-IE"/>
        </w:rPr>
        <w:t>(if any)</w:t>
      </w:r>
      <w:r w:rsidR="009F1CEB" w:rsidRPr="000A3AC0">
        <w:rPr>
          <w:lang w:val="en-IE" w:eastAsia="en-IE"/>
        </w:rPr>
        <w:t xml:space="preserve"> is a vertical plane parallel to the median </w:t>
      </w:r>
      <w:r w:rsidR="009F1CEB" w:rsidRPr="00877095">
        <w:t>longitudinal</w:t>
      </w:r>
      <w:r w:rsidR="009F1CEB" w:rsidRPr="000A3AC0">
        <w:rPr>
          <w:lang w:val="en-IE" w:eastAsia="en-IE"/>
        </w:rPr>
        <w:t xml:space="preserve"> plane of the vehicle which passes through the centre of the steering-wheel in the plane of the steering-wheel rim when the steering-wheel, if adjustable, is in its central position.</w:t>
      </w:r>
    </w:p>
    <w:p w14:paraId="524BB368" w14:textId="77777777" w:rsidR="009F1CEB" w:rsidRPr="000A3AC0" w:rsidRDefault="009F1CEB" w:rsidP="009F1CEB">
      <w:pPr>
        <w:pStyle w:val="SingleTxtG"/>
        <w:tabs>
          <w:tab w:val="clear" w:pos="1701"/>
          <w:tab w:val="clear" w:pos="2268"/>
          <w:tab w:val="clear" w:pos="2835"/>
        </w:tabs>
        <w:ind w:left="2268" w:hanging="1134"/>
        <w:rPr>
          <w:lang w:val="en-IE" w:eastAsia="en-IE"/>
        </w:rPr>
      </w:pPr>
      <w:r w:rsidRPr="000A3AC0">
        <w:rPr>
          <w:lang w:val="en-IE" w:eastAsia="en-IE"/>
        </w:rPr>
        <w:t>5.1.6.2.2.</w:t>
      </w:r>
      <w:r>
        <w:rPr>
          <w:b/>
          <w:bCs/>
          <w:lang w:val="en-IE" w:eastAsia="en-IE"/>
        </w:rPr>
        <w:tab/>
      </w:r>
      <w:r w:rsidRPr="00877095">
        <w:t>The</w:t>
      </w:r>
      <w:r w:rsidRPr="000A3AC0">
        <w:rPr>
          <w:lang w:val="en-IE" w:eastAsia="en-IE"/>
        </w:rPr>
        <w:t xml:space="preserve"> plane P for the front outboard passenger shall be symmetrical with that of the driver </w:t>
      </w:r>
      <w:r w:rsidRPr="000A3AC0">
        <w:rPr>
          <w:b/>
          <w:lang w:val="en-IE" w:eastAsia="en-IE"/>
        </w:rPr>
        <w:t>(if any)</w:t>
      </w:r>
      <w:r w:rsidRPr="000A3AC0">
        <w:rPr>
          <w:lang w:val="en-IE" w:eastAsia="en-IE"/>
        </w:rPr>
        <w:t>.</w:t>
      </w:r>
      <w:r>
        <w:rPr>
          <w:lang w:val="en-IE" w:eastAsia="en-IE"/>
        </w:rPr>
        <w:t>”</w:t>
      </w:r>
    </w:p>
    <w:p w14:paraId="3D63A296" w14:textId="77777777" w:rsidR="009F1CEB" w:rsidRDefault="009F1CEB" w:rsidP="009F1CEB">
      <w:pPr>
        <w:pStyle w:val="SingleTxtG"/>
        <w:keepNext/>
        <w:tabs>
          <w:tab w:val="clear" w:pos="1701"/>
          <w:tab w:val="clear" w:pos="2268"/>
          <w:tab w:val="clear" w:pos="2835"/>
        </w:tabs>
      </w:pPr>
      <w:r>
        <w:rPr>
          <w:i/>
          <w:iCs/>
        </w:rPr>
        <w:lastRenderedPageBreak/>
        <w:t>P</w:t>
      </w:r>
      <w:r w:rsidRPr="005D764E">
        <w:rPr>
          <w:i/>
          <w:iCs/>
        </w:rPr>
        <w:t xml:space="preserve">aragraph </w:t>
      </w:r>
      <w:r w:rsidRPr="008A25E5">
        <w:rPr>
          <w:i/>
          <w:iCs/>
        </w:rPr>
        <w:t>5.</w:t>
      </w:r>
      <w:r>
        <w:rPr>
          <w:i/>
          <w:iCs/>
        </w:rPr>
        <w:t xml:space="preserve">3.5.4., </w:t>
      </w:r>
      <w:r>
        <w:t>amend to read:</w:t>
      </w:r>
    </w:p>
    <w:p w14:paraId="326122F1" w14:textId="77777777" w:rsidR="009F1CEB" w:rsidRDefault="009F1CEB" w:rsidP="00E827D3">
      <w:pPr>
        <w:pStyle w:val="SingleTxtG"/>
        <w:tabs>
          <w:tab w:val="clear" w:pos="1701"/>
          <w:tab w:val="clear" w:pos="2268"/>
          <w:tab w:val="clear" w:pos="2835"/>
        </w:tabs>
        <w:ind w:left="2268" w:hanging="1134"/>
        <w:rPr>
          <w:lang w:val="en-US" w:eastAsia="en-IE"/>
        </w:rPr>
      </w:pPr>
      <w:r>
        <w:rPr>
          <w:lang w:val="en-IE" w:eastAsia="en-IE"/>
        </w:rPr>
        <w:t>“5.3.5.4.</w:t>
      </w:r>
      <w:r>
        <w:rPr>
          <w:lang w:val="en-IE" w:eastAsia="en-IE"/>
        </w:rPr>
        <w:tab/>
      </w:r>
      <w:r w:rsidRPr="00877095">
        <w:t>Paragraphs</w:t>
      </w:r>
      <w:r w:rsidRPr="00E47FA4">
        <w:rPr>
          <w:lang w:val="en-IE" w:eastAsia="en-IE"/>
        </w:rPr>
        <w:t xml:space="preserve"> 5.3.5.1. to 5.3.5.3. shall not apply </w:t>
      </w:r>
      <w:r w:rsidRPr="00E47FA4">
        <w:rPr>
          <w:b/>
          <w:bCs/>
          <w:strike/>
          <w:lang w:val="en-IE" w:eastAsia="en-IE"/>
        </w:rPr>
        <w:t>to a driver’s seat</w:t>
      </w:r>
      <w:r w:rsidRPr="00E47FA4">
        <w:rPr>
          <w:b/>
          <w:bCs/>
          <w:lang w:val="en-IE" w:eastAsia="en-IE"/>
        </w:rPr>
        <w:t xml:space="preserve"> in the case of an occupant having a steering assembly in front.</w:t>
      </w:r>
      <w:r>
        <w:rPr>
          <w:b/>
          <w:bCs/>
          <w:lang w:val="en-IE" w:eastAsia="en-IE"/>
        </w:rPr>
        <w:t>”</w:t>
      </w:r>
    </w:p>
    <w:p w14:paraId="58EF7501" w14:textId="6C26E91A" w:rsidR="009F1CEB" w:rsidRPr="00536403" w:rsidRDefault="00117BB6" w:rsidP="00117BB6">
      <w:pPr>
        <w:pStyle w:val="HChG"/>
        <w:rPr>
          <w:snapToGrid w:val="0"/>
          <w:lang w:val="en-US" w:eastAsia="ja-JP"/>
        </w:rPr>
      </w:pPr>
      <w:r>
        <w:rPr>
          <w:snapToGrid w:val="0"/>
          <w:lang w:val="en-US" w:eastAsia="ja-JP"/>
        </w:rPr>
        <w:tab/>
      </w:r>
      <w:r w:rsidR="009F1CEB" w:rsidRPr="00093B7B">
        <w:rPr>
          <w:snapToGrid w:val="0"/>
          <w:lang w:val="en-US" w:eastAsia="ja-JP"/>
        </w:rPr>
        <w:t>II.</w:t>
      </w:r>
      <w:r w:rsidR="009F1CEB" w:rsidRPr="00093B7B">
        <w:rPr>
          <w:snapToGrid w:val="0"/>
          <w:lang w:val="en-US" w:eastAsia="ja-JP"/>
        </w:rPr>
        <w:tab/>
      </w:r>
      <w:r w:rsidR="009F1CEB" w:rsidRPr="00093B7B">
        <w:rPr>
          <w:snapToGrid w:val="0"/>
          <w:lang w:val="en-US" w:eastAsia="ja-JP"/>
        </w:rPr>
        <w:tab/>
      </w:r>
      <w:r w:rsidR="009F1CEB" w:rsidRPr="00536403">
        <w:rPr>
          <w:lang w:val="en-US"/>
        </w:rPr>
        <w:t>Justification</w:t>
      </w:r>
    </w:p>
    <w:p w14:paraId="75688BFD" w14:textId="1E0A2A52" w:rsidR="009F1CEB" w:rsidRPr="005635E2" w:rsidRDefault="009F1CEB" w:rsidP="005635E2">
      <w:pPr>
        <w:pStyle w:val="SingleTxtG"/>
      </w:pPr>
      <w:r w:rsidRPr="00536403">
        <w:rPr>
          <w:lang w:val="en-US"/>
        </w:rPr>
        <w:t>See paragra</w:t>
      </w:r>
      <w:r w:rsidRPr="00372A29">
        <w:rPr>
          <w:lang w:val="en-US"/>
        </w:rPr>
        <w:t>ph 0.</w:t>
      </w:r>
      <w:r w:rsidR="0083225D">
        <w:rPr>
          <w:lang w:val="en-US"/>
        </w:rPr>
        <w:t xml:space="preserve"> in the proposal.</w:t>
      </w:r>
    </w:p>
    <w:p w14:paraId="5DC28E55" w14:textId="1A04DE27" w:rsidR="001C6663" w:rsidRPr="005635E2" w:rsidRDefault="005635E2" w:rsidP="005635E2">
      <w:pPr>
        <w:spacing w:before="240"/>
        <w:jc w:val="center"/>
        <w:rPr>
          <w:u w:val="single"/>
        </w:rPr>
      </w:pPr>
      <w:r>
        <w:rPr>
          <w:u w:val="single"/>
        </w:rPr>
        <w:tab/>
      </w:r>
      <w:r>
        <w:rPr>
          <w:u w:val="single"/>
        </w:rPr>
        <w:tab/>
      </w:r>
      <w:r>
        <w:rPr>
          <w:u w:val="single"/>
        </w:rPr>
        <w:tab/>
      </w:r>
    </w:p>
    <w:sectPr w:rsidR="001C6663" w:rsidRPr="005635E2" w:rsidSect="00A15D3F">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1804" w14:textId="77777777" w:rsidR="004810DA" w:rsidRDefault="004810DA"/>
  </w:endnote>
  <w:endnote w:type="continuationSeparator" w:id="0">
    <w:p w14:paraId="1391C7BB" w14:textId="77777777" w:rsidR="004810DA" w:rsidRDefault="004810DA"/>
  </w:endnote>
  <w:endnote w:type="continuationNotice" w:id="1">
    <w:p w14:paraId="7AC6A16D" w14:textId="77777777" w:rsidR="004810DA" w:rsidRDefault="00481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0282" w14:textId="4EAA0B2D" w:rsidR="00A15D3F" w:rsidRPr="00A15D3F" w:rsidRDefault="00A15D3F" w:rsidP="00A15D3F">
    <w:pPr>
      <w:pStyle w:val="Footer"/>
      <w:tabs>
        <w:tab w:val="right" w:pos="9638"/>
      </w:tabs>
      <w:rPr>
        <w:sz w:val="18"/>
      </w:rPr>
    </w:pPr>
    <w:r w:rsidRPr="00A15D3F">
      <w:rPr>
        <w:b/>
        <w:sz w:val="18"/>
      </w:rPr>
      <w:fldChar w:fldCharType="begin"/>
    </w:r>
    <w:r w:rsidRPr="00A15D3F">
      <w:rPr>
        <w:b/>
        <w:sz w:val="18"/>
      </w:rPr>
      <w:instrText xml:space="preserve"> PAGE  \* MERGEFORMAT </w:instrText>
    </w:r>
    <w:r w:rsidRPr="00A15D3F">
      <w:rPr>
        <w:b/>
        <w:sz w:val="18"/>
      </w:rPr>
      <w:fldChar w:fldCharType="separate"/>
    </w:r>
    <w:r w:rsidRPr="00A15D3F">
      <w:rPr>
        <w:b/>
        <w:noProof/>
        <w:sz w:val="18"/>
      </w:rPr>
      <w:t>2</w:t>
    </w:r>
    <w:r w:rsidRPr="00A15D3F">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D677" w14:textId="2B3D0AD4" w:rsidR="00A15D3F" w:rsidRPr="00A15D3F" w:rsidRDefault="00A15D3F" w:rsidP="00A15D3F">
    <w:pPr>
      <w:pStyle w:val="Footer"/>
      <w:tabs>
        <w:tab w:val="right" w:pos="9638"/>
      </w:tabs>
      <w:rPr>
        <w:b/>
        <w:sz w:val="18"/>
      </w:rPr>
    </w:pPr>
    <w:r>
      <w:tab/>
    </w:r>
    <w:r w:rsidRPr="00A15D3F">
      <w:rPr>
        <w:b/>
        <w:sz w:val="18"/>
      </w:rPr>
      <w:fldChar w:fldCharType="begin"/>
    </w:r>
    <w:r w:rsidRPr="00A15D3F">
      <w:rPr>
        <w:b/>
        <w:sz w:val="18"/>
      </w:rPr>
      <w:instrText xml:space="preserve"> PAGE  \* MERGEFORMAT </w:instrText>
    </w:r>
    <w:r w:rsidRPr="00A15D3F">
      <w:rPr>
        <w:b/>
        <w:sz w:val="18"/>
      </w:rPr>
      <w:fldChar w:fldCharType="separate"/>
    </w:r>
    <w:r w:rsidRPr="00A15D3F">
      <w:rPr>
        <w:b/>
        <w:noProof/>
        <w:sz w:val="18"/>
      </w:rPr>
      <w:t>3</w:t>
    </w:r>
    <w:r w:rsidRPr="00A15D3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4ABC" w14:textId="77777777" w:rsidR="004810DA" w:rsidRPr="000B175B" w:rsidRDefault="004810DA" w:rsidP="000B175B">
      <w:pPr>
        <w:tabs>
          <w:tab w:val="right" w:pos="2155"/>
        </w:tabs>
        <w:spacing w:after="80"/>
        <w:ind w:left="680"/>
        <w:rPr>
          <w:u w:val="single"/>
        </w:rPr>
      </w:pPr>
      <w:r>
        <w:rPr>
          <w:u w:val="single"/>
        </w:rPr>
        <w:tab/>
      </w:r>
    </w:p>
  </w:footnote>
  <w:footnote w:type="continuationSeparator" w:id="0">
    <w:p w14:paraId="6B6F8605" w14:textId="77777777" w:rsidR="004810DA" w:rsidRPr="00FC68B7" w:rsidRDefault="004810DA" w:rsidP="00FC68B7">
      <w:pPr>
        <w:tabs>
          <w:tab w:val="left" w:pos="2155"/>
        </w:tabs>
        <w:spacing w:after="80"/>
        <w:ind w:left="680"/>
        <w:rPr>
          <w:u w:val="single"/>
        </w:rPr>
      </w:pPr>
      <w:r>
        <w:rPr>
          <w:u w:val="single"/>
        </w:rPr>
        <w:tab/>
      </w:r>
    </w:p>
  </w:footnote>
  <w:footnote w:type="continuationNotice" w:id="1">
    <w:p w14:paraId="22839927" w14:textId="77777777" w:rsidR="004810DA" w:rsidRDefault="004810DA"/>
  </w:footnote>
  <w:footnote w:id="2">
    <w:p w14:paraId="14A9ACF2" w14:textId="77777777" w:rsidR="002428BC" w:rsidRPr="00122355" w:rsidRDefault="002428BC" w:rsidP="002428B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25BA" w14:textId="020CD2DE" w:rsidR="00A15D3F" w:rsidRPr="00A15D3F" w:rsidRDefault="00A15D3F">
    <w:pPr>
      <w:pStyle w:val="Header"/>
    </w:pPr>
    <w:fldSimple w:instr=" TITLE  \* MERGEFORMAT ">
      <w:r w:rsidR="00A61508">
        <w:t>ECE/TRANS/WP.29/GRSP/2025/13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E846" w14:textId="0E8A38FC" w:rsidR="00A15D3F" w:rsidRPr="00A15D3F" w:rsidRDefault="00A15D3F" w:rsidP="00A15D3F">
    <w:pPr>
      <w:pStyle w:val="Header"/>
      <w:jc w:val="right"/>
    </w:pPr>
    <w:fldSimple w:instr=" TITLE  \* MERGEFORMAT ">
      <w:r w:rsidR="00A61508">
        <w:t>ECE/TRANS/WP.29/GRSP/2025/13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63143883">
    <w:abstractNumId w:val="1"/>
  </w:num>
  <w:num w:numId="2" w16cid:durableId="1100836911">
    <w:abstractNumId w:val="0"/>
  </w:num>
  <w:num w:numId="3" w16cid:durableId="911618794">
    <w:abstractNumId w:val="2"/>
  </w:num>
  <w:num w:numId="4" w16cid:durableId="369457801">
    <w:abstractNumId w:val="3"/>
  </w:num>
  <w:num w:numId="5" w16cid:durableId="2037078192">
    <w:abstractNumId w:val="8"/>
  </w:num>
  <w:num w:numId="6" w16cid:durableId="997342509">
    <w:abstractNumId w:val="9"/>
  </w:num>
  <w:num w:numId="7" w16cid:durableId="727846068">
    <w:abstractNumId w:val="7"/>
  </w:num>
  <w:num w:numId="8" w16cid:durableId="1414087254">
    <w:abstractNumId w:val="6"/>
  </w:num>
  <w:num w:numId="9" w16cid:durableId="1293942888">
    <w:abstractNumId w:val="5"/>
  </w:num>
  <w:num w:numId="10" w16cid:durableId="1963226642">
    <w:abstractNumId w:val="4"/>
  </w:num>
  <w:num w:numId="11" w16cid:durableId="160463121">
    <w:abstractNumId w:val="15"/>
  </w:num>
  <w:num w:numId="12" w16cid:durableId="1186942860">
    <w:abstractNumId w:val="14"/>
  </w:num>
  <w:num w:numId="13" w16cid:durableId="89399370">
    <w:abstractNumId w:val="10"/>
  </w:num>
  <w:num w:numId="14" w16cid:durableId="1301037303">
    <w:abstractNumId w:val="12"/>
  </w:num>
  <w:num w:numId="15" w16cid:durableId="325287930">
    <w:abstractNumId w:val="16"/>
  </w:num>
  <w:num w:numId="16" w16cid:durableId="1364208856">
    <w:abstractNumId w:val="13"/>
  </w:num>
  <w:num w:numId="17" w16cid:durableId="445733839">
    <w:abstractNumId w:val="17"/>
  </w:num>
  <w:num w:numId="18" w16cid:durableId="1551577334">
    <w:abstractNumId w:val="18"/>
  </w:num>
  <w:num w:numId="19" w16cid:durableId="178075423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3F"/>
    <w:rsid w:val="00002A7D"/>
    <w:rsid w:val="000038A8"/>
    <w:rsid w:val="00005DF3"/>
    <w:rsid w:val="00006790"/>
    <w:rsid w:val="00027624"/>
    <w:rsid w:val="00050F6B"/>
    <w:rsid w:val="000605AC"/>
    <w:rsid w:val="000678CD"/>
    <w:rsid w:val="00072C8C"/>
    <w:rsid w:val="00081CE0"/>
    <w:rsid w:val="00084D30"/>
    <w:rsid w:val="00090320"/>
    <w:rsid w:val="000931C0"/>
    <w:rsid w:val="00097003"/>
    <w:rsid w:val="000A2E09"/>
    <w:rsid w:val="000B175B"/>
    <w:rsid w:val="000B3A0F"/>
    <w:rsid w:val="000E0415"/>
    <w:rsid w:val="000E1706"/>
    <w:rsid w:val="000F7715"/>
    <w:rsid w:val="00117BB6"/>
    <w:rsid w:val="00156B99"/>
    <w:rsid w:val="00166124"/>
    <w:rsid w:val="00184DDA"/>
    <w:rsid w:val="001900CD"/>
    <w:rsid w:val="001A0452"/>
    <w:rsid w:val="001B3D8C"/>
    <w:rsid w:val="001B4B04"/>
    <w:rsid w:val="001B5875"/>
    <w:rsid w:val="001C4B9C"/>
    <w:rsid w:val="001C6663"/>
    <w:rsid w:val="001C7895"/>
    <w:rsid w:val="001D26DF"/>
    <w:rsid w:val="001F1599"/>
    <w:rsid w:val="001F19C4"/>
    <w:rsid w:val="002043F0"/>
    <w:rsid w:val="0020682F"/>
    <w:rsid w:val="00211E0B"/>
    <w:rsid w:val="00232575"/>
    <w:rsid w:val="002428BC"/>
    <w:rsid w:val="00247258"/>
    <w:rsid w:val="0024728F"/>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659B5"/>
    <w:rsid w:val="003A46BB"/>
    <w:rsid w:val="003A4EC7"/>
    <w:rsid w:val="003A7295"/>
    <w:rsid w:val="003B1F60"/>
    <w:rsid w:val="003C2CC4"/>
    <w:rsid w:val="003D4B23"/>
    <w:rsid w:val="003E278A"/>
    <w:rsid w:val="003E6760"/>
    <w:rsid w:val="003F728E"/>
    <w:rsid w:val="00413520"/>
    <w:rsid w:val="0041420D"/>
    <w:rsid w:val="004325CB"/>
    <w:rsid w:val="00440A07"/>
    <w:rsid w:val="00462880"/>
    <w:rsid w:val="00476F24"/>
    <w:rsid w:val="004810DA"/>
    <w:rsid w:val="004A5D33"/>
    <w:rsid w:val="004C55B0"/>
    <w:rsid w:val="004F3015"/>
    <w:rsid w:val="004F6BA0"/>
    <w:rsid w:val="00503BEA"/>
    <w:rsid w:val="00533616"/>
    <w:rsid w:val="00535ABA"/>
    <w:rsid w:val="0053768B"/>
    <w:rsid w:val="005420F2"/>
    <w:rsid w:val="0054285C"/>
    <w:rsid w:val="005635E2"/>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9464E"/>
    <w:rsid w:val="006A3C72"/>
    <w:rsid w:val="006A7392"/>
    <w:rsid w:val="006B03A1"/>
    <w:rsid w:val="006B67D9"/>
    <w:rsid w:val="006C5535"/>
    <w:rsid w:val="006D0589"/>
    <w:rsid w:val="006E564B"/>
    <w:rsid w:val="006E7154"/>
    <w:rsid w:val="007003CD"/>
    <w:rsid w:val="0070701E"/>
    <w:rsid w:val="0072632A"/>
    <w:rsid w:val="007271AB"/>
    <w:rsid w:val="007358E8"/>
    <w:rsid w:val="00736ECE"/>
    <w:rsid w:val="0074533B"/>
    <w:rsid w:val="007643BC"/>
    <w:rsid w:val="00780C68"/>
    <w:rsid w:val="007959FE"/>
    <w:rsid w:val="007A0CF1"/>
    <w:rsid w:val="007B6BA5"/>
    <w:rsid w:val="007C3390"/>
    <w:rsid w:val="007C3B83"/>
    <w:rsid w:val="007C42D8"/>
    <w:rsid w:val="007C4F4B"/>
    <w:rsid w:val="007D173D"/>
    <w:rsid w:val="007D6F65"/>
    <w:rsid w:val="007D7362"/>
    <w:rsid w:val="007F5CE2"/>
    <w:rsid w:val="007F6611"/>
    <w:rsid w:val="00810BAC"/>
    <w:rsid w:val="00814C29"/>
    <w:rsid w:val="008175E9"/>
    <w:rsid w:val="008242D7"/>
    <w:rsid w:val="0082577B"/>
    <w:rsid w:val="00825CB5"/>
    <w:rsid w:val="008308F8"/>
    <w:rsid w:val="0083225D"/>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556A"/>
    <w:rsid w:val="00926E47"/>
    <w:rsid w:val="00947162"/>
    <w:rsid w:val="009610D0"/>
    <w:rsid w:val="0096375C"/>
    <w:rsid w:val="009662E6"/>
    <w:rsid w:val="0097095E"/>
    <w:rsid w:val="009814C4"/>
    <w:rsid w:val="00984501"/>
    <w:rsid w:val="0098592B"/>
    <w:rsid w:val="00985FC4"/>
    <w:rsid w:val="00990766"/>
    <w:rsid w:val="00991261"/>
    <w:rsid w:val="009964C4"/>
    <w:rsid w:val="009A12D2"/>
    <w:rsid w:val="009A7B81"/>
    <w:rsid w:val="009B011B"/>
    <w:rsid w:val="009B7EB7"/>
    <w:rsid w:val="009D01C0"/>
    <w:rsid w:val="009D6A08"/>
    <w:rsid w:val="009E0A16"/>
    <w:rsid w:val="009E6CB7"/>
    <w:rsid w:val="009E7970"/>
    <w:rsid w:val="009F1CEB"/>
    <w:rsid w:val="009F2EAC"/>
    <w:rsid w:val="009F57E3"/>
    <w:rsid w:val="00A077A2"/>
    <w:rsid w:val="00A10F4F"/>
    <w:rsid w:val="00A11067"/>
    <w:rsid w:val="00A15D3F"/>
    <w:rsid w:val="00A1704A"/>
    <w:rsid w:val="00A170BB"/>
    <w:rsid w:val="00A36AC2"/>
    <w:rsid w:val="00A425EB"/>
    <w:rsid w:val="00A47301"/>
    <w:rsid w:val="00A51931"/>
    <w:rsid w:val="00A61508"/>
    <w:rsid w:val="00A72F22"/>
    <w:rsid w:val="00A733BC"/>
    <w:rsid w:val="00A7419B"/>
    <w:rsid w:val="00A748A6"/>
    <w:rsid w:val="00A76A69"/>
    <w:rsid w:val="00A879A4"/>
    <w:rsid w:val="00A9066B"/>
    <w:rsid w:val="00A91CE8"/>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77F57"/>
    <w:rsid w:val="00B81E12"/>
    <w:rsid w:val="00BA339B"/>
    <w:rsid w:val="00BB23CC"/>
    <w:rsid w:val="00BC1E7E"/>
    <w:rsid w:val="00BC2225"/>
    <w:rsid w:val="00BC74E9"/>
    <w:rsid w:val="00BE02D9"/>
    <w:rsid w:val="00BE36A9"/>
    <w:rsid w:val="00BE618E"/>
    <w:rsid w:val="00BE6CD5"/>
    <w:rsid w:val="00BE7BEC"/>
    <w:rsid w:val="00BF0A5A"/>
    <w:rsid w:val="00BF0E63"/>
    <w:rsid w:val="00BF12A3"/>
    <w:rsid w:val="00BF16D7"/>
    <w:rsid w:val="00BF2373"/>
    <w:rsid w:val="00BF279B"/>
    <w:rsid w:val="00C044E2"/>
    <w:rsid w:val="00C048CB"/>
    <w:rsid w:val="00C066F3"/>
    <w:rsid w:val="00C27D89"/>
    <w:rsid w:val="00C463DD"/>
    <w:rsid w:val="00C745C3"/>
    <w:rsid w:val="00C978F5"/>
    <w:rsid w:val="00CA24A4"/>
    <w:rsid w:val="00CB348D"/>
    <w:rsid w:val="00CB7F24"/>
    <w:rsid w:val="00CD46F5"/>
    <w:rsid w:val="00CE4A8F"/>
    <w:rsid w:val="00CF071D"/>
    <w:rsid w:val="00D0123D"/>
    <w:rsid w:val="00D12CEB"/>
    <w:rsid w:val="00D15B04"/>
    <w:rsid w:val="00D2031B"/>
    <w:rsid w:val="00D25FE2"/>
    <w:rsid w:val="00D37DA9"/>
    <w:rsid w:val="00D406A7"/>
    <w:rsid w:val="00D41AE9"/>
    <w:rsid w:val="00D43252"/>
    <w:rsid w:val="00D44D86"/>
    <w:rsid w:val="00D50B7D"/>
    <w:rsid w:val="00D52012"/>
    <w:rsid w:val="00D5230A"/>
    <w:rsid w:val="00D704E5"/>
    <w:rsid w:val="00D72727"/>
    <w:rsid w:val="00D978C6"/>
    <w:rsid w:val="00DA0956"/>
    <w:rsid w:val="00DA357F"/>
    <w:rsid w:val="00DA3E12"/>
    <w:rsid w:val="00DB1E78"/>
    <w:rsid w:val="00DC18AD"/>
    <w:rsid w:val="00DF7CAE"/>
    <w:rsid w:val="00E219ED"/>
    <w:rsid w:val="00E423C0"/>
    <w:rsid w:val="00E6414C"/>
    <w:rsid w:val="00E7260F"/>
    <w:rsid w:val="00E827D3"/>
    <w:rsid w:val="00E86AFF"/>
    <w:rsid w:val="00E8702D"/>
    <w:rsid w:val="00E905F4"/>
    <w:rsid w:val="00E916A9"/>
    <w:rsid w:val="00E916DE"/>
    <w:rsid w:val="00E925AD"/>
    <w:rsid w:val="00E96630"/>
    <w:rsid w:val="00ED18DC"/>
    <w:rsid w:val="00ED6201"/>
    <w:rsid w:val="00ED772B"/>
    <w:rsid w:val="00ED7A2A"/>
    <w:rsid w:val="00EF1D7F"/>
    <w:rsid w:val="00F0137E"/>
    <w:rsid w:val="00F04E44"/>
    <w:rsid w:val="00F21786"/>
    <w:rsid w:val="00F25D06"/>
    <w:rsid w:val="00F31CFF"/>
    <w:rsid w:val="00F341A4"/>
    <w:rsid w:val="00F3742B"/>
    <w:rsid w:val="00F41FDB"/>
    <w:rsid w:val="00F43003"/>
    <w:rsid w:val="00F50597"/>
    <w:rsid w:val="00F56D63"/>
    <w:rsid w:val="00F609A9"/>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3FB7F"/>
  <w15:docId w15:val="{BC54A497-6532-4EC0-B815-BC521E5D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2428BC"/>
    <w:rPr>
      <w:b/>
      <w:sz w:val="28"/>
      <w:lang w:val="en-GB"/>
    </w:rPr>
  </w:style>
  <w:style w:type="character" w:customStyle="1" w:styleId="SingleTxtGChar">
    <w:name w:val="_ Single Txt_G Char"/>
    <w:link w:val="SingleTxtG"/>
    <w:qFormat/>
    <w:rsid w:val="002428BC"/>
    <w:rPr>
      <w:lang w:val="en-GB"/>
    </w:rPr>
  </w:style>
  <w:style w:type="character" w:customStyle="1" w:styleId="ui-provider">
    <w:name w:val="ui-provider"/>
    <w:basedOn w:val="DefaultParagraphFont"/>
    <w:rsid w:val="00CB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AB7BA3A7-659A-414C-BB93-B9789AC4A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TotalTime>
  <Pages>3</Pages>
  <Words>605</Words>
  <Characters>3451</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ECE/TRANS/WP.29/GRSP/2025/13</dc:title>
  <dc:creator>ST/SG/AC.10/1/Rev.23/Corr.1</dc:creator>
  <cp:lastModifiedBy>Benedicte Boudol</cp:lastModifiedBy>
  <cp:revision>3</cp:revision>
  <cp:lastPrinted>2025-09-19T13:35:00Z</cp:lastPrinted>
  <dcterms:created xsi:type="dcterms:W3CDTF">2025-09-19T13:34:00Z</dcterms:created>
  <dcterms:modified xsi:type="dcterms:W3CDTF">2025-09-19T13:35:00Z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