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306E03"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306E03"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306E03" w:rsidRDefault="009E6CB7" w:rsidP="00B20551">
            <w:pPr>
              <w:spacing w:after="80" w:line="300" w:lineRule="exact"/>
              <w:rPr>
                <w:b/>
                <w:sz w:val="24"/>
                <w:szCs w:val="24"/>
              </w:rPr>
            </w:pPr>
            <w:r w:rsidRPr="00306E03">
              <w:rPr>
                <w:sz w:val="28"/>
                <w:szCs w:val="28"/>
              </w:rPr>
              <w:t>United Nations</w:t>
            </w:r>
          </w:p>
        </w:tc>
        <w:tc>
          <w:tcPr>
            <w:tcW w:w="6095" w:type="dxa"/>
            <w:gridSpan w:val="2"/>
            <w:tcBorders>
              <w:bottom w:val="single" w:sz="4" w:space="0" w:color="auto"/>
            </w:tcBorders>
            <w:vAlign w:val="bottom"/>
          </w:tcPr>
          <w:p w14:paraId="0B865136" w14:textId="65ACB994" w:rsidR="009E6CB7" w:rsidRPr="00306E03" w:rsidRDefault="000B1EA4" w:rsidP="000B1EA4">
            <w:pPr>
              <w:jc w:val="right"/>
            </w:pPr>
            <w:r w:rsidRPr="00306E03">
              <w:rPr>
                <w:sz w:val="40"/>
              </w:rPr>
              <w:t>ECE</w:t>
            </w:r>
            <w:r w:rsidRPr="00306E03">
              <w:t>/TRANS/WP.29/GRSG/2025/</w:t>
            </w:r>
            <w:r w:rsidR="007F0D0B" w:rsidRPr="00306E03">
              <w:t>29</w:t>
            </w:r>
          </w:p>
        </w:tc>
      </w:tr>
      <w:bookmarkEnd w:id="0"/>
      <w:tr w:rsidR="009E6CB7" w:rsidRPr="00306E03"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306E03" w:rsidRDefault="00686A48" w:rsidP="00B20551">
            <w:pPr>
              <w:spacing w:before="120"/>
            </w:pPr>
            <w:r w:rsidRPr="00306E03">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306E03" w:rsidRDefault="009E6CB7" w:rsidP="00B20551">
            <w:pPr>
              <w:spacing w:before="120" w:line="420" w:lineRule="exact"/>
              <w:rPr>
                <w:sz w:val="40"/>
                <w:szCs w:val="40"/>
              </w:rPr>
            </w:pPr>
            <w:r w:rsidRPr="00306E03">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306E03" w:rsidRDefault="000B1EA4" w:rsidP="000B1EA4">
            <w:pPr>
              <w:spacing w:before="240" w:line="240" w:lineRule="exact"/>
            </w:pPr>
            <w:r w:rsidRPr="00306E03">
              <w:t>Distr.: General</w:t>
            </w:r>
          </w:p>
          <w:p w14:paraId="7136A103" w14:textId="78144311" w:rsidR="000B1EA4" w:rsidRPr="00306E03" w:rsidRDefault="00973AA2" w:rsidP="000B1EA4">
            <w:pPr>
              <w:spacing w:line="240" w:lineRule="exact"/>
            </w:pPr>
            <w:r w:rsidRPr="00306E03">
              <w:t>1</w:t>
            </w:r>
            <w:r w:rsidR="00223013">
              <w:t>8</w:t>
            </w:r>
            <w:r w:rsidR="00586555" w:rsidRPr="00306E03">
              <w:t xml:space="preserve"> July</w:t>
            </w:r>
            <w:r w:rsidR="000B1EA4" w:rsidRPr="00306E03">
              <w:t xml:space="preserve"> 2025</w:t>
            </w:r>
          </w:p>
          <w:p w14:paraId="43DFD53D" w14:textId="77777777" w:rsidR="000B1EA4" w:rsidRPr="00306E03" w:rsidRDefault="000B1EA4" w:rsidP="000B1EA4">
            <w:pPr>
              <w:spacing w:line="240" w:lineRule="exact"/>
            </w:pPr>
          </w:p>
          <w:p w14:paraId="19E49273" w14:textId="7D04516F" w:rsidR="000B1EA4" w:rsidRPr="00306E03" w:rsidRDefault="000B1EA4" w:rsidP="000B1EA4">
            <w:pPr>
              <w:spacing w:line="240" w:lineRule="exact"/>
            </w:pPr>
            <w:r w:rsidRPr="00306E03">
              <w:t>Original: English</w:t>
            </w:r>
          </w:p>
        </w:tc>
      </w:tr>
    </w:tbl>
    <w:p w14:paraId="27E68FDE" w14:textId="77777777" w:rsidR="000B1EA4" w:rsidRPr="00306E03" w:rsidRDefault="000B1EA4" w:rsidP="000B1EA4">
      <w:pPr>
        <w:spacing w:before="120"/>
        <w:rPr>
          <w:b/>
          <w:sz w:val="28"/>
          <w:szCs w:val="28"/>
        </w:rPr>
      </w:pPr>
      <w:r w:rsidRPr="00306E03">
        <w:rPr>
          <w:b/>
          <w:sz w:val="28"/>
          <w:szCs w:val="28"/>
        </w:rPr>
        <w:t>Economic Commission for Europe</w:t>
      </w:r>
    </w:p>
    <w:p w14:paraId="5329F34A" w14:textId="77777777" w:rsidR="000B1EA4" w:rsidRPr="00306E03" w:rsidRDefault="000B1EA4" w:rsidP="000B1EA4">
      <w:pPr>
        <w:spacing w:before="120"/>
        <w:rPr>
          <w:sz w:val="28"/>
          <w:szCs w:val="28"/>
        </w:rPr>
      </w:pPr>
      <w:r w:rsidRPr="00306E03">
        <w:rPr>
          <w:sz w:val="28"/>
          <w:szCs w:val="28"/>
        </w:rPr>
        <w:t>Inland Transport Committee</w:t>
      </w:r>
    </w:p>
    <w:p w14:paraId="0B674E34" w14:textId="77777777" w:rsidR="000B1EA4" w:rsidRPr="00306E03" w:rsidRDefault="000B1EA4" w:rsidP="000B1EA4">
      <w:pPr>
        <w:spacing w:before="120"/>
        <w:rPr>
          <w:b/>
          <w:sz w:val="24"/>
          <w:szCs w:val="24"/>
        </w:rPr>
      </w:pPr>
      <w:r w:rsidRPr="00306E03">
        <w:rPr>
          <w:b/>
          <w:sz w:val="24"/>
          <w:szCs w:val="24"/>
        </w:rPr>
        <w:t>World Forum for Harmonization of Vehicle Regulations</w:t>
      </w:r>
    </w:p>
    <w:p w14:paraId="152FDF16" w14:textId="77777777" w:rsidR="000B1EA4" w:rsidRPr="00306E03" w:rsidRDefault="000B1EA4" w:rsidP="000B1EA4">
      <w:pPr>
        <w:spacing w:before="120"/>
        <w:rPr>
          <w:b/>
        </w:rPr>
      </w:pPr>
      <w:r w:rsidRPr="00306E03">
        <w:rPr>
          <w:b/>
        </w:rPr>
        <w:t>Working Party on General Safety Provisions</w:t>
      </w:r>
    </w:p>
    <w:p w14:paraId="688DF953" w14:textId="4659697E" w:rsidR="000B1EA4" w:rsidRPr="00306E03" w:rsidRDefault="000B1EA4" w:rsidP="000B1EA4">
      <w:pPr>
        <w:spacing w:before="120"/>
        <w:rPr>
          <w:bCs/>
        </w:rPr>
      </w:pPr>
      <w:r w:rsidRPr="00306E03">
        <w:rPr>
          <w:b/>
        </w:rPr>
        <w:t>1</w:t>
      </w:r>
      <w:r w:rsidR="00586555" w:rsidRPr="00306E03">
        <w:rPr>
          <w:b/>
        </w:rPr>
        <w:t>30</w:t>
      </w:r>
      <w:r w:rsidRPr="00306E03">
        <w:rPr>
          <w:b/>
        </w:rPr>
        <w:t>th session</w:t>
      </w:r>
    </w:p>
    <w:p w14:paraId="29A2D70C" w14:textId="0D7A5999" w:rsidR="000B1EA4" w:rsidRPr="00306E03" w:rsidRDefault="000B1EA4" w:rsidP="000B1EA4">
      <w:pPr>
        <w:rPr>
          <w:b/>
          <w:bCs/>
        </w:rPr>
      </w:pPr>
      <w:r w:rsidRPr="00306E03">
        <w:t xml:space="preserve">Geneva, </w:t>
      </w:r>
      <w:r w:rsidR="002938A5" w:rsidRPr="00306E03">
        <w:rPr>
          <w:lang w:eastAsia="ko-KR"/>
        </w:rPr>
        <w:t>6</w:t>
      </w:r>
      <w:r w:rsidR="000846F8" w:rsidRPr="00306E03">
        <w:t>–</w:t>
      </w:r>
      <w:r w:rsidR="002938A5" w:rsidRPr="00306E03">
        <w:t>9</w:t>
      </w:r>
      <w:r w:rsidRPr="00306E03">
        <w:t xml:space="preserve"> </w:t>
      </w:r>
      <w:r w:rsidR="002938A5" w:rsidRPr="00306E03">
        <w:rPr>
          <w:lang w:eastAsia="ko-KR"/>
        </w:rPr>
        <w:t>October</w:t>
      </w:r>
      <w:r w:rsidRPr="00306E03">
        <w:t xml:space="preserve"> 2025</w:t>
      </w:r>
    </w:p>
    <w:p w14:paraId="67209E6E" w14:textId="5BA5CDCA" w:rsidR="000B1EA4" w:rsidRPr="00306E03" w:rsidRDefault="000B1EA4" w:rsidP="000B1EA4">
      <w:r w:rsidRPr="00306E03">
        <w:t xml:space="preserve">Item </w:t>
      </w:r>
      <w:r w:rsidR="001C15C9" w:rsidRPr="00306E03">
        <w:t>1</w:t>
      </w:r>
      <w:r w:rsidRPr="00306E03">
        <w:rPr>
          <w:lang w:eastAsia="ko-KR"/>
        </w:rPr>
        <w:t>4(</w:t>
      </w:r>
      <w:r w:rsidR="001C15C9" w:rsidRPr="00306E03">
        <w:rPr>
          <w:lang w:eastAsia="ko-KR"/>
        </w:rPr>
        <w:t>b</w:t>
      </w:r>
      <w:r w:rsidRPr="00306E03">
        <w:rPr>
          <w:lang w:eastAsia="ko-KR"/>
        </w:rPr>
        <w:t>)</w:t>
      </w:r>
      <w:r w:rsidRPr="00306E03">
        <w:t xml:space="preserve"> of the </w:t>
      </w:r>
      <w:r w:rsidR="0099385C" w:rsidRPr="00306E03">
        <w:t>provisional agenda</w:t>
      </w:r>
    </w:p>
    <w:p w14:paraId="7929095E" w14:textId="2935FB7B" w:rsidR="007A0D7E" w:rsidRPr="00306E03" w:rsidRDefault="007A0D7E" w:rsidP="007A0D7E">
      <w:pPr>
        <w:rPr>
          <w:b/>
        </w:rPr>
      </w:pPr>
      <w:r w:rsidRPr="00306E03">
        <w:rPr>
          <w:b/>
        </w:rPr>
        <w:t xml:space="preserve">Exchange of </w:t>
      </w:r>
      <w:r w:rsidR="0099385C" w:rsidRPr="00306E03">
        <w:rPr>
          <w:b/>
        </w:rPr>
        <w:t>views on vehicle automation</w:t>
      </w:r>
      <w:r w:rsidRPr="00306E03">
        <w:rPr>
          <w:b/>
        </w:rPr>
        <w:t>:</w:t>
      </w:r>
    </w:p>
    <w:p w14:paraId="3659470C" w14:textId="1202C645" w:rsidR="007A0D7E" w:rsidRPr="00306E03" w:rsidRDefault="007A0D7E" w:rsidP="006E449B">
      <w:pPr>
        <w:ind w:left="1134" w:hanging="1134"/>
        <w:rPr>
          <w:b/>
        </w:rPr>
      </w:pPr>
      <w:r w:rsidRPr="00306E03">
        <w:rPr>
          <w:b/>
        </w:rPr>
        <w:t xml:space="preserve">Categorization of </w:t>
      </w:r>
      <w:r w:rsidR="0099385C" w:rsidRPr="00306E03">
        <w:rPr>
          <w:b/>
        </w:rPr>
        <w:t>automated vehicles and autonomous vehicle regulation screening</w:t>
      </w:r>
    </w:p>
    <w:p w14:paraId="17787B84" w14:textId="3216F9D3" w:rsidR="000B1EA4" w:rsidRPr="00306E03" w:rsidRDefault="000B1EA4" w:rsidP="000B1EA4">
      <w:pPr>
        <w:pStyle w:val="HChG"/>
        <w:ind w:left="1124" w:right="1138" w:firstLine="0"/>
      </w:pPr>
      <w:r w:rsidRPr="00306E03">
        <w:rPr>
          <w:szCs w:val="28"/>
        </w:rPr>
        <w:tab/>
        <w:t xml:space="preserve">Proposal for </w:t>
      </w:r>
      <w:r w:rsidR="00AB67D5" w:rsidRPr="00306E03">
        <w:rPr>
          <w:szCs w:val="28"/>
        </w:rPr>
        <w:t xml:space="preserve">supplement </w:t>
      </w:r>
      <w:r w:rsidR="00E53316" w:rsidRPr="00306E03">
        <w:rPr>
          <w:szCs w:val="28"/>
        </w:rPr>
        <w:t>1</w:t>
      </w:r>
      <w:r w:rsidR="00AB67D5" w:rsidRPr="00306E03">
        <w:rPr>
          <w:szCs w:val="28"/>
        </w:rPr>
        <w:t xml:space="preserve"> to the </w:t>
      </w:r>
      <w:r w:rsidR="00664FF5" w:rsidRPr="00306E03">
        <w:rPr>
          <w:szCs w:val="28"/>
        </w:rPr>
        <w:t xml:space="preserve">original </w:t>
      </w:r>
      <w:r w:rsidR="00CC166A" w:rsidRPr="00306E03">
        <w:rPr>
          <w:szCs w:val="28"/>
        </w:rPr>
        <w:t>version</w:t>
      </w:r>
      <w:r w:rsidR="00664FF5" w:rsidRPr="00306E03">
        <w:rPr>
          <w:szCs w:val="28"/>
        </w:rPr>
        <w:t xml:space="preserve"> of UN</w:t>
      </w:r>
      <w:r w:rsidRPr="00306E03">
        <w:rPr>
          <w:szCs w:val="28"/>
        </w:rPr>
        <w:t xml:space="preserve"> Regulation No.</w:t>
      </w:r>
      <w:r w:rsidRPr="00306E03">
        <w:t> </w:t>
      </w:r>
      <w:r w:rsidR="00664FF5" w:rsidRPr="00306E03">
        <w:rPr>
          <w:szCs w:val="28"/>
        </w:rPr>
        <w:t>102</w:t>
      </w:r>
      <w:r w:rsidRPr="00306E03">
        <w:rPr>
          <w:szCs w:val="28"/>
        </w:rPr>
        <w:t xml:space="preserve"> (</w:t>
      </w:r>
      <w:r w:rsidR="00664FF5" w:rsidRPr="00306E03">
        <w:t>Close</w:t>
      </w:r>
      <w:r w:rsidR="0099385C" w:rsidRPr="00306E03">
        <w:t>-Coupling Devices</w:t>
      </w:r>
      <w:r w:rsidRPr="00306E03">
        <w:rPr>
          <w:szCs w:val="28"/>
        </w:rPr>
        <w:t>)</w:t>
      </w:r>
      <w:r w:rsidRPr="00306E03">
        <w:t xml:space="preserve"> </w:t>
      </w:r>
    </w:p>
    <w:p w14:paraId="04273320" w14:textId="74E3F347" w:rsidR="000B1EA4" w:rsidRPr="00306E03" w:rsidRDefault="000B1EA4" w:rsidP="000B1EA4">
      <w:pPr>
        <w:pStyle w:val="H1G"/>
        <w:rPr>
          <w:szCs w:val="24"/>
        </w:rPr>
      </w:pPr>
      <w:r w:rsidRPr="00306E03">
        <w:tab/>
      </w:r>
      <w:r w:rsidRPr="00306E03">
        <w:tab/>
        <w:t xml:space="preserve">Submitted by the expert from </w:t>
      </w:r>
      <w:r w:rsidR="004D1435" w:rsidRPr="00306E03">
        <w:t>the Kingdom of the Netherlands</w:t>
      </w:r>
      <w:r w:rsidRPr="00306E03">
        <w:t xml:space="preserve"> on behalf of the Task Force </w:t>
      </w:r>
      <w:r w:rsidR="004D1435" w:rsidRPr="00306E03">
        <w:t xml:space="preserve">on Automated </w:t>
      </w:r>
      <w:r w:rsidR="00F84786" w:rsidRPr="00306E03">
        <w:t xml:space="preserve">Vehicles </w:t>
      </w:r>
      <w:r w:rsidR="004D1435" w:rsidRPr="00306E03">
        <w:t>Regulatory Screening</w:t>
      </w:r>
      <w:r w:rsidRPr="00306E03">
        <w:footnoteReference w:customMarkFollows="1" w:id="2"/>
        <w:t>*</w:t>
      </w:r>
    </w:p>
    <w:p w14:paraId="6EE100A1" w14:textId="53DFD380" w:rsidR="000B1EA4" w:rsidRPr="00306E03" w:rsidRDefault="000B1EA4" w:rsidP="000B1EA4">
      <w:pPr>
        <w:spacing w:after="120"/>
        <w:ind w:left="1134" w:right="1134" w:firstLine="567"/>
        <w:jc w:val="both"/>
      </w:pPr>
      <w:r w:rsidRPr="00306E03">
        <w:t xml:space="preserve">The text reproduced below was prepared by the expert from </w:t>
      </w:r>
      <w:r w:rsidR="00F84786" w:rsidRPr="00306E03">
        <w:t xml:space="preserve">the </w:t>
      </w:r>
      <w:r w:rsidR="00677601" w:rsidRPr="00306E03">
        <w:t>European Commission</w:t>
      </w:r>
      <w:r w:rsidRPr="00306E03">
        <w:t xml:space="preserve"> on behalf of the Task Force on </w:t>
      </w:r>
      <w:r w:rsidR="00F84786" w:rsidRPr="00306E03">
        <w:t>Automated</w:t>
      </w:r>
      <w:r w:rsidR="00BD47D0" w:rsidRPr="00306E03">
        <w:t xml:space="preserve"> Vehicles</w:t>
      </w:r>
      <w:r w:rsidR="00F84786" w:rsidRPr="00306E03">
        <w:t xml:space="preserve"> Regulatory Screening</w:t>
      </w:r>
      <w:r w:rsidRPr="00306E03">
        <w:t xml:space="preserve"> </w:t>
      </w:r>
      <w:r w:rsidR="00762100" w:rsidRPr="00306E03">
        <w:br/>
      </w:r>
      <w:r w:rsidRPr="00306E03">
        <w:t>(TF</w:t>
      </w:r>
      <w:r w:rsidR="00F84786" w:rsidRPr="00306E03">
        <w:t>-AVRS</w:t>
      </w:r>
      <w:r w:rsidRPr="00306E03">
        <w:t>). The modifications to the current text of the UN Regulation are marked in bold for new or strikethrough for deleted characters.</w:t>
      </w:r>
    </w:p>
    <w:p w14:paraId="48E20E8F" w14:textId="77777777" w:rsidR="000B1EA4" w:rsidRPr="00306E03" w:rsidRDefault="000B1EA4" w:rsidP="000B1EA4">
      <w:pPr>
        <w:rPr>
          <w:lang w:eastAsia="ko-KR"/>
        </w:rPr>
      </w:pPr>
      <w:r w:rsidRPr="00306E03">
        <w:rPr>
          <w:lang w:eastAsia="ko-KR"/>
        </w:rPr>
        <w:br w:type="page"/>
      </w:r>
    </w:p>
    <w:p w14:paraId="23555759" w14:textId="371E354A" w:rsidR="000B1EA4" w:rsidRPr="00306E03" w:rsidRDefault="000B1EA4" w:rsidP="000B1EA4">
      <w:pPr>
        <w:keepNext/>
        <w:keepLines/>
        <w:tabs>
          <w:tab w:val="right" w:pos="851"/>
        </w:tabs>
        <w:spacing w:before="360" w:after="240" w:line="300" w:lineRule="exact"/>
        <w:ind w:left="1134" w:right="1134" w:hanging="1134"/>
        <w:rPr>
          <w:b/>
          <w:color w:val="FF0000"/>
          <w:sz w:val="28"/>
        </w:rPr>
      </w:pPr>
      <w:r w:rsidRPr="00306E03">
        <w:rPr>
          <w:b/>
          <w:sz w:val="28"/>
        </w:rPr>
        <w:lastRenderedPageBreak/>
        <w:tab/>
      </w:r>
      <w:r w:rsidRPr="00306E03">
        <w:rPr>
          <w:b/>
          <w:sz w:val="28"/>
        </w:rPr>
        <w:tab/>
        <w:t>Proposal</w:t>
      </w:r>
    </w:p>
    <w:p w14:paraId="271AC50F" w14:textId="1C05BA74" w:rsidR="0050158B" w:rsidRPr="00306E03" w:rsidRDefault="0050158B" w:rsidP="0050158B">
      <w:pPr>
        <w:autoSpaceDE w:val="0"/>
        <w:autoSpaceDN w:val="0"/>
        <w:adjustRightInd w:val="0"/>
        <w:spacing w:before="120" w:after="120" w:line="240" w:lineRule="auto"/>
        <w:ind w:left="1134" w:right="1134"/>
        <w:jc w:val="both"/>
        <w:rPr>
          <w:rFonts w:eastAsia="DengXian"/>
          <w:iCs/>
          <w:lang w:eastAsia="zh-CN"/>
        </w:rPr>
      </w:pPr>
      <w:r w:rsidRPr="00306E03">
        <w:rPr>
          <w:rFonts w:eastAsia="DengXian"/>
          <w:i/>
          <w:lang w:eastAsia="zh-CN"/>
        </w:rPr>
        <w:t>Insert new paragraphs 0. and 0.1. to 0.1.</w:t>
      </w:r>
      <w:r w:rsidR="00C1168E" w:rsidRPr="00306E03">
        <w:rPr>
          <w:rFonts w:eastAsia="DengXian"/>
          <w:i/>
          <w:lang w:eastAsia="zh-CN"/>
        </w:rPr>
        <w:t>3</w:t>
      </w:r>
      <w:r w:rsidRPr="00306E03">
        <w:rPr>
          <w:rFonts w:eastAsia="DengXian"/>
          <w:i/>
          <w:lang w:eastAsia="zh-CN"/>
        </w:rPr>
        <w:t>.,</w:t>
      </w:r>
      <w:r w:rsidRPr="00306E03">
        <w:rPr>
          <w:rFonts w:eastAsia="DengXian"/>
          <w:iCs/>
          <w:lang w:eastAsia="zh-CN"/>
        </w:rPr>
        <w:t xml:space="preserve"> to read:</w:t>
      </w:r>
    </w:p>
    <w:p w14:paraId="4906A232" w14:textId="1B81598B" w:rsidR="0050158B" w:rsidRPr="00306E03" w:rsidRDefault="007A0D7E" w:rsidP="0050158B">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306E03">
        <w:rPr>
          <w:rFonts w:eastAsia="DengXian"/>
          <w:b/>
          <w:bCs/>
          <w:iCs/>
          <w:sz w:val="28"/>
          <w:szCs w:val="28"/>
          <w:lang w:eastAsia="zh-CN"/>
        </w:rPr>
        <w:t>"</w:t>
      </w:r>
      <w:r w:rsidR="0050158B" w:rsidRPr="00306E03">
        <w:rPr>
          <w:rFonts w:eastAsia="DengXian"/>
          <w:b/>
          <w:bCs/>
          <w:iCs/>
          <w:sz w:val="28"/>
          <w:szCs w:val="28"/>
          <w:lang w:eastAsia="zh-CN"/>
        </w:rPr>
        <w:t>0.</w:t>
      </w:r>
      <w:r w:rsidR="0050158B" w:rsidRPr="00306E03">
        <w:rPr>
          <w:rFonts w:eastAsia="DengXian"/>
          <w:b/>
          <w:bCs/>
          <w:iCs/>
          <w:sz w:val="28"/>
          <w:szCs w:val="28"/>
          <w:lang w:eastAsia="zh-CN"/>
        </w:rPr>
        <w:tab/>
      </w:r>
      <w:r w:rsidR="0050158B" w:rsidRPr="00306E03">
        <w:rPr>
          <w:rFonts w:eastAsia="DengXian"/>
          <w:b/>
          <w:bCs/>
          <w:iCs/>
          <w:sz w:val="28"/>
          <w:szCs w:val="28"/>
          <w:lang w:eastAsia="zh-CN"/>
        </w:rPr>
        <w:tab/>
        <w:t>Introduction</w:t>
      </w:r>
    </w:p>
    <w:p w14:paraId="1E893886" w14:textId="619C7E70" w:rsidR="0050158B" w:rsidRPr="00306E03" w:rsidRDefault="0050158B" w:rsidP="0050158B">
      <w:pPr>
        <w:pStyle w:val="SingleTxtG"/>
        <w:ind w:left="2268" w:hanging="1134"/>
        <w:rPr>
          <w:b/>
          <w:bCs/>
        </w:rPr>
      </w:pPr>
      <w:r w:rsidRPr="00306E03">
        <w:rPr>
          <w:b/>
          <w:bCs/>
        </w:rPr>
        <w:t>0.1.</w:t>
      </w:r>
      <w:r w:rsidRPr="00306E03">
        <w:rPr>
          <w:b/>
          <w:bCs/>
        </w:rPr>
        <w:tab/>
      </w:r>
      <w:r w:rsidRPr="00306E03">
        <w:rPr>
          <w:b/>
          <w:bCs/>
        </w:rPr>
        <w:tab/>
        <w:t xml:space="preserve">Supplement </w:t>
      </w:r>
      <w:r w:rsidR="00FE6331" w:rsidRPr="00306E03">
        <w:rPr>
          <w:b/>
          <w:bCs/>
        </w:rPr>
        <w:t>1</w:t>
      </w:r>
      <w:r w:rsidRPr="00306E03">
        <w:rPr>
          <w:b/>
          <w:bCs/>
        </w:rPr>
        <w:t xml:space="preserve"> to the 0</w:t>
      </w:r>
      <w:r w:rsidR="00594FBD" w:rsidRPr="00306E03">
        <w:rPr>
          <w:b/>
          <w:bCs/>
        </w:rPr>
        <w:t>3</w:t>
      </w:r>
      <w:r w:rsidRPr="00306E03">
        <w:rPr>
          <w:b/>
          <w:bCs/>
        </w:rPr>
        <w:t xml:space="preserve"> series of amendments is introduced to take into account vehicles of categor</w:t>
      </w:r>
      <w:r w:rsidR="00BA1429" w:rsidRPr="00306E03">
        <w:rPr>
          <w:b/>
          <w:bCs/>
        </w:rPr>
        <w:t>ies</w:t>
      </w:r>
      <w:r w:rsidRPr="00306E03">
        <w:rPr>
          <w:b/>
          <w:bCs/>
        </w:rPr>
        <w:t xml:space="preserve"> X</w:t>
      </w:r>
      <w:r w:rsidR="006F5BF1" w:rsidRPr="00306E03">
        <w:rPr>
          <w:b/>
          <w:bCs/>
        </w:rPr>
        <w:t xml:space="preserve"> and Y</w:t>
      </w:r>
      <w:r w:rsidR="00B11744" w:rsidRPr="00306E03">
        <w:rPr>
          <w:b/>
          <w:bCs/>
        </w:rPr>
        <w:t xml:space="preserve"> </w:t>
      </w:r>
      <w:r w:rsidR="00B11744" w:rsidRPr="00306E03">
        <w:rPr>
          <w:b/>
          <w:bCs/>
          <w:vertAlign w:val="superscript"/>
        </w:rPr>
        <w:t>1</w:t>
      </w:r>
      <w:r w:rsidRPr="00306E03">
        <w:rPr>
          <w:b/>
          <w:bCs/>
        </w:rPr>
        <w:t xml:space="preserve">, as well as vehicles with a manual mode operating at speeds above 6 km/h which are equipped with an </w:t>
      </w:r>
      <w:r w:rsidR="00715B34" w:rsidRPr="00306E03">
        <w:rPr>
          <w:rFonts w:eastAsiaTheme="minorEastAsia"/>
          <w:b/>
          <w:bCs/>
          <w:color w:val="000000" w:themeColor="text1"/>
        </w:rPr>
        <w:t>Automated Driving system (</w:t>
      </w:r>
      <w:r w:rsidRPr="00306E03">
        <w:rPr>
          <w:b/>
          <w:bCs/>
        </w:rPr>
        <w:t>ADS</w:t>
      </w:r>
      <w:r w:rsidR="00715B34" w:rsidRPr="00306E03">
        <w:rPr>
          <w:b/>
          <w:bCs/>
        </w:rPr>
        <w:t>)</w:t>
      </w:r>
      <w:r w:rsidR="00306E03">
        <w:rPr>
          <w:b/>
          <w:bCs/>
        </w:rPr>
        <w:t>.</w:t>
      </w:r>
      <w:r w:rsidR="004A3DE4" w:rsidRPr="00306E03">
        <w:rPr>
          <w:b/>
          <w:bCs/>
        </w:rPr>
        <w:t> </w:t>
      </w:r>
      <w:r w:rsidR="00B11744" w:rsidRPr="00306E03">
        <w:rPr>
          <w:b/>
          <w:bCs/>
          <w:vertAlign w:val="superscript"/>
        </w:rPr>
        <w:t>1</w:t>
      </w:r>
    </w:p>
    <w:p w14:paraId="67248925" w14:textId="578D3D9D" w:rsidR="0050158B" w:rsidRPr="00306E03" w:rsidRDefault="0050158B" w:rsidP="006E449B">
      <w:pPr>
        <w:spacing w:line="240" w:lineRule="auto"/>
        <w:ind w:left="2268" w:right="1134" w:hanging="1134"/>
        <w:contextualSpacing/>
        <w:jc w:val="both"/>
        <w:rPr>
          <w:rFonts w:eastAsiaTheme="minorEastAsia"/>
          <w:b/>
          <w:bCs/>
          <w:color w:val="000000" w:themeColor="text1"/>
        </w:rPr>
      </w:pPr>
      <w:r w:rsidRPr="00306E03">
        <w:rPr>
          <w:rFonts w:eastAsiaTheme="minorEastAsia"/>
          <w:b/>
          <w:bCs/>
          <w:color w:val="000000" w:themeColor="text1"/>
        </w:rPr>
        <w:t xml:space="preserve">0.1.1. </w:t>
      </w:r>
      <w:r w:rsidRPr="00306E03">
        <w:rPr>
          <w:rFonts w:eastAsiaTheme="minorEastAsia"/>
          <w:b/>
          <w:bCs/>
          <w:color w:val="000000" w:themeColor="text1"/>
        </w:rPr>
        <w:tab/>
      </w:r>
      <w:r w:rsidR="003B1E4F" w:rsidRPr="00306E03">
        <w:rPr>
          <w:rFonts w:eastAsiaTheme="minorEastAsia"/>
          <w:b/>
          <w:bCs/>
        </w:rPr>
        <w:t>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r w:rsidR="003B2A12" w:rsidRPr="00306E03">
        <w:rPr>
          <w:rFonts w:eastAsiaTheme="minorEastAsia"/>
          <w:b/>
          <w:bCs/>
        </w:rPr>
        <w:t>.</w:t>
      </w:r>
    </w:p>
    <w:p w14:paraId="0E3C4A14" w14:textId="77777777" w:rsidR="0081463C" w:rsidRPr="00306E03" w:rsidRDefault="0081463C" w:rsidP="006E449B">
      <w:pPr>
        <w:spacing w:line="240" w:lineRule="auto"/>
        <w:ind w:left="2268" w:right="1134" w:hanging="1134"/>
        <w:contextualSpacing/>
        <w:jc w:val="both"/>
        <w:rPr>
          <w:rFonts w:eastAsiaTheme="minorEastAsia"/>
          <w:b/>
          <w:bCs/>
          <w:color w:val="000000" w:themeColor="text1"/>
        </w:rPr>
      </w:pPr>
    </w:p>
    <w:p w14:paraId="39F2932B" w14:textId="6EA8DD8D" w:rsidR="0081463C" w:rsidRDefault="0081463C" w:rsidP="006E449B">
      <w:pPr>
        <w:spacing w:line="240" w:lineRule="auto"/>
        <w:ind w:left="2268" w:right="1134" w:hanging="1134"/>
        <w:contextualSpacing/>
        <w:jc w:val="both"/>
        <w:rPr>
          <w:rFonts w:eastAsiaTheme="minorEastAsia"/>
          <w:color w:val="000000" w:themeColor="text1"/>
        </w:rPr>
      </w:pPr>
      <w:r w:rsidRPr="00306E03">
        <w:rPr>
          <w:rFonts w:eastAsiaTheme="minorEastAsia"/>
          <w:b/>
          <w:bCs/>
          <w:color w:val="000000" w:themeColor="text1"/>
        </w:rPr>
        <w:t xml:space="preserve">0.1.2. </w:t>
      </w:r>
      <w:r w:rsidRPr="00306E03">
        <w:rPr>
          <w:rFonts w:eastAsiaTheme="minorEastAsia"/>
          <w:b/>
          <w:bCs/>
          <w:color w:val="000000" w:themeColor="text1"/>
        </w:rPr>
        <w:tab/>
        <w:t>In case of vehicles equipped with an ADS other than vehicles of categories X and Y, in the manual driving mode no special provisions or exemptions apply. In a mode where an ADS feature is active the relevant ADS requirements apply.</w:t>
      </w:r>
      <w:r w:rsidR="007A0D7E" w:rsidRPr="00306E03">
        <w:rPr>
          <w:rFonts w:eastAsiaTheme="minorEastAsia"/>
          <w:color w:val="000000" w:themeColor="text1"/>
        </w:rPr>
        <w:t>"</w:t>
      </w:r>
    </w:p>
    <w:p w14:paraId="796B9EC9" w14:textId="77777777" w:rsidR="00306E03" w:rsidRPr="00306E03" w:rsidRDefault="00306E03" w:rsidP="0081463C">
      <w:pPr>
        <w:spacing w:line="240" w:lineRule="auto"/>
        <w:ind w:left="2268" w:right="992" w:hanging="1134"/>
        <w:contextualSpacing/>
        <w:jc w:val="both"/>
        <w:rPr>
          <w:rFonts w:eastAsiaTheme="minorEastAsia"/>
          <w:color w:val="000000" w:themeColor="text1"/>
        </w:rPr>
      </w:pPr>
    </w:p>
    <w:p w14:paraId="7615AAE9" w14:textId="77777777" w:rsidR="001D2CBF" w:rsidRPr="00306E03" w:rsidRDefault="001D2CBF" w:rsidP="001D2CBF">
      <w:pPr>
        <w:adjustRightInd w:val="0"/>
        <w:snapToGrid w:val="0"/>
        <w:spacing w:after="120" w:line="240" w:lineRule="auto"/>
        <w:ind w:left="851" w:right="1134" w:firstLine="284"/>
        <w:jc w:val="both"/>
        <w:rPr>
          <w:i/>
          <w:iCs/>
        </w:rPr>
      </w:pPr>
      <w:r w:rsidRPr="00306E03">
        <w:rPr>
          <w:rFonts w:eastAsia="DengXian"/>
          <w:i/>
          <w:lang w:eastAsia="zh-CN"/>
        </w:rPr>
        <w:t>Insert new Footnote 1, Paragraph 1.1.,</w:t>
      </w:r>
      <w:r w:rsidRPr="00306E03">
        <w:t xml:space="preserve"> to read</w:t>
      </w:r>
      <w:r w:rsidRPr="00306E03">
        <w:rPr>
          <w:iCs/>
        </w:rPr>
        <w:t>:</w:t>
      </w:r>
    </w:p>
    <w:p w14:paraId="384AAF65" w14:textId="123C45B0" w:rsidR="001D2CBF" w:rsidRPr="00306E03" w:rsidRDefault="007A0D7E" w:rsidP="001D2CBF">
      <w:pPr>
        <w:ind w:left="1985" w:hanging="850"/>
        <w:rPr>
          <w:rFonts w:eastAsia="DengXian"/>
          <w:i/>
          <w:lang w:eastAsia="zh-CN"/>
        </w:rPr>
      </w:pPr>
      <w:r w:rsidRPr="00306E03">
        <w:rPr>
          <w:szCs w:val="18"/>
        </w:rPr>
        <w:t>"</w:t>
      </w:r>
      <w:r w:rsidR="001D2CBF" w:rsidRPr="00306E03">
        <w:t xml:space="preserve">1.1 </w:t>
      </w:r>
      <w:r w:rsidR="001D2CBF" w:rsidRPr="00306E03">
        <w:tab/>
        <w:t xml:space="preserve">This Regulation applies to vehicles of categories N2, N3, O3 and O4 </w:t>
      </w:r>
      <w:r w:rsidR="001D2CBF" w:rsidRPr="00306E03">
        <w:rPr>
          <w:b/>
          <w:bCs/>
          <w:vertAlign w:val="superscript"/>
        </w:rPr>
        <w:t>1</w:t>
      </w:r>
      <w:r w:rsidR="001D2CBF" w:rsidRPr="00306E03">
        <w:rPr>
          <w:bCs/>
        </w:rPr>
        <w:t>.</w:t>
      </w:r>
      <w:r w:rsidR="001D2CBF" w:rsidRPr="00306E03">
        <w:rPr>
          <w:rFonts w:eastAsia="DengXian"/>
          <w:i/>
          <w:lang w:eastAsia="zh-CN"/>
        </w:rPr>
        <w:t xml:space="preserve"> </w:t>
      </w:r>
    </w:p>
    <w:p w14:paraId="24378E2F" w14:textId="77777777" w:rsidR="001D2CBF" w:rsidRPr="00306E03" w:rsidRDefault="001D2CBF" w:rsidP="001D2CBF">
      <w:pPr>
        <w:autoSpaceDE w:val="0"/>
        <w:autoSpaceDN w:val="0"/>
        <w:adjustRightInd w:val="0"/>
        <w:spacing w:before="120" w:after="120" w:line="240" w:lineRule="auto"/>
        <w:ind w:right="1134"/>
        <w:jc w:val="both"/>
        <w:rPr>
          <w:rFonts w:eastAsia="DengXian"/>
          <w:iCs/>
          <w:lang w:eastAsia="zh-CN"/>
        </w:rPr>
      </w:pPr>
      <w:r w:rsidRPr="00306E03">
        <w:rPr>
          <w:rFonts w:eastAsia="DengXian"/>
          <w:i/>
          <w:lang w:eastAsia="zh-CN"/>
        </w:rPr>
        <w:t xml:space="preserve"> </w:t>
      </w:r>
      <w:r w:rsidRPr="00306E03">
        <w:rPr>
          <w:rFonts w:eastAsia="DengXian"/>
          <w:i/>
          <w:lang w:eastAsia="zh-CN"/>
        </w:rPr>
        <w:tab/>
      </w:r>
      <w:r w:rsidRPr="00306E03">
        <w:rPr>
          <w:rFonts w:eastAsia="DengXian"/>
          <w:i/>
          <w:lang w:eastAsia="zh-CN"/>
        </w:rPr>
        <w:tab/>
        <w:t xml:space="preserve"> </w:t>
      </w:r>
      <w:r w:rsidRPr="00306E03">
        <w:rPr>
          <w:u w:val="single"/>
        </w:rPr>
        <w:tab/>
      </w:r>
      <w:r w:rsidRPr="00306E03">
        <w:rPr>
          <w:u w:val="single"/>
        </w:rPr>
        <w:tab/>
      </w:r>
    </w:p>
    <w:p w14:paraId="02566869" w14:textId="10750768" w:rsidR="001D2CBF" w:rsidRPr="00306E03" w:rsidRDefault="001D2CBF" w:rsidP="001D2CBF">
      <w:pPr>
        <w:pStyle w:val="FootnoteText"/>
        <w:widowControl w:val="0"/>
        <w:rPr>
          <w:iCs/>
          <w:color w:val="0000FF"/>
          <w:szCs w:val="18"/>
        </w:rPr>
      </w:pPr>
      <w:r w:rsidRPr="00306E03">
        <w:rPr>
          <w:vertAlign w:val="superscript"/>
        </w:rPr>
        <w:tab/>
      </w:r>
      <w:r w:rsidRPr="00306E03">
        <w:rPr>
          <w:szCs w:val="18"/>
          <w:vertAlign w:val="superscript"/>
        </w:rPr>
        <w:t>1</w:t>
      </w:r>
      <w:r w:rsidRPr="00306E03">
        <w:rPr>
          <w:szCs w:val="18"/>
          <w:vertAlign w:val="superscript"/>
        </w:rPr>
        <w:tab/>
      </w:r>
      <w:r w:rsidRPr="00306E03">
        <w:rPr>
          <w:szCs w:val="18"/>
        </w:rPr>
        <w:t xml:space="preserve">As defined in the Consolidated Resolution on the Construction of Vehicles (R.E.3.), document ECE/TRANS/WP.29/78/Rev.8, para. 2 - </w:t>
      </w:r>
      <w:r w:rsidRPr="00306E03">
        <w:rPr>
          <w:szCs w:val="18"/>
        </w:rPr>
        <w:br/>
      </w:r>
      <w:hyperlink r:id="rId12" w:history="1">
        <w:r w:rsidRPr="00306E03">
          <w:rPr>
            <w:rStyle w:val="Hyperlink"/>
            <w:szCs w:val="18"/>
          </w:rPr>
          <w:t>https://unece.org/transport/vehicle-regulations/wp29/resolutions</w:t>
        </w:r>
      </w:hyperlink>
      <w:r w:rsidR="007A0D7E" w:rsidRPr="00306E03">
        <w:rPr>
          <w:szCs w:val="18"/>
        </w:rPr>
        <w:t>"</w:t>
      </w:r>
    </w:p>
    <w:p w14:paraId="651FA59B" w14:textId="011BF360" w:rsidR="001D2CBF" w:rsidRPr="00306E03" w:rsidRDefault="001D2CBF" w:rsidP="004A3DE4">
      <w:pPr>
        <w:adjustRightInd w:val="0"/>
        <w:snapToGrid w:val="0"/>
        <w:spacing w:before="120" w:after="120" w:line="240" w:lineRule="auto"/>
        <w:ind w:left="851" w:right="1134" w:firstLine="284"/>
        <w:jc w:val="both"/>
        <w:rPr>
          <w:i/>
          <w:iCs/>
        </w:rPr>
      </w:pPr>
      <w:r w:rsidRPr="00306E03">
        <w:rPr>
          <w:i/>
          <w:iCs/>
        </w:rPr>
        <w:t>Paragraph 5.1.5.2.</w:t>
      </w:r>
      <w:r w:rsidR="00057E8F" w:rsidRPr="00306E03">
        <w:rPr>
          <w:i/>
          <w:iCs/>
        </w:rPr>
        <w:t>,</w:t>
      </w:r>
      <w:r w:rsidRPr="00306E03">
        <w:t xml:space="preserve"> amend to read</w:t>
      </w:r>
      <w:r w:rsidRPr="00306E03">
        <w:rPr>
          <w:iCs/>
        </w:rPr>
        <w:t>:</w:t>
      </w:r>
    </w:p>
    <w:p w14:paraId="34E579E5" w14:textId="0A16DD4C" w:rsidR="001D2CBF" w:rsidRPr="00306E03" w:rsidRDefault="007A0D7E" w:rsidP="007F0D0B">
      <w:pPr>
        <w:pStyle w:val="SingleTxtG"/>
        <w:ind w:left="2268" w:hanging="1134"/>
        <w:rPr>
          <w:iCs/>
        </w:rPr>
      </w:pPr>
      <w:r w:rsidRPr="00306E03">
        <w:rPr>
          <w:rStyle w:val="Hyperlink"/>
          <w:iCs/>
          <w:color w:val="auto"/>
          <w:szCs w:val="18"/>
        </w:rPr>
        <w:t>"</w:t>
      </w:r>
      <w:r w:rsidR="001D2CBF" w:rsidRPr="00306E03">
        <w:rPr>
          <w:iCs/>
        </w:rPr>
        <w:t xml:space="preserve">5.1.5.2. </w:t>
      </w:r>
      <w:r w:rsidR="001D2CBF" w:rsidRPr="00306E03">
        <w:rPr>
          <w:iCs/>
        </w:rPr>
        <w:tab/>
        <w:t xml:space="preserve">Any power system and/or control system failure must be indicated to the driver by an acoustic and an optical signal. </w:t>
      </w:r>
      <w:r w:rsidR="001D2CBF" w:rsidRPr="00306E03">
        <w:rPr>
          <w:rFonts w:eastAsia="Calibri" w:cs="Calibri"/>
          <w:b/>
          <w:bCs/>
        </w:rPr>
        <w:t>In case the vehicle is equipped with an ADS, a logic signal shall be transmitted to ADS, indicating any</w:t>
      </w:r>
      <w:r w:rsidR="001D2CBF" w:rsidRPr="00306E03">
        <w:t xml:space="preserve"> </w:t>
      </w:r>
      <w:r w:rsidR="001D2CBF" w:rsidRPr="00306E03">
        <w:rPr>
          <w:rFonts w:eastAsia="Calibri" w:cs="Calibri"/>
          <w:b/>
          <w:bCs/>
        </w:rPr>
        <w:t>power system and/or control system failure.</w:t>
      </w:r>
      <w:r w:rsidRPr="00306E03">
        <w:rPr>
          <w:rStyle w:val="Hyperlink"/>
          <w:iCs/>
          <w:color w:val="auto"/>
          <w:szCs w:val="18"/>
        </w:rPr>
        <w:t>"</w:t>
      </w:r>
    </w:p>
    <w:p w14:paraId="6282062E" w14:textId="28546166" w:rsidR="001D2CBF" w:rsidRPr="00306E03" w:rsidRDefault="001D2CBF" w:rsidP="001D2CBF">
      <w:pPr>
        <w:pStyle w:val="SingleTxtG"/>
        <w:ind w:left="2268" w:hanging="1134"/>
        <w:rPr>
          <w:iCs/>
        </w:rPr>
      </w:pPr>
      <w:r w:rsidRPr="00306E03">
        <w:rPr>
          <w:i/>
          <w:iCs/>
        </w:rPr>
        <w:t>Paragraph 5.1.7.2.</w:t>
      </w:r>
      <w:r w:rsidR="00057E8F" w:rsidRPr="00306E03">
        <w:rPr>
          <w:i/>
          <w:iCs/>
        </w:rPr>
        <w:t>,</w:t>
      </w:r>
      <w:r w:rsidRPr="00306E03">
        <w:t xml:space="preserve"> amend to read</w:t>
      </w:r>
      <w:r w:rsidRPr="00306E03">
        <w:rPr>
          <w:iCs/>
        </w:rPr>
        <w:t>:</w:t>
      </w:r>
    </w:p>
    <w:p w14:paraId="30B8E6E1" w14:textId="32F25D1A" w:rsidR="001D2CBF" w:rsidRPr="00306E03" w:rsidRDefault="007A0D7E" w:rsidP="007F0D0B">
      <w:pPr>
        <w:pStyle w:val="SingleTxtG"/>
        <w:ind w:left="2268" w:hanging="1134"/>
        <w:rPr>
          <w:iCs/>
        </w:rPr>
      </w:pPr>
      <w:r w:rsidRPr="00306E03">
        <w:rPr>
          <w:rStyle w:val="Hyperlink"/>
          <w:iCs/>
          <w:color w:val="auto"/>
          <w:szCs w:val="18"/>
        </w:rPr>
        <w:t>"</w:t>
      </w:r>
      <w:r w:rsidR="001D2CBF" w:rsidRPr="00306E03">
        <w:rPr>
          <w:iCs/>
        </w:rPr>
        <w:t xml:space="preserve">5.1.7.2. </w:t>
      </w:r>
      <w:r w:rsidR="001D2CBF" w:rsidRPr="00306E03">
        <w:rPr>
          <w:iCs/>
        </w:rPr>
        <w:tab/>
        <w:t xml:space="preserve">This control unit must be fitted outside the </w:t>
      </w:r>
      <w:r w:rsidR="001D2CBF" w:rsidRPr="00306E03">
        <w:rPr>
          <w:iCs/>
          <w:strike/>
        </w:rPr>
        <w:t>driver’s</w:t>
      </w:r>
      <w:r w:rsidR="001D2CBF" w:rsidRPr="00306E03">
        <w:rPr>
          <w:iCs/>
        </w:rPr>
        <w:t xml:space="preserve"> cabin and shall be situated in such a position that the operator is not endangered by the movement of the trailer and can see the danger area between the vehicles at a glance.</w:t>
      </w:r>
      <w:r w:rsidR="001D2CBF" w:rsidRPr="00306E03">
        <w:rPr>
          <w:rStyle w:val="Hyperlink"/>
          <w:iCs/>
          <w:color w:val="auto"/>
          <w:szCs w:val="18"/>
        </w:rPr>
        <w:t xml:space="preserve"> </w:t>
      </w:r>
      <w:r w:rsidRPr="00306E03">
        <w:rPr>
          <w:rStyle w:val="Hyperlink"/>
          <w:iCs/>
          <w:color w:val="auto"/>
          <w:szCs w:val="18"/>
        </w:rPr>
        <w:t>"</w:t>
      </w:r>
    </w:p>
    <w:p w14:paraId="407E05CD" w14:textId="48295062" w:rsidR="001D2CBF" w:rsidRPr="00306E03" w:rsidRDefault="001D2CBF" w:rsidP="001D2CBF">
      <w:pPr>
        <w:adjustRightInd w:val="0"/>
        <w:snapToGrid w:val="0"/>
        <w:spacing w:after="120" w:line="240" w:lineRule="auto"/>
        <w:ind w:left="851" w:right="1134" w:firstLine="284"/>
        <w:jc w:val="both"/>
        <w:rPr>
          <w:i/>
          <w:iCs/>
        </w:rPr>
      </w:pPr>
      <w:r w:rsidRPr="00306E03">
        <w:rPr>
          <w:i/>
          <w:iCs/>
        </w:rPr>
        <w:t>Paragraph 5.1.11.</w:t>
      </w:r>
      <w:r w:rsidR="00057E8F" w:rsidRPr="00306E03">
        <w:rPr>
          <w:i/>
          <w:iCs/>
        </w:rPr>
        <w:t>,</w:t>
      </w:r>
      <w:r w:rsidRPr="00306E03">
        <w:t xml:space="preserve"> amend to read</w:t>
      </w:r>
      <w:r w:rsidRPr="00306E03">
        <w:rPr>
          <w:iCs/>
        </w:rPr>
        <w:t>:</w:t>
      </w:r>
    </w:p>
    <w:p w14:paraId="3DB16EED" w14:textId="2A3463C2" w:rsidR="001D2CBF" w:rsidRPr="00306E03" w:rsidRDefault="007A0D7E" w:rsidP="001D2CBF">
      <w:pPr>
        <w:pStyle w:val="SingleTxtG"/>
        <w:ind w:left="2268" w:hanging="1134"/>
        <w:rPr>
          <w:iCs/>
        </w:rPr>
      </w:pPr>
      <w:r w:rsidRPr="00306E03">
        <w:rPr>
          <w:rStyle w:val="Hyperlink"/>
          <w:iCs/>
          <w:color w:val="auto"/>
          <w:szCs w:val="18"/>
        </w:rPr>
        <w:t>"</w:t>
      </w:r>
      <w:r w:rsidR="001D2CBF" w:rsidRPr="00306E03">
        <w:rPr>
          <w:iCs/>
        </w:rPr>
        <w:t xml:space="preserve">5.1.11. </w:t>
      </w:r>
      <w:r w:rsidR="001D2CBF" w:rsidRPr="00306E03">
        <w:rPr>
          <w:iCs/>
        </w:rPr>
        <w:tab/>
        <w:t xml:space="preserve">The CCD shall be designed so as to enable the vehicles to be coupled or uncoupled. All coupling operations shall be automatic, including the mechanical controls and the parts subject to towing and/or steering forces. Correct engagement of the positive locking system must be indicated or be easily visible from the side of the vehicle alongside the coupling device. Otherwise, a remote indication must be installed in the </w:t>
      </w:r>
      <w:r w:rsidR="001D2CBF" w:rsidRPr="00306E03">
        <w:rPr>
          <w:iCs/>
          <w:strike/>
        </w:rPr>
        <w:t>driver’s</w:t>
      </w:r>
      <w:r w:rsidR="001D2CBF" w:rsidRPr="00306E03">
        <w:rPr>
          <w:iCs/>
        </w:rPr>
        <w:t xml:space="preserve"> cabin. </w:t>
      </w:r>
      <w:r w:rsidR="001D2CBF" w:rsidRPr="00306E03">
        <w:rPr>
          <w:rFonts w:eastAsia="Calibri" w:cs="Calibri"/>
          <w:b/>
          <w:bCs/>
        </w:rPr>
        <w:t xml:space="preserve">In case the vehicle is equipped with an ADS, a logic signal shall be transmitted to  ADS indicating the engagement status of the locking system. </w:t>
      </w:r>
      <w:r w:rsidR="001D2CBF" w:rsidRPr="00306E03">
        <w:rPr>
          <w:iCs/>
        </w:rPr>
        <w:t>Manual coupling of control and power supply lines is permitted provided the connections are readily accessible from a standing position and the combination can be safely driven, without these lines being connected.</w:t>
      </w:r>
      <w:r w:rsidRPr="00306E03">
        <w:rPr>
          <w:rStyle w:val="Hyperlink"/>
          <w:iCs/>
          <w:color w:val="auto"/>
          <w:szCs w:val="18"/>
        </w:rPr>
        <w:t>"</w:t>
      </w:r>
    </w:p>
    <w:p w14:paraId="5AF951B0" w14:textId="77777777" w:rsidR="001D2CBF" w:rsidRPr="00306E03" w:rsidRDefault="001D2CBF" w:rsidP="001D2CBF">
      <w:pPr>
        <w:pStyle w:val="SingleTxtG"/>
        <w:ind w:left="2268" w:hanging="1134"/>
        <w:rPr>
          <w:i/>
          <w:iCs/>
        </w:rPr>
      </w:pPr>
    </w:p>
    <w:p w14:paraId="65C1857E" w14:textId="77777777" w:rsidR="00057E8F" w:rsidRPr="00306E03" w:rsidRDefault="00057E8F">
      <w:pPr>
        <w:rPr>
          <w:i/>
          <w:iCs/>
        </w:rPr>
      </w:pPr>
      <w:r w:rsidRPr="00306E03">
        <w:rPr>
          <w:i/>
          <w:iCs/>
        </w:rPr>
        <w:br w:type="page"/>
      </w:r>
    </w:p>
    <w:p w14:paraId="29BFB3BE" w14:textId="4C2B1767" w:rsidR="001D2CBF" w:rsidRPr="00306E03" w:rsidRDefault="001D2CBF" w:rsidP="001D2CBF">
      <w:pPr>
        <w:pStyle w:val="SingleTxtG"/>
        <w:ind w:left="2268" w:hanging="1134"/>
        <w:rPr>
          <w:iCs/>
        </w:rPr>
      </w:pPr>
      <w:r w:rsidRPr="00306E03">
        <w:rPr>
          <w:i/>
          <w:iCs/>
        </w:rPr>
        <w:lastRenderedPageBreak/>
        <w:t>Paragraph 5.1.13.</w:t>
      </w:r>
      <w:r w:rsidR="00057E8F" w:rsidRPr="00306E03">
        <w:rPr>
          <w:i/>
          <w:iCs/>
        </w:rPr>
        <w:t>,</w:t>
      </w:r>
      <w:r w:rsidRPr="00306E03">
        <w:t xml:space="preserve"> amend to read</w:t>
      </w:r>
      <w:r w:rsidRPr="00306E03">
        <w:rPr>
          <w:iCs/>
        </w:rPr>
        <w:t>:</w:t>
      </w:r>
    </w:p>
    <w:p w14:paraId="3A5F3B98" w14:textId="42925A96" w:rsidR="001D2CBF" w:rsidRPr="00306E03" w:rsidRDefault="007A0D7E" w:rsidP="001D2CBF">
      <w:pPr>
        <w:pStyle w:val="SingleTxtG"/>
        <w:ind w:left="2268" w:hanging="1134"/>
        <w:rPr>
          <w:iCs/>
        </w:rPr>
      </w:pPr>
      <w:r w:rsidRPr="00306E03">
        <w:rPr>
          <w:rStyle w:val="Hyperlink"/>
          <w:iCs/>
          <w:color w:val="auto"/>
          <w:szCs w:val="18"/>
        </w:rPr>
        <w:t>"</w:t>
      </w:r>
      <w:r w:rsidR="001D2CBF" w:rsidRPr="00306E03">
        <w:rPr>
          <w:iCs/>
        </w:rPr>
        <w:t xml:space="preserve">5.1.13. </w:t>
      </w:r>
      <w:r w:rsidR="001D2CBF" w:rsidRPr="00306E03">
        <w:rPr>
          <w:iCs/>
        </w:rPr>
        <w:tab/>
        <w:t>For hydraulic or pneumatic CCD’s, an optical signal shall indicate that the CCD is about to reach its maximum extension. This signal may be the same as the optical signal mentioned in paragraph 5.1.5.2.</w:t>
      </w:r>
    </w:p>
    <w:p w14:paraId="65CE2890" w14:textId="348F2EA5" w:rsidR="001D2CBF" w:rsidRPr="00306E03" w:rsidRDefault="001D2CBF" w:rsidP="007F0D0B">
      <w:pPr>
        <w:pStyle w:val="SingleTxtG"/>
        <w:ind w:left="2268" w:hanging="1134"/>
        <w:rPr>
          <w:iCs/>
        </w:rPr>
      </w:pPr>
      <w:r w:rsidRPr="00306E03">
        <w:rPr>
          <w:rFonts w:eastAsia="Calibri" w:cs="Calibri"/>
          <w:b/>
          <w:bCs/>
        </w:rPr>
        <w:tab/>
      </w:r>
      <w:r w:rsidRPr="00306E03">
        <w:rPr>
          <w:rFonts w:eastAsia="Calibri" w:cs="Calibri"/>
          <w:b/>
          <w:bCs/>
        </w:rPr>
        <w:tab/>
        <w:t>Whil</w:t>
      </w:r>
      <w:r w:rsidR="006E449B">
        <w:rPr>
          <w:rFonts w:eastAsia="Calibri" w:cs="Calibri"/>
          <w:b/>
          <w:bCs/>
        </w:rPr>
        <w:t xml:space="preserve">e </w:t>
      </w:r>
      <w:r w:rsidRPr="00306E03">
        <w:rPr>
          <w:rFonts w:eastAsia="Calibri" w:cs="Calibri"/>
          <w:b/>
          <w:bCs/>
        </w:rPr>
        <w:t>an ADS feature is active, a logic signal shall be transmitted to ADS indicating that CCD is about to reach its maximum extension.</w:t>
      </w:r>
      <w:r w:rsidR="007A0D7E" w:rsidRPr="00306E03">
        <w:rPr>
          <w:rStyle w:val="Hyperlink"/>
          <w:iCs/>
          <w:color w:val="auto"/>
          <w:szCs w:val="18"/>
        </w:rPr>
        <w:t>"</w:t>
      </w:r>
    </w:p>
    <w:p w14:paraId="30F71313" w14:textId="43C930B6" w:rsidR="001D2CBF" w:rsidRPr="00306E03" w:rsidRDefault="001D2CBF" w:rsidP="001D2CBF">
      <w:pPr>
        <w:adjustRightInd w:val="0"/>
        <w:snapToGrid w:val="0"/>
        <w:spacing w:after="120" w:line="240" w:lineRule="auto"/>
        <w:ind w:left="851" w:right="1134" w:firstLine="284"/>
        <w:jc w:val="both"/>
        <w:rPr>
          <w:highlight w:val="green"/>
          <w:lang w:eastAsia="en-GB"/>
        </w:rPr>
      </w:pPr>
      <w:r w:rsidRPr="00306E03">
        <w:rPr>
          <w:i/>
          <w:iCs/>
        </w:rPr>
        <w:t>Paragraphs 13.3.1</w:t>
      </w:r>
      <w:r w:rsidR="00B520FC" w:rsidRPr="00306E03">
        <w:rPr>
          <w:i/>
          <w:iCs/>
        </w:rPr>
        <w:t>.</w:t>
      </w:r>
      <w:r w:rsidRPr="00306E03">
        <w:rPr>
          <w:i/>
          <w:iCs/>
        </w:rPr>
        <w:t xml:space="preserve"> and 13.3.2</w:t>
      </w:r>
      <w:r w:rsidR="00B520FC" w:rsidRPr="00306E03">
        <w:rPr>
          <w:i/>
          <w:iCs/>
        </w:rPr>
        <w:t>.</w:t>
      </w:r>
      <w:r w:rsidRPr="00306E03">
        <w:rPr>
          <w:i/>
          <w:iCs/>
        </w:rPr>
        <w:t>,</w:t>
      </w:r>
      <w:r w:rsidRPr="00306E03">
        <w:t xml:space="preserve"> amend to read</w:t>
      </w:r>
      <w:r w:rsidRPr="00306E03">
        <w:rPr>
          <w:iCs/>
        </w:rPr>
        <w:t>:</w:t>
      </w:r>
    </w:p>
    <w:p w14:paraId="11A395EC" w14:textId="0ACE0DBC" w:rsidR="001D2CBF" w:rsidRPr="00306E03" w:rsidRDefault="007A0D7E" w:rsidP="001D2CBF">
      <w:pPr>
        <w:pStyle w:val="para"/>
        <w:rPr>
          <w:lang w:val="en-GB" w:eastAsia="en-GB"/>
        </w:rPr>
      </w:pPr>
      <w:r w:rsidRPr="00306E03">
        <w:rPr>
          <w:rStyle w:val="Hyperlink"/>
          <w:iCs/>
          <w:color w:val="auto"/>
          <w:szCs w:val="18"/>
          <w:lang w:val="en-GB"/>
        </w:rPr>
        <w:t>"</w:t>
      </w:r>
      <w:r w:rsidR="001D2CBF" w:rsidRPr="00306E03">
        <w:rPr>
          <w:lang w:val="en-GB" w:eastAsia="en-GB"/>
        </w:rPr>
        <w:t xml:space="preserve">13.3.1. </w:t>
      </w:r>
      <w:r w:rsidR="001D2CBF" w:rsidRPr="00306E03">
        <w:rPr>
          <w:lang w:val="en-GB" w:eastAsia="en-GB"/>
        </w:rPr>
        <w:tab/>
        <w:t xml:space="preserve">The acoustic device must be located in the driver's cabin and must be easily audible by the driver under all circumstances, when the vehicle is in normal use </w:t>
      </w:r>
      <w:r w:rsidR="001D2CBF" w:rsidRPr="00306E03">
        <w:rPr>
          <w:b/>
          <w:bCs/>
          <w:lang w:val="en-GB" w:eastAsia="en-GB"/>
        </w:rPr>
        <w:t>(if applicable)</w:t>
      </w:r>
      <w:r w:rsidR="001D2CBF" w:rsidRPr="00306E03">
        <w:rPr>
          <w:lang w:val="en-GB" w:eastAsia="en-GB"/>
        </w:rPr>
        <w:t xml:space="preserve">. </w:t>
      </w:r>
    </w:p>
    <w:p w14:paraId="6A8470A1" w14:textId="57BB3E65" w:rsidR="001D2CBF" w:rsidRPr="00306E03" w:rsidRDefault="001D2CBF" w:rsidP="007F0D0B">
      <w:pPr>
        <w:pStyle w:val="para"/>
        <w:rPr>
          <w:lang w:val="en-GB" w:eastAsia="en-GB"/>
        </w:rPr>
      </w:pPr>
      <w:r w:rsidRPr="00306E03">
        <w:rPr>
          <w:lang w:val="en-GB" w:eastAsia="en-GB"/>
        </w:rPr>
        <w:t xml:space="preserve">13.3.2. </w:t>
      </w:r>
      <w:r w:rsidRPr="00306E03">
        <w:rPr>
          <w:lang w:val="en-GB" w:eastAsia="en-GB"/>
        </w:rPr>
        <w:tab/>
        <w:t xml:space="preserve">The optical signal shall be red in colour and located on the instrument panel in the direct field of vision of the driver and must be easily visible even in daylight </w:t>
      </w:r>
      <w:r w:rsidRPr="00306E03">
        <w:rPr>
          <w:b/>
          <w:bCs/>
          <w:lang w:val="en-GB" w:eastAsia="en-GB"/>
        </w:rPr>
        <w:t>(if applicable)</w:t>
      </w:r>
      <w:r w:rsidRPr="00306E03">
        <w:rPr>
          <w:lang w:val="en-GB" w:eastAsia="en-GB"/>
        </w:rPr>
        <w:t>.</w:t>
      </w:r>
      <w:r w:rsidR="007A0D7E" w:rsidRPr="00306E03">
        <w:rPr>
          <w:rStyle w:val="Hyperlink"/>
          <w:iCs/>
          <w:color w:val="auto"/>
          <w:szCs w:val="18"/>
          <w:lang w:val="en-GB"/>
        </w:rPr>
        <w:t>"</w:t>
      </w:r>
    </w:p>
    <w:p w14:paraId="75E1B1F8" w14:textId="185E8073" w:rsidR="001D2CBF" w:rsidRPr="00306E03" w:rsidRDefault="001D2CBF" w:rsidP="001D2CBF">
      <w:pPr>
        <w:adjustRightInd w:val="0"/>
        <w:snapToGrid w:val="0"/>
        <w:spacing w:after="120" w:line="240" w:lineRule="auto"/>
        <w:ind w:left="1985" w:right="1134" w:hanging="851"/>
        <w:jc w:val="both"/>
        <w:rPr>
          <w:snapToGrid w:val="0"/>
          <w:spacing w:val="-1"/>
          <w:lang w:eastAsia="en-GB"/>
        </w:rPr>
      </w:pPr>
      <w:r w:rsidRPr="00306E03">
        <w:rPr>
          <w:i/>
          <w:iCs/>
        </w:rPr>
        <w:t>Annex IV, Paragraph</w:t>
      </w:r>
      <w:r w:rsidR="00B520FC" w:rsidRPr="00306E03">
        <w:rPr>
          <w:i/>
          <w:iCs/>
        </w:rPr>
        <w:t>s</w:t>
      </w:r>
      <w:r w:rsidRPr="00306E03">
        <w:rPr>
          <w:i/>
          <w:iCs/>
        </w:rPr>
        <w:t xml:space="preserve"> 2.2.1. to 2.2.3., </w:t>
      </w:r>
      <w:r w:rsidRPr="00306E03">
        <w:t>amend to read:</w:t>
      </w:r>
    </w:p>
    <w:p w14:paraId="6E755CFE" w14:textId="7E2C99AD" w:rsidR="001D2CBF" w:rsidRPr="00306E03" w:rsidRDefault="007A0D7E" w:rsidP="001D2CBF">
      <w:pPr>
        <w:spacing w:after="120"/>
        <w:ind w:left="2268" w:right="1134" w:hanging="1134"/>
        <w:jc w:val="both"/>
        <w:rPr>
          <w:snapToGrid w:val="0"/>
          <w:spacing w:val="-1"/>
          <w:lang w:eastAsia="en-GB"/>
        </w:rPr>
      </w:pPr>
      <w:r w:rsidRPr="00306E03">
        <w:rPr>
          <w:rStyle w:val="Hyperlink"/>
          <w:iCs/>
          <w:color w:val="auto"/>
          <w:szCs w:val="18"/>
        </w:rPr>
        <w:t>"</w:t>
      </w:r>
      <w:r w:rsidR="001D2CBF" w:rsidRPr="00306E03">
        <w:rPr>
          <w:snapToGrid w:val="0"/>
          <w:spacing w:val="-1"/>
          <w:lang w:eastAsia="en-GB"/>
        </w:rPr>
        <w:t xml:space="preserve">2.2.1. </w:t>
      </w:r>
      <w:r w:rsidR="001D2CBF" w:rsidRPr="00306E03">
        <w:rPr>
          <w:snapToGrid w:val="0"/>
          <w:spacing w:val="-1"/>
          <w:lang w:eastAsia="en-GB"/>
        </w:rPr>
        <w:tab/>
        <w:t xml:space="preserve">Vehicles shall be tested at a speed of 85 +5/-0 km/h, </w:t>
      </w:r>
      <w:r w:rsidR="001D2CBF" w:rsidRPr="00306E03">
        <w:rPr>
          <w:b/>
          <w:snapToGrid w:val="0"/>
          <w:spacing w:val="-1"/>
          <w:lang w:eastAsia="en-GB"/>
        </w:rPr>
        <w:t>or 80 per cent of the maximum design speed, whichever is higher</w:t>
      </w:r>
      <w:r w:rsidR="001D2CBF" w:rsidRPr="00306E03">
        <w:rPr>
          <w:snapToGrid w:val="0"/>
          <w:spacing w:val="-1"/>
          <w:lang w:eastAsia="en-GB"/>
        </w:rPr>
        <w:t xml:space="preserve"> and remain aligned. During the test, it must be possible to travel along a straight section of the road without unusual steering correction </w:t>
      </w:r>
      <w:r w:rsidR="001D2CBF" w:rsidRPr="00306E03">
        <w:rPr>
          <w:strike/>
          <w:snapToGrid w:val="0"/>
          <w:spacing w:val="-1"/>
          <w:lang w:eastAsia="en-GB"/>
        </w:rPr>
        <w:t>by the driver</w:t>
      </w:r>
      <w:r w:rsidR="001D2CBF" w:rsidRPr="00306E03">
        <w:rPr>
          <w:snapToGrid w:val="0"/>
          <w:spacing w:val="-1"/>
          <w:lang w:eastAsia="en-GB"/>
        </w:rPr>
        <w:t>.</w:t>
      </w:r>
    </w:p>
    <w:p w14:paraId="277D7DAD" w14:textId="79544248" w:rsidR="001D2CBF" w:rsidRPr="00306E03" w:rsidRDefault="001D2CBF" w:rsidP="001D2CBF">
      <w:pPr>
        <w:spacing w:after="120"/>
        <w:ind w:left="2268" w:right="1134" w:hanging="1134"/>
        <w:jc w:val="both"/>
        <w:rPr>
          <w:snapToGrid w:val="0"/>
          <w:spacing w:val="-1"/>
          <w:lang w:eastAsia="en-GB"/>
        </w:rPr>
      </w:pPr>
      <w:r w:rsidRPr="00306E03">
        <w:rPr>
          <w:snapToGrid w:val="0"/>
          <w:spacing w:val="-1"/>
          <w:lang w:eastAsia="en-GB"/>
        </w:rPr>
        <w:t>2.2.2. (</w:t>
      </w:r>
      <w:r w:rsidRPr="00306E03">
        <w:rPr>
          <w:snapToGrid w:val="0"/>
          <w:spacing w:val="-1"/>
          <w:vertAlign w:val="superscript"/>
          <w:lang w:eastAsia="en-GB"/>
        </w:rPr>
        <w:t>1</w:t>
      </w:r>
      <w:r w:rsidRPr="00306E03">
        <w:rPr>
          <w:snapToGrid w:val="0"/>
          <w:spacing w:val="-1"/>
          <w:lang w:eastAsia="en-GB"/>
        </w:rPr>
        <w:t xml:space="preserve">) </w:t>
      </w:r>
      <w:r w:rsidRPr="00306E03">
        <w:rPr>
          <w:snapToGrid w:val="0"/>
          <w:spacing w:val="-1"/>
          <w:lang w:eastAsia="en-GB"/>
        </w:rPr>
        <w:tab/>
        <w:t xml:space="preserve">An emergency straight line braking test from a speed of 60 km/h, </w:t>
      </w:r>
      <w:r w:rsidRPr="00306E03">
        <w:rPr>
          <w:b/>
          <w:snapToGrid w:val="0"/>
          <w:spacing w:val="-1"/>
          <w:lang w:eastAsia="en-GB"/>
        </w:rPr>
        <w:t>or 80 per cent of the maximum design speed, whichever is higher</w:t>
      </w:r>
      <w:r w:rsidR="008152F5" w:rsidRPr="00306E03">
        <w:rPr>
          <w:b/>
          <w:snapToGrid w:val="0"/>
          <w:spacing w:val="-1"/>
          <w:lang w:eastAsia="en-GB"/>
        </w:rPr>
        <w:t>,</w:t>
      </w:r>
      <w:r w:rsidRPr="00306E03">
        <w:rPr>
          <w:snapToGrid w:val="0"/>
          <w:spacing w:val="-1"/>
          <w:lang w:eastAsia="en-GB"/>
        </w:rPr>
        <w:t xml:space="preserve"> to rest at a mean fully developed deceleration of at least 4 m/s</w:t>
      </w:r>
      <w:r w:rsidRPr="00306E03">
        <w:rPr>
          <w:snapToGrid w:val="0"/>
          <w:spacing w:val="-1"/>
          <w:vertAlign w:val="superscript"/>
          <w:lang w:eastAsia="en-GB"/>
        </w:rPr>
        <w:t>2</w:t>
      </w:r>
      <w:r w:rsidRPr="00306E03">
        <w:rPr>
          <w:snapToGrid w:val="0"/>
          <w:spacing w:val="-1"/>
          <w:lang w:eastAsia="en-GB"/>
        </w:rPr>
        <w:t xml:space="preserve"> shall not cause the combination to deviate outside a lane 3.5 metres wide.</w:t>
      </w:r>
    </w:p>
    <w:p w14:paraId="21B0D8C9" w14:textId="63A206BF" w:rsidR="001D2CBF" w:rsidRPr="00306E03" w:rsidRDefault="001D2CBF" w:rsidP="007F0D0B">
      <w:pPr>
        <w:spacing w:after="120"/>
        <w:ind w:left="2268" w:right="1134" w:hanging="1134"/>
        <w:jc w:val="both"/>
        <w:rPr>
          <w:snapToGrid w:val="0"/>
          <w:spacing w:val="-1"/>
          <w:lang w:eastAsia="en-GB"/>
        </w:rPr>
      </w:pPr>
      <w:r w:rsidRPr="00306E03">
        <w:rPr>
          <w:snapToGrid w:val="0"/>
          <w:spacing w:val="-1"/>
          <w:lang w:eastAsia="en-GB"/>
        </w:rPr>
        <w:t xml:space="preserve">2.2.3. </w:t>
      </w:r>
      <w:r w:rsidRPr="00306E03">
        <w:rPr>
          <w:snapToGrid w:val="0"/>
          <w:spacing w:val="-1"/>
          <w:lang w:eastAsia="en-GB"/>
        </w:rPr>
        <w:tab/>
        <w:t>Starting from rest, a forward acceleration of at least 2 m/s</w:t>
      </w:r>
      <w:r w:rsidRPr="00306E03">
        <w:rPr>
          <w:snapToGrid w:val="0"/>
          <w:spacing w:val="-1"/>
          <w:vertAlign w:val="superscript"/>
          <w:lang w:eastAsia="en-GB"/>
        </w:rPr>
        <w:t>2</w:t>
      </w:r>
      <w:r w:rsidRPr="00306E03">
        <w:rPr>
          <w:snapToGrid w:val="0"/>
          <w:spacing w:val="-1"/>
          <w:lang w:eastAsia="en-GB"/>
        </w:rPr>
        <w:t xml:space="preserve"> shall not cause any movement between the vehicles of a degree likely to cause </w:t>
      </w:r>
      <w:r w:rsidRPr="00306E03">
        <w:rPr>
          <w:strike/>
          <w:snapToGrid w:val="0"/>
          <w:spacing w:val="-1"/>
          <w:lang w:eastAsia="en-GB"/>
        </w:rPr>
        <w:t>the driver</w:t>
      </w:r>
      <w:r w:rsidRPr="00306E03">
        <w:rPr>
          <w:snapToGrid w:val="0"/>
          <w:spacing w:val="-1"/>
          <w:lang w:eastAsia="en-GB"/>
        </w:rPr>
        <w:t xml:space="preserve"> difficulty in controlling the vehicle combination. (If the acceleration prescribed for this test cannot be reached by a vehicle combination, the test shall be performed with the maximum acceleration available).</w:t>
      </w:r>
      <w:r w:rsidR="007A0D7E" w:rsidRPr="00306E03">
        <w:rPr>
          <w:rStyle w:val="Hyperlink"/>
          <w:iCs/>
          <w:color w:val="auto"/>
          <w:szCs w:val="18"/>
        </w:rPr>
        <w:t>"</w:t>
      </w:r>
    </w:p>
    <w:p w14:paraId="1879671F" w14:textId="28E53ACD" w:rsidR="001D2CBF" w:rsidRPr="00306E03" w:rsidRDefault="001D2CBF" w:rsidP="001D2CBF">
      <w:pPr>
        <w:adjustRightInd w:val="0"/>
        <w:snapToGrid w:val="0"/>
        <w:spacing w:after="120" w:line="240" w:lineRule="auto"/>
        <w:ind w:left="1985" w:right="1134" w:hanging="851"/>
        <w:jc w:val="both"/>
        <w:rPr>
          <w:snapToGrid w:val="0"/>
          <w:spacing w:val="-1"/>
          <w:lang w:eastAsia="en-GB"/>
        </w:rPr>
      </w:pPr>
      <w:r w:rsidRPr="00306E03">
        <w:rPr>
          <w:i/>
          <w:iCs/>
        </w:rPr>
        <w:t xml:space="preserve">Annex IV, </w:t>
      </w:r>
      <w:r w:rsidR="008152F5" w:rsidRPr="00306E03">
        <w:rPr>
          <w:i/>
          <w:iCs/>
        </w:rPr>
        <w:t>p</w:t>
      </w:r>
      <w:r w:rsidRPr="00306E03">
        <w:rPr>
          <w:i/>
          <w:iCs/>
        </w:rPr>
        <w:t>aragraphs 2.3.1</w:t>
      </w:r>
      <w:r w:rsidR="008152F5" w:rsidRPr="00306E03">
        <w:rPr>
          <w:i/>
          <w:iCs/>
        </w:rPr>
        <w:t>.</w:t>
      </w:r>
      <w:r w:rsidRPr="00306E03">
        <w:rPr>
          <w:i/>
          <w:iCs/>
        </w:rPr>
        <w:t xml:space="preserve"> and 2.3.2., </w:t>
      </w:r>
      <w:r w:rsidRPr="00306E03">
        <w:t>amend to read:</w:t>
      </w:r>
    </w:p>
    <w:p w14:paraId="0475CA69" w14:textId="74034AC4" w:rsidR="001D2CBF" w:rsidRPr="00306E03" w:rsidRDefault="007A0D7E" w:rsidP="001D2CBF">
      <w:pPr>
        <w:spacing w:after="120"/>
        <w:ind w:left="2268" w:right="1134" w:hanging="1134"/>
        <w:jc w:val="both"/>
        <w:rPr>
          <w:snapToGrid w:val="0"/>
          <w:spacing w:val="-1"/>
          <w:lang w:eastAsia="en-GB"/>
        </w:rPr>
      </w:pPr>
      <w:r w:rsidRPr="00306E03">
        <w:rPr>
          <w:rStyle w:val="Hyperlink"/>
          <w:iCs/>
          <w:color w:val="auto"/>
          <w:szCs w:val="18"/>
        </w:rPr>
        <w:t>"</w:t>
      </w:r>
      <w:r w:rsidR="001D2CBF" w:rsidRPr="00306E03">
        <w:rPr>
          <w:snapToGrid w:val="0"/>
          <w:spacing w:val="-1"/>
          <w:lang w:eastAsia="en-GB"/>
        </w:rPr>
        <w:t xml:space="preserve">2.3.1. </w:t>
      </w:r>
      <w:r w:rsidR="001D2CBF" w:rsidRPr="00306E03">
        <w:rPr>
          <w:snapToGrid w:val="0"/>
          <w:spacing w:val="-1"/>
          <w:lang w:eastAsia="en-GB"/>
        </w:rPr>
        <w:tab/>
        <w:t>A simulated overtaking manoeuvre, as defined in the appendix, conducted at a progressively increasing speed up to 80 km/h</w:t>
      </w:r>
      <w:r w:rsidR="001D2CBF" w:rsidRPr="00306E03">
        <w:rPr>
          <w:b/>
          <w:snapToGrid w:val="0"/>
          <w:spacing w:val="-1"/>
          <w:lang w:eastAsia="en-GB"/>
        </w:rPr>
        <w:t>, or the maximum design speed, whichever is lower</w:t>
      </w:r>
      <w:r w:rsidR="001D2CBF" w:rsidRPr="00306E03">
        <w:rPr>
          <w:snapToGrid w:val="0"/>
          <w:spacing w:val="-1"/>
          <w:lang w:eastAsia="en-GB"/>
        </w:rPr>
        <w:t xml:space="preserve">, shall not cause </w:t>
      </w:r>
      <w:r w:rsidR="001D2CBF" w:rsidRPr="00306E03">
        <w:rPr>
          <w:strike/>
          <w:snapToGrid w:val="0"/>
          <w:spacing w:val="-1"/>
          <w:lang w:eastAsia="en-GB"/>
        </w:rPr>
        <w:t>the driver</w:t>
      </w:r>
      <w:r w:rsidR="001D2CBF" w:rsidRPr="00306E03">
        <w:rPr>
          <w:snapToGrid w:val="0"/>
          <w:spacing w:val="-1"/>
          <w:lang w:eastAsia="en-GB"/>
        </w:rPr>
        <w:t xml:space="preserve"> any difficulty in controlling the combination.</w:t>
      </w:r>
    </w:p>
    <w:p w14:paraId="594B9589" w14:textId="34E75EDC" w:rsidR="001D2CBF" w:rsidRPr="00306E03" w:rsidRDefault="001D2CBF" w:rsidP="007F0D0B">
      <w:pPr>
        <w:spacing w:after="120"/>
        <w:ind w:left="2268" w:right="1134" w:hanging="1134"/>
        <w:jc w:val="both"/>
        <w:rPr>
          <w:snapToGrid w:val="0"/>
          <w:spacing w:val="-1"/>
          <w:lang w:eastAsia="en-GB"/>
        </w:rPr>
      </w:pPr>
      <w:r w:rsidRPr="00306E03">
        <w:rPr>
          <w:snapToGrid w:val="0"/>
          <w:spacing w:val="-1"/>
          <w:lang w:eastAsia="en-GB"/>
        </w:rPr>
        <w:t xml:space="preserve">2.3.2. </w:t>
      </w:r>
      <w:r w:rsidRPr="00306E03">
        <w:rPr>
          <w:snapToGrid w:val="0"/>
          <w:spacing w:val="-1"/>
          <w:lang w:eastAsia="en-GB"/>
        </w:rPr>
        <w:tab/>
        <w:t>At a speed of 20 km/h steering from one side of the track to the other alternately at least 3 times by turning the steering wheel as fast and as far as possible,</w:t>
      </w:r>
      <w:r w:rsidRPr="00306E03">
        <w:rPr>
          <w:b/>
          <w:snapToGrid w:val="0"/>
          <w:spacing w:val="-1"/>
          <w:lang w:eastAsia="en-GB"/>
        </w:rPr>
        <w:t xml:space="preserve"> or whil</w:t>
      </w:r>
      <w:r w:rsidR="006E449B">
        <w:rPr>
          <w:b/>
          <w:snapToGrid w:val="0"/>
          <w:spacing w:val="-1"/>
          <w:lang w:eastAsia="en-GB"/>
        </w:rPr>
        <w:t>e</w:t>
      </w:r>
      <w:r w:rsidRPr="00306E03">
        <w:rPr>
          <w:b/>
          <w:snapToGrid w:val="0"/>
          <w:spacing w:val="-1"/>
          <w:lang w:eastAsia="en-GB"/>
        </w:rPr>
        <w:t xml:space="preserve"> an ADS feature is active, actuate the steering equipment at the maximum performance allowed by ADS,</w:t>
      </w:r>
      <w:r w:rsidRPr="00306E03">
        <w:rPr>
          <w:snapToGrid w:val="0"/>
          <w:spacing w:val="-1"/>
          <w:lang w:eastAsia="en-GB"/>
        </w:rPr>
        <w:t xml:space="preserve"> no contact between the vehicles or damage to the CCD shall occur (track width is 10 metres).</w:t>
      </w:r>
      <w:r w:rsidR="007A0D7E" w:rsidRPr="00306E03">
        <w:rPr>
          <w:rStyle w:val="Hyperlink"/>
          <w:iCs/>
          <w:color w:val="auto"/>
          <w:szCs w:val="18"/>
        </w:rPr>
        <w:t>"</w:t>
      </w:r>
    </w:p>
    <w:p w14:paraId="43B49856" w14:textId="72F72366" w:rsidR="001D2CBF" w:rsidRPr="00306E03" w:rsidRDefault="001D2CBF" w:rsidP="001D2CBF">
      <w:pPr>
        <w:adjustRightInd w:val="0"/>
        <w:snapToGrid w:val="0"/>
        <w:spacing w:after="120" w:line="240" w:lineRule="auto"/>
        <w:ind w:left="1985" w:right="1134" w:hanging="851"/>
        <w:jc w:val="both"/>
        <w:rPr>
          <w:snapToGrid w:val="0"/>
          <w:spacing w:val="-1"/>
          <w:lang w:eastAsia="en-GB"/>
        </w:rPr>
      </w:pPr>
      <w:r w:rsidRPr="00306E03">
        <w:rPr>
          <w:i/>
          <w:iCs/>
        </w:rPr>
        <w:t xml:space="preserve">Annex IV, </w:t>
      </w:r>
      <w:r w:rsidR="0082711A" w:rsidRPr="00306E03">
        <w:rPr>
          <w:i/>
          <w:iCs/>
        </w:rPr>
        <w:t>p</w:t>
      </w:r>
      <w:r w:rsidRPr="00306E03">
        <w:rPr>
          <w:i/>
          <w:iCs/>
        </w:rPr>
        <w:t xml:space="preserve">aragraph 3.1., </w:t>
      </w:r>
      <w:r w:rsidRPr="00306E03">
        <w:t>amend to read:</w:t>
      </w:r>
    </w:p>
    <w:p w14:paraId="2495393E" w14:textId="080F9026" w:rsidR="006F1BE0" w:rsidRPr="00306E03" w:rsidRDefault="007A0D7E" w:rsidP="007F0D0B">
      <w:pPr>
        <w:spacing w:after="120"/>
        <w:ind w:left="2268" w:right="1134" w:hanging="1134"/>
        <w:jc w:val="both"/>
        <w:rPr>
          <w:snapToGrid w:val="0"/>
          <w:spacing w:val="-1"/>
          <w:lang w:eastAsia="en-GB"/>
        </w:rPr>
      </w:pPr>
      <w:r w:rsidRPr="00306E03">
        <w:rPr>
          <w:rStyle w:val="Hyperlink"/>
          <w:iCs/>
          <w:color w:val="auto"/>
          <w:szCs w:val="18"/>
        </w:rPr>
        <w:t>"</w:t>
      </w:r>
      <w:r w:rsidR="001D2CBF" w:rsidRPr="00306E03">
        <w:rPr>
          <w:snapToGrid w:val="0"/>
          <w:spacing w:val="-1"/>
          <w:lang w:eastAsia="en-GB"/>
        </w:rPr>
        <w:t xml:space="preserve">3.1. </w:t>
      </w:r>
      <w:r w:rsidR="001D2CBF" w:rsidRPr="00306E03">
        <w:rPr>
          <w:snapToGrid w:val="0"/>
          <w:spacing w:val="-1"/>
          <w:lang w:eastAsia="en-GB"/>
        </w:rPr>
        <w:tab/>
        <w:t>Starting from rest and a straight ahead position, the combination shall be driven around a curve of 25 m radius to a speed of 20 km/h at an acceleration of 2 ± 10</w:t>
      </w:r>
      <w:r w:rsidR="004A3DE4" w:rsidRPr="00306E03">
        <w:rPr>
          <w:snapToGrid w:val="0"/>
          <w:spacing w:val="-1"/>
          <w:lang w:eastAsia="en-GB"/>
        </w:rPr>
        <w:t xml:space="preserve"> per cent</w:t>
      </w:r>
      <w:r w:rsidR="001D2CBF" w:rsidRPr="00306E03">
        <w:rPr>
          <w:snapToGrid w:val="0"/>
          <w:spacing w:val="-1"/>
          <w:lang w:eastAsia="en-GB"/>
        </w:rPr>
        <w:t xml:space="preserve"> m/s</w:t>
      </w:r>
      <w:r w:rsidR="001D2CBF" w:rsidRPr="00306E03">
        <w:rPr>
          <w:snapToGrid w:val="0"/>
          <w:spacing w:val="-1"/>
          <w:vertAlign w:val="superscript"/>
          <w:lang w:eastAsia="en-GB"/>
        </w:rPr>
        <w:t>2</w:t>
      </w:r>
      <w:r w:rsidR="001D2CBF" w:rsidRPr="00306E03">
        <w:rPr>
          <w:snapToGrid w:val="0"/>
          <w:spacing w:val="-1"/>
          <w:lang w:eastAsia="en-GB"/>
        </w:rPr>
        <w:t xml:space="preserve">. This shall not cause any movement between the vehicles of a degree likely to cause </w:t>
      </w:r>
      <w:r w:rsidR="001D2CBF" w:rsidRPr="00306E03">
        <w:rPr>
          <w:strike/>
          <w:snapToGrid w:val="0"/>
          <w:spacing w:val="-1"/>
          <w:lang w:eastAsia="en-GB"/>
        </w:rPr>
        <w:t>the driver</w:t>
      </w:r>
      <w:r w:rsidR="001D2CBF" w:rsidRPr="00306E03">
        <w:rPr>
          <w:snapToGrid w:val="0"/>
          <w:spacing w:val="-1"/>
          <w:lang w:eastAsia="en-GB"/>
        </w:rPr>
        <w:t xml:space="preserve"> difficulty in controlling the vehicle combination.</w:t>
      </w:r>
      <w:r w:rsidRPr="00306E03">
        <w:rPr>
          <w:rStyle w:val="Hyperlink"/>
          <w:iCs/>
          <w:color w:val="auto"/>
          <w:szCs w:val="18"/>
        </w:rPr>
        <w:t>"</w:t>
      </w:r>
    </w:p>
    <w:p w14:paraId="4D167816" w14:textId="77777777" w:rsidR="000D102F" w:rsidRPr="00306E03" w:rsidRDefault="000D102F" w:rsidP="000D102F">
      <w:pPr>
        <w:spacing w:before="240"/>
        <w:jc w:val="center"/>
        <w:rPr>
          <w:u w:val="single"/>
        </w:rPr>
      </w:pPr>
      <w:r w:rsidRPr="00306E03">
        <w:rPr>
          <w:u w:val="single"/>
        </w:rPr>
        <w:tab/>
      </w:r>
      <w:r w:rsidRPr="00306E03">
        <w:rPr>
          <w:u w:val="single"/>
        </w:rPr>
        <w:tab/>
      </w:r>
      <w:r w:rsidRPr="00306E03">
        <w:rPr>
          <w:u w:val="single"/>
        </w:rPr>
        <w:tab/>
      </w:r>
    </w:p>
    <w:sectPr w:rsidR="000D102F" w:rsidRPr="00306E03" w:rsidSect="000B1EA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C7DC" w14:textId="77777777" w:rsidR="0086016C" w:rsidRDefault="0086016C"/>
  </w:endnote>
  <w:endnote w:type="continuationSeparator" w:id="0">
    <w:p w14:paraId="38FC9E33" w14:textId="77777777" w:rsidR="0086016C" w:rsidRDefault="0086016C"/>
  </w:endnote>
  <w:endnote w:type="continuationNotice" w:id="1">
    <w:p w14:paraId="1C13C946" w14:textId="77777777" w:rsidR="0086016C" w:rsidRDefault="0086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EA38" w14:textId="77777777" w:rsidR="0086016C" w:rsidRPr="000B175B" w:rsidRDefault="0086016C" w:rsidP="000B175B">
      <w:pPr>
        <w:tabs>
          <w:tab w:val="right" w:pos="2155"/>
        </w:tabs>
        <w:spacing w:after="80"/>
        <w:ind w:left="680"/>
        <w:rPr>
          <w:u w:val="single"/>
        </w:rPr>
      </w:pPr>
      <w:r>
        <w:rPr>
          <w:u w:val="single"/>
        </w:rPr>
        <w:tab/>
      </w:r>
    </w:p>
  </w:footnote>
  <w:footnote w:type="continuationSeparator" w:id="0">
    <w:p w14:paraId="05351480" w14:textId="77777777" w:rsidR="0086016C" w:rsidRPr="00FC68B7" w:rsidRDefault="0086016C" w:rsidP="00FC68B7">
      <w:pPr>
        <w:tabs>
          <w:tab w:val="left" w:pos="2155"/>
        </w:tabs>
        <w:spacing w:after="80"/>
        <w:ind w:left="680"/>
        <w:rPr>
          <w:u w:val="single"/>
        </w:rPr>
      </w:pPr>
      <w:r>
        <w:rPr>
          <w:u w:val="single"/>
        </w:rPr>
        <w:tab/>
      </w:r>
    </w:p>
  </w:footnote>
  <w:footnote w:type="continuationNotice" w:id="1">
    <w:p w14:paraId="6386BA86" w14:textId="77777777" w:rsidR="0086016C" w:rsidRDefault="0086016C"/>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30FA9C9E" w:rsidR="000B1EA4" w:rsidRPr="00223013" w:rsidRDefault="00223013">
    <w:pPr>
      <w:pStyle w:val="Header"/>
      <w:rPr>
        <w:lang w:val="fr-CH"/>
      </w:rPr>
    </w:pPr>
    <w:r>
      <w:rPr>
        <w:lang w:val="fr-CH"/>
      </w:rPr>
      <w:t>ECE/TRANS/WP.29/GRSG/2025/29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78B04CAB" w:rsidR="000B1EA4" w:rsidRPr="00223013" w:rsidRDefault="00223013" w:rsidP="00223013">
    <w:pPr>
      <w:pStyle w:val="Header"/>
      <w:jc w:val="right"/>
      <w:rPr>
        <w:lang w:val="fr-CH"/>
      </w:rPr>
    </w:pPr>
    <w:r>
      <w:rPr>
        <w:lang w:val="fr-CH"/>
      </w:rPr>
      <w:t>ECE/TRANS/WP.29/GRSG/2025/29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20"/>
  </w:num>
  <w:num w:numId="19" w16cid:durableId="662591124">
    <w:abstractNumId w:val="11"/>
  </w:num>
  <w:num w:numId="20" w16cid:durableId="1793862634">
    <w:abstractNumId w:val="19"/>
  </w:num>
  <w:num w:numId="21" w16cid:durableId="38221894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7624"/>
    <w:rsid w:val="00050F6B"/>
    <w:rsid w:val="00051972"/>
    <w:rsid w:val="000543C6"/>
    <w:rsid w:val="00057E8F"/>
    <w:rsid w:val="000678CD"/>
    <w:rsid w:val="00072364"/>
    <w:rsid w:val="00072C8C"/>
    <w:rsid w:val="00073176"/>
    <w:rsid w:val="00081CE0"/>
    <w:rsid w:val="000833E8"/>
    <w:rsid w:val="00083896"/>
    <w:rsid w:val="000846F8"/>
    <w:rsid w:val="00084D30"/>
    <w:rsid w:val="00090320"/>
    <w:rsid w:val="000931C0"/>
    <w:rsid w:val="00097003"/>
    <w:rsid w:val="000A2E09"/>
    <w:rsid w:val="000B175B"/>
    <w:rsid w:val="000B1EA4"/>
    <w:rsid w:val="000B3A0F"/>
    <w:rsid w:val="000B7053"/>
    <w:rsid w:val="000C01EE"/>
    <w:rsid w:val="000C0EE4"/>
    <w:rsid w:val="000D102F"/>
    <w:rsid w:val="000E0415"/>
    <w:rsid w:val="000E0E92"/>
    <w:rsid w:val="000E2AD6"/>
    <w:rsid w:val="000F35BA"/>
    <w:rsid w:val="000F6CB5"/>
    <w:rsid w:val="000F7715"/>
    <w:rsid w:val="00101876"/>
    <w:rsid w:val="001259DE"/>
    <w:rsid w:val="00156B99"/>
    <w:rsid w:val="001621F2"/>
    <w:rsid w:val="00166124"/>
    <w:rsid w:val="001763F3"/>
    <w:rsid w:val="0017782E"/>
    <w:rsid w:val="00184DDA"/>
    <w:rsid w:val="001900CD"/>
    <w:rsid w:val="001A0452"/>
    <w:rsid w:val="001A7EF8"/>
    <w:rsid w:val="001B408D"/>
    <w:rsid w:val="001B4B04"/>
    <w:rsid w:val="001B5875"/>
    <w:rsid w:val="001C15C9"/>
    <w:rsid w:val="001C2CED"/>
    <w:rsid w:val="001C4B9C"/>
    <w:rsid w:val="001C6663"/>
    <w:rsid w:val="001C7895"/>
    <w:rsid w:val="001D18F6"/>
    <w:rsid w:val="001D26DF"/>
    <w:rsid w:val="001D2CBF"/>
    <w:rsid w:val="001F1599"/>
    <w:rsid w:val="001F19C4"/>
    <w:rsid w:val="002043F0"/>
    <w:rsid w:val="00211E0B"/>
    <w:rsid w:val="00217611"/>
    <w:rsid w:val="00223013"/>
    <w:rsid w:val="00232575"/>
    <w:rsid w:val="00247258"/>
    <w:rsid w:val="00257CAC"/>
    <w:rsid w:val="00260D2F"/>
    <w:rsid w:val="00271E29"/>
    <w:rsid w:val="0027237A"/>
    <w:rsid w:val="002938A5"/>
    <w:rsid w:val="00296CEB"/>
    <w:rsid w:val="002974E9"/>
    <w:rsid w:val="002A1B73"/>
    <w:rsid w:val="002A306B"/>
    <w:rsid w:val="002A7F94"/>
    <w:rsid w:val="002B109A"/>
    <w:rsid w:val="002B29E9"/>
    <w:rsid w:val="002C67B4"/>
    <w:rsid w:val="002C6D45"/>
    <w:rsid w:val="002D6E53"/>
    <w:rsid w:val="002E110E"/>
    <w:rsid w:val="002F046D"/>
    <w:rsid w:val="002F3023"/>
    <w:rsid w:val="0030126A"/>
    <w:rsid w:val="00301764"/>
    <w:rsid w:val="00306E03"/>
    <w:rsid w:val="003229D8"/>
    <w:rsid w:val="00335BB1"/>
    <w:rsid w:val="00336C97"/>
    <w:rsid w:val="00337F88"/>
    <w:rsid w:val="00342432"/>
    <w:rsid w:val="0035047B"/>
    <w:rsid w:val="0035223F"/>
    <w:rsid w:val="00352D4B"/>
    <w:rsid w:val="0035638C"/>
    <w:rsid w:val="00380772"/>
    <w:rsid w:val="00382A3A"/>
    <w:rsid w:val="003830D3"/>
    <w:rsid w:val="00394EF2"/>
    <w:rsid w:val="003A46BB"/>
    <w:rsid w:val="003A4EC7"/>
    <w:rsid w:val="003A7295"/>
    <w:rsid w:val="003B0C82"/>
    <w:rsid w:val="003B1E4F"/>
    <w:rsid w:val="003B1F60"/>
    <w:rsid w:val="003B2A12"/>
    <w:rsid w:val="003C2CC4"/>
    <w:rsid w:val="003C57AE"/>
    <w:rsid w:val="003C5B4A"/>
    <w:rsid w:val="003D0245"/>
    <w:rsid w:val="003D4B23"/>
    <w:rsid w:val="003E278A"/>
    <w:rsid w:val="003E3246"/>
    <w:rsid w:val="003E6AF7"/>
    <w:rsid w:val="003F0A27"/>
    <w:rsid w:val="003F21FC"/>
    <w:rsid w:val="004107AA"/>
    <w:rsid w:val="00413520"/>
    <w:rsid w:val="004244A5"/>
    <w:rsid w:val="00426E70"/>
    <w:rsid w:val="00431F55"/>
    <w:rsid w:val="004325CB"/>
    <w:rsid w:val="00437567"/>
    <w:rsid w:val="00440A07"/>
    <w:rsid w:val="00445124"/>
    <w:rsid w:val="00452EF3"/>
    <w:rsid w:val="00462880"/>
    <w:rsid w:val="00466414"/>
    <w:rsid w:val="00466D33"/>
    <w:rsid w:val="00472DF8"/>
    <w:rsid w:val="004766D8"/>
    <w:rsid w:val="00476F24"/>
    <w:rsid w:val="00481761"/>
    <w:rsid w:val="00492E84"/>
    <w:rsid w:val="004A3DE4"/>
    <w:rsid w:val="004A570C"/>
    <w:rsid w:val="004A5D33"/>
    <w:rsid w:val="004A60AF"/>
    <w:rsid w:val="004B383B"/>
    <w:rsid w:val="004B59A0"/>
    <w:rsid w:val="004C55B0"/>
    <w:rsid w:val="004C651E"/>
    <w:rsid w:val="004D1435"/>
    <w:rsid w:val="004F6BA0"/>
    <w:rsid w:val="0050158B"/>
    <w:rsid w:val="00501961"/>
    <w:rsid w:val="00502B9C"/>
    <w:rsid w:val="00503BEA"/>
    <w:rsid w:val="0050400A"/>
    <w:rsid w:val="00510783"/>
    <w:rsid w:val="00513249"/>
    <w:rsid w:val="00533616"/>
    <w:rsid w:val="005358B5"/>
    <w:rsid w:val="00535ABA"/>
    <w:rsid w:val="005373CB"/>
    <w:rsid w:val="0053768B"/>
    <w:rsid w:val="005420F2"/>
    <w:rsid w:val="0054285C"/>
    <w:rsid w:val="00551E18"/>
    <w:rsid w:val="00566E03"/>
    <w:rsid w:val="005736D0"/>
    <w:rsid w:val="00576CA0"/>
    <w:rsid w:val="00584173"/>
    <w:rsid w:val="00584B07"/>
    <w:rsid w:val="00586555"/>
    <w:rsid w:val="00594FBD"/>
    <w:rsid w:val="00595520"/>
    <w:rsid w:val="005A44B9"/>
    <w:rsid w:val="005A6F13"/>
    <w:rsid w:val="005B1BA0"/>
    <w:rsid w:val="005B3DB3"/>
    <w:rsid w:val="005C0268"/>
    <w:rsid w:val="005D15CA"/>
    <w:rsid w:val="005E7B0B"/>
    <w:rsid w:val="005F06C6"/>
    <w:rsid w:val="005F08DF"/>
    <w:rsid w:val="005F3066"/>
    <w:rsid w:val="005F3E61"/>
    <w:rsid w:val="005F4293"/>
    <w:rsid w:val="005F4932"/>
    <w:rsid w:val="005F56C6"/>
    <w:rsid w:val="00601C2D"/>
    <w:rsid w:val="00604DDD"/>
    <w:rsid w:val="0060506B"/>
    <w:rsid w:val="006107D6"/>
    <w:rsid w:val="006115CC"/>
    <w:rsid w:val="00611FC4"/>
    <w:rsid w:val="00612471"/>
    <w:rsid w:val="006176FB"/>
    <w:rsid w:val="00623BD8"/>
    <w:rsid w:val="006263EB"/>
    <w:rsid w:val="006301DA"/>
    <w:rsid w:val="00630E40"/>
    <w:rsid w:val="00630FCB"/>
    <w:rsid w:val="00640B26"/>
    <w:rsid w:val="00655B0A"/>
    <w:rsid w:val="0065766B"/>
    <w:rsid w:val="00664FF5"/>
    <w:rsid w:val="0067039D"/>
    <w:rsid w:val="00670B41"/>
    <w:rsid w:val="00671126"/>
    <w:rsid w:val="00671576"/>
    <w:rsid w:val="006770B2"/>
    <w:rsid w:val="00677601"/>
    <w:rsid w:val="00686A48"/>
    <w:rsid w:val="0068763C"/>
    <w:rsid w:val="00691C3C"/>
    <w:rsid w:val="006940E1"/>
    <w:rsid w:val="00695423"/>
    <w:rsid w:val="0069542D"/>
    <w:rsid w:val="006A3C72"/>
    <w:rsid w:val="006A7392"/>
    <w:rsid w:val="006B03A1"/>
    <w:rsid w:val="006B3B36"/>
    <w:rsid w:val="006B67D9"/>
    <w:rsid w:val="006C5535"/>
    <w:rsid w:val="006D0589"/>
    <w:rsid w:val="006D3C26"/>
    <w:rsid w:val="006D4056"/>
    <w:rsid w:val="006E449B"/>
    <w:rsid w:val="006E564B"/>
    <w:rsid w:val="006E7154"/>
    <w:rsid w:val="006F1361"/>
    <w:rsid w:val="006F1BE0"/>
    <w:rsid w:val="006F22CE"/>
    <w:rsid w:val="006F5BF1"/>
    <w:rsid w:val="007003CD"/>
    <w:rsid w:val="00701112"/>
    <w:rsid w:val="0070701E"/>
    <w:rsid w:val="00715B34"/>
    <w:rsid w:val="0072632A"/>
    <w:rsid w:val="007358E8"/>
    <w:rsid w:val="00736ECE"/>
    <w:rsid w:val="007402FF"/>
    <w:rsid w:val="0074533B"/>
    <w:rsid w:val="00745C23"/>
    <w:rsid w:val="00745F4F"/>
    <w:rsid w:val="00757C64"/>
    <w:rsid w:val="00762100"/>
    <w:rsid w:val="007643BC"/>
    <w:rsid w:val="007751F0"/>
    <w:rsid w:val="00780C68"/>
    <w:rsid w:val="007959FE"/>
    <w:rsid w:val="007A0CF1"/>
    <w:rsid w:val="007A0D7E"/>
    <w:rsid w:val="007B6BA5"/>
    <w:rsid w:val="007C3390"/>
    <w:rsid w:val="007C42D8"/>
    <w:rsid w:val="007C4F4B"/>
    <w:rsid w:val="007C6E5E"/>
    <w:rsid w:val="007D321E"/>
    <w:rsid w:val="007D4EDD"/>
    <w:rsid w:val="007D6F65"/>
    <w:rsid w:val="007D7362"/>
    <w:rsid w:val="007E2A38"/>
    <w:rsid w:val="007E4E69"/>
    <w:rsid w:val="007E53F3"/>
    <w:rsid w:val="007E7053"/>
    <w:rsid w:val="007F0D0B"/>
    <w:rsid w:val="007F5CE2"/>
    <w:rsid w:val="007F6611"/>
    <w:rsid w:val="00801A12"/>
    <w:rsid w:val="00803F5A"/>
    <w:rsid w:val="00805943"/>
    <w:rsid w:val="00810BAC"/>
    <w:rsid w:val="008121DD"/>
    <w:rsid w:val="0081463C"/>
    <w:rsid w:val="00814C29"/>
    <w:rsid w:val="008152F5"/>
    <w:rsid w:val="008175E9"/>
    <w:rsid w:val="008242D7"/>
    <w:rsid w:val="0082577B"/>
    <w:rsid w:val="00825CB5"/>
    <w:rsid w:val="0082711A"/>
    <w:rsid w:val="00830527"/>
    <w:rsid w:val="0086016C"/>
    <w:rsid w:val="00866893"/>
    <w:rsid w:val="00866F02"/>
    <w:rsid w:val="00867D18"/>
    <w:rsid w:val="00871F9A"/>
    <w:rsid w:val="00871FD5"/>
    <w:rsid w:val="00877A8A"/>
    <w:rsid w:val="0088172E"/>
    <w:rsid w:val="00881EFA"/>
    <w:rsid w:val="008879CB"/>
    <w:rsid w:val="008927C3"/>
    <w:rsid w:val="00895AF3"/>
    <w:rsid w:val="00895FF8"/>
    <w:rsid w:val="008979B1"/>
    <w:rsid w:val="008A5166"/>
    <w:rsid w:val="008A631E"/>
    <w:rsid w:val="008A6B25"/>
    <w:rsid w:val="008A6C4F"/>
    <w:rsid w:val="008B389E"/>
    <w:rsid w:val="008C34D7"/>
    <w:rsid w:val="008C725F"/>
    <w:rsid w:val="008D045E"/>
    <w:rsid w:val="008D3F25"/>
    <w:rsid w:val="008D4D82"/>
    <w:rsid w:val="008D6009"/>
    <w:rsid w:val="008E0E46"/>
    <w:rsid w:val="008E7116"/>
    <w:rsid w:val="008F143B"/>
    <w:rsid w:val="008F18DF"/>
    <w:rsid w:val="008F3882"/>
    <w:rsid w:val="008F4B7C"/>
    <w:rsid w:val="008F5361"/>
    <w:rsid w:val="009129D6"/>
    <w:rsid w:val="00914D27"/>
    <w:rsid w:val="0092556A"/>
    <w:rsid w:val="00926E47"/>
    <w:rsid w:val="00934EA9"/>
    <w:rsid w:val="00947162"/>
    <w:rsid w:val="00952BE2"/>
    <w:rsid w:val="009610D0"/>
    <w:rsid w:val="0096375C"/>
    <w:rsid w:val="009662E6"/>
    <w:rsid w:val="0097095E"/>
    <w:rsid w:val="00973AA2"/>
    <w:rsid w:val="0097411D"/>
    <w:rsid w:val="0098592B"/>
    <w:rsid w:val="00985FC4"/>
    <w:rsid w:val="00990766"/>
    <w:rsid w:val="00991261"/>
    <w:rsid w:val="0099385C"/>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77A2"/>
    <w:rsid w:val="00A10F4F"/>
    <w:rsid w:val="00A11067"/>
    <w:rsid w:val="00A1704A"/>
    <w:rsid w:val="00A236FF"/>
    <w:rsid w:val="00A35A0F"/>
    <w:rsid w:val="00A36AC2"/>
    <w:rsid w:val="00A425EB"/>
    <w:rsid w:val="00A512FF"/>
    <w:rsid w:val="00A61DAE"/>
    <w:rsid w:val="00A657A7"/>
    <w:rsid w:val="00A72F22"/>
    <w:rsid w:val="00A733BC"/>
    <w:rsid w:val="00A748A6"/>
    <w:rsid w:val="00A766C3"/>
    <w:rsid w:val="00A76A69"/>
    <w:rsid w:val="00A7780E"/>
    <w:rsid w:val="00A879A4"/>
    <w:rsid w:val="00A95C34"/>
    <w:rsid w:val="00A9719E"/>
    <w:rsid w:val="00AA0FF8"/>
    <w:rsid w:val="00AA768A"/>
    <w:rsid w:val="00AA7E78"/>
    <w:rsid w:val="00AA7F40"/>
    <w:rsid w:val="00AB67D5"/>
    <w:rsid w:val="00AC0F2C"/>
    <w:rsid w:val="00AC502A"/>
    <w:rsid w:val="00AC52CF"/>
    <w:rsid w:val="00AE1E26"/>
    <w:rsid w:val="00AF58C1"/>
    <w:rsid w:val="00B04A3F"/>
    <w:rsid w:val="00B06643"/>
    <w:rsid w:val="00B06CD5"/>
    <w:rsid w:val="00B11744"/>
    <w:rsid w:val="00B15055"/>
    <w:rsid w:val="00B15BF2"/>
    <w:rsid w:val="00B17E89"/>
    <w:rsid w:val="00B20551"/>
    <w:rsid w:val="00B2328F"/>
    <w:rsid w:val="00B25618"/>
    <w:rsid w:val="00B30179"/>
    <w:rsid w:val="00B31E0B"/>
    <w:rsid w:val="00B33FC7"/>
    <w:rsid w:val="00B3552F"/>
    <w:rsid w:val="00B37B15"/>
    <w:rsid w:val="00B410C2"/>
    <w:rsid w:val="00B4162A"/>
    <w:rsid w:val="00B45C02"/>
    <w:rsid w:val="00B50C15"/>
    <w:rsid w:val="00B520FC"/>
    <w:rsid w:val="00B526AE"/>
    <w:rsid w:val="00B616FA"/>
    <w:rsid w:val="00B70B63"/>
    <w:rsid w:val="00B715E3"/>
    <w:rsid w:val="00B72A1E"/>
    <w:rsid w:val="00B762EE"/>
    <w:rsid w:val="00B76463"/>
    <w:rsid w:val="00B81E12"/>
    <w:rsid w:val="00B8479C"/>
    <w:rsid w:val="00BA1429"/>
    <w:rsid w:val="00BA339B"/>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1168E"/>
    <w:rsid w:val="00C2715E"/>
    <w:rsid w:val="00C463DD"/>
    <w:rsid w:val="00C720D2"/>
    <w:rsid w:val="00C745C3"/>
    <w:rsid w:val="00C7495C"/>
    <w:rsid w:val="00C978F5"/>
    <w:rsid w:val="00CA24A4"/>
    <w:rsid w:val="00CB348D"/>
    <w:rsid w:val="00CC166A"/>
    <w:rsid w:val="00CD46F5"/>
    <w:rsid w:val="00CD6F8D"/>
    <w:rsid w:val="00CE0119"/>
    <w:rsid w:val="00CE1B38"/>
    <w:rsid w:val="00CE4A8F"/>
    <w:rsid w:val="00CF071D"/>
    <w:rsid w:val="00CF6C8D"/>
    <w:rsid w:val="00D0123D"/>
    <w:rsid w:val="00D15B04"/>
    <w:rsid w:val="00D2031B"/>
    <w:rsid w:val="00D25FE2"/>
    <w:rsid w:val="00D33C14"/>
    <w:rsid w:val="00D37688"/>
    <w:rsid w:val="00D37DA9"/>
    <w:rsid w:val="00D406A7"/>
    <w:rsid w:val="00D41AE9"/>
    <w:rsid w:val="00D43252"/>
    <w:rsid w:val="00D44D86"/>
    <w:rsid w:val="00D50B7D"/>
    <w:rsid w:val="00D52012"/>
    <w:rsid w:val="00D52E21"/>
    <w:rsid w:val="00D704E5"/>
    <w:rsid w:val="00D71579"/>
    <w:rsid w:val="00D72727"/>
    <w:rsid w:val="00D9365B"/>
    <w:rsid w:val="00D974A8"/>
    <w:rsid w:val="00D978C6"/>
    <w:rsid w:val="00DA029E"/>
    <w:rsid w:val="00DA0956"/>
    <w:rsid w:val="00DA13BD"/>
    <w:rsid w:val="00DA357F"/>
    <w:rsid w:val="00DA38E8"/>
    <w:rsid w:val="00DA3E12"/>
    <w:rsid w:val="00DB2D44"/>
    <w:rsid w:val="00DB4F0B"/>
    <w:rsid w:val="00DC18AD"/>
    <w:rsid w:val="00DC3856"/>
    <w:rsid w:val="00DD249E"/>
    <w:rsid w:val="00DE20B6"/>
    <w:rsid w:val="00DE3B32"/>
    <w:rsid w:val="00DF2008"/>
    <w:rsid w:val="00DF504D"/>
    <w:rsid w:val="00DF7CAE"/>
    <w:rsid w:val="00E03DE4"/>
    <w:rsid w:val="00E1573C"/>
    <w:rsid w:val="00E16AA2"/>
    <w:rsid w:val="00E423C0"/>
    <w:rsid w:val="00E47B84"/>
    <w:rsid w:val="00E5087C"/>
    <w:rsid w:val="00E53316"/>
    <w:rsid w:val="00E6167C"/>
    <w:rsid w:val="00E6414C"/>
    <w:rsid w:val="00E7260F"/>
    <w:rsid w:val="00E74132"/>
    <w:rsid w:val="00E81E39"/>
    <w:rsid w:val="00E8702D"/>
    <w:rsid w:val="00E905F4"/>
    <w:rsid w:val="00E916A9"/>
    <w:rsid w:val="00E916DE"/>
    <w:rsid w:val="00E925AD"/>
    <w:rsid w:val="00E96630"/>
    <w:rsid w:val="00EA41E8"/>
    <w:rsid w:val="00EA7291"/>
    <w:rsid w:val="00ED18DC"/>
    <w:rsid w:val="00ED1FEC"/>
    <w:rsid w:val="00ED6201"/>
    <w:rsid w:val="00ED7A2A"/>
    <w:rsid w:val="00ED7DD7"/>
    <w:rsid w:val="00EF1D7F"/>
    <w:rsid w:val="00EF230B"/>
    <w:rsid w:val="00EF3AC4"/>
    <w:rsid w:val="00F0137E"/>
    <w:rsid w:val="00F04E44"/>
    <w:rsid w:val="00F140E2"/>
    <w:rsid w:val="00F17811"/>
    <w:rsid w:val="00F21786"/>
    <w:rsid w:val="00F23BDC"/>
    <w:rsid w:val="00F25D06"/>
    <w:rsid w:val="00F31CFF"/>
    <w:rsid w:val="00F34DAE"/>
    <w:rsid w:val="00F3742B"/>
    <w:rsid w:val="00F41FDB"/>
    <w:rsid w:val="00F47128"/>
    <w:rsid w:val="00F50597"/>
    <w:rsid w:val="00F5132A"/>
    <w:rsid w:val="00F52073"/>
    <w:rsid w:val="00F5436B"/>
    <w:rsid w:val="00F56D63"/>
    <w:rsid w:val="00F609A9"/>
    <w:rsid w:val="00F62C75"/>
    <w:rsid w:val="00F80C99"/>
    <w:rsid w:val="00F84786"/>
    <w:rsid w:val="00F867EC"/>
    <w:rsid w:val="00F91B2B"/>
    <w:rsid w:val="00FA2265"/>
    <w:rsid w:val="00FA77D3"/>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D102F"/>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1DC4630-E68E-4588-99B6-11B8BAD0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6</TotalTime>
  <Pages>3</Pages>
  <Words>1059</Words>
  <Characters>5693</Characters>
  <Application>Microsoft Office Word</Application>
  <DocSecurity>4</DocSecurity>
  <Lines>138</Lines>
  <Paragraphs>75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ECE/TRANS/WP.29/GRSG/2025/8</vt:lpstr>
      <vt:lpstr>ECE/TRANS/WP.29/GRSG/2025/8</vt:lpstr>
      <vt:lpstr/>
    </vt:vector>
  </TitlesOfParts>
  <Company>CSD</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2</cp:revision>
  <cp:lastPrinted>2025-01-24T14:01:00Z</cp:lastPrinted>
  <dcterms:created xsi:type="dcterms:W3CDTF">2025-07-17T20:42:00Z</dcterms:created>
  <dcterms:modified xsi:type="dcterms:W3CDTF">2025-07-17T20:42:00Z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