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23B1DE6B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4B7377">
              <w:t>2</w:t>
            </w:r>
            <w:r w:rsidR="000461F0">
              <w:t>8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7778E2D7" w:rsidR="009A3E62" w:rsidRDefault="009A3E62" w:rsidP="009A3E62">
            <w:pPr>
              <w:spacing w:line="240" w:lineRule="exact"/>
            </w:pPr>
            <w:r>
              <w:t>2</w:t>
            </w:r>
            <w:r w:rsidR="00CF47CC">
              <w:t>7</w:t>
            </w:r>
            <w:r>
              <w:t xml:space="preserve"> </w:t>
            </w:r>
            <w:r w:rsidR="00CF47CC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232D0737" w:rsidR="009A3E62" w:rsidRDefault="009A3E62" w:rsidP="009A3E62">
      <w:r>
        <w:t>Item 4.8.</w:t>
      </w:r>
      <w:r w:rsidR="0077264F">
        <w:t>1</w:t>
      </w:r>
      <w:r w:rsidR="000461F0">
        <w:t>1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31C449B6" w:rsidR="009A3E62" w:rsidRDefault="002041F6" w:rsidP="009A3E62">
      <w:pPr>
        <w:pStyle w:val="HChG"/>
        <w:ind w:left="1124" w:right="1138" w:firstLine="0"/>
      </w:pPr>
      <w:r w:rsidRPr="00CE1295">
        <w:t xml:space="preserve">Proposal for </w:t>
      </w:r>
      <w:r w:rsidR="00230A30">
        <w:t>S</w:t>
      </w:r>
      <w:r w:rsidRPr="00CE1295">
        <w:t xml:space="preserve">upplement 6 to the 03 </w:t>
      </w:r>
      <w:r w:rsidR="00230A30">
        <w:t>S</w:t>
      </w:r>
      <w:r w:rsidRPr="00CE1295">
        <w:t xml:space="preserve">eries of </w:t>
      </w:r>
      <w:r w:rsidR="00230A30">
        <w:t>A</w:t>
      </w:r>
      <w:r w:rsidRPr="00CE1295">
        <w:t>mendments to UN Regulation No. 29 (Cabs of commercial vehicles)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2FD42E65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587A71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427AE7D" w14:textId="77777777" w:rsidR="003B166E" w:rsidRPr="003B166E" w:rsidRDefault="003B166E" w:rsidP="003B166E">
      <w:pPr>
        <w:pStyle w:val="Para"/>
        <w:spacing w:after="0"/>
        <w:jc w:val="left"/>
        <w:rPr>
          <w:bCs/>
          <w:color w:val="000000" w:themeColor="text1"/>
        </w:rPr>
      </w:pPr>
      <w:r w:rsidRPr="003B166E">
        <w:rPr>
          <w:bCs/>
          <w:i/>
          <w:iCs/>
          <w:color w:val="000000" w:themeColor="text1"/>
        </w:rPr>
        <w:lastRenderedPageBreak/>
        <w:t xml:space="preserve">Paragraph 1., footnote 1, </w:t>
      </w:r>
      <w:r w:rsidRPr="003B166E">
        <w:rPr>
          <w:bCs/>
          <w:color w:val="000000" w:themeColor="text1"/>
        </w:rPr>
        <w:t>amend to read:</w:t>
      </w:r>
    </w:p>
    <w:p w14:paraId="7BA64A3B" w14:textId="7195E260" w:rsidR="003B166E" w:rsidRPr="003B166E" w:rsidRDefault="00D00E65" w:rsidP="00D00E65">
      <w:pPr>
        <w:pStyle w:val="Para"/>
        <w:spacing w:before="120"/>
        <w:ind w:left="1418" w:hanging="284"/>
        <w:jc w:val="left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  <w:vertAlign w:val="superscript"/>
        </w:rPr>
        <w:t>"</w:t>
      </w:r>
      <w:r w:rsidR="003B166E" w:rsidRPr="003B166E">
        <w:rPr>
          <w:bCs/>
          <w:color w:val="000000" w:themeColor="text1"/>
          <w:sz w:val="18"/>
          <w:szCs w:val="18"/>
          <w:vertAlign w:val="superscript"/>
        </w:rPr>
        <w:t>1</w:t>
      </w:r>
      <w:r w:rsidR="003B166E" w:rsidRPr="003B166E">
        <w:rPr>
          <w:bCs/>
          <w:color w:val="000000" w:themeColor="text1"/>
          <w:sz w:val="18"/>
          <w:szCs w:val="18"/>
        </w:rPr>
        <w:tab/>
        <w:t>As defined in the Consolidated Resolution on the Construction of Vehicles (R.E.3.), document ECE/TRANS/WP.29/78/Rev.</w:t>
      </w:r>
      <w:r w:rsidR="003B166E" w:rsidRPr="003B166E">
        <w:rPr>
          <w:b/>
          <w:color w:val="000000" w:themeColor="text1"/>
          <w:sz w:val="18"/>
          <w:szCs w:val="18"/>
        </w:rPr>
        <w:t>7</w:t>
      </w:r>
      <w:r w:rsidR="003B166E" w:rsidRPr="003B166E">
        <w:rPr>
          <w:bCs/>
          <w:color w:val="000000" w:themeColor="text1"/>
          <w:sz w:val="18"/>
          <w:szCs w:val="18"/>
        </w:rPr>
        <w:t xml:space="preserve">, para. 2 - </w:t>
      </w:r>
      <w:hyperlink r:id="rId12" w:history="1">
        <w:r w:rsidR="003B166E" w:rsidRPr="00A4291E">
          <w:rPr>
            <w:rStyle w:val="Hyperlink"/>
            <w:color w:val="000000" w:themeColor="text1"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000000" w:themeColor="text1"/>
          <w:sz w:val="18"/>
          <w:szCs w:val="18"/>
        </w:rPr>
        <w:t>"</w:t>
      </w:r>
    </w:p>
    <w:p w14:paraId="3EBDA4B8" w14:textId="77777777" w:rsidR="003B166E" w:rsidRPr="003B166E" w:rsidRDefault="003B166E" w:rsidP="003B166E">
      <w:pPr>
        <w:pStyle w:val="Para"/>
        <w:spacing w:after="0"/>
        <w:jc w:val="left"/>
        <w:rPr>
          <w:bCs/>
          <w:color w:val="000000" w:themeColor="text1"/>
        </w:rPr>
      </w:pPr>
      <w:r w:rsidRPr="003B166E">
        <w:rPr>
          <w:bCs/>
          <w:i/>
          <w:iCs/>
          <w:color w:val="000000" w:themeColor="text1"/>
        </w:rPr>
        <w:t>Paragraphs 2.6. and 2.7.,</w:t>
      </w:r>
      <w:r w:rsidRPr="003B166E">
        <w:rPr>
          <w:bCs/>
          <w:color w:val="000000" w:themeColor="text1"/>
        </w:rPr>
        <w:t xml:space="preserve"> amend to read:</w:t>
      </w:r>
    </w:p>
    <w:p w14:paraId="1B0B9D69" w14:textId="536A74C7" w:rsidR="003B166E" w:rsidRPr="003B166E" w:rsidRDefault="00D00E65" w:rsidP="00D00E65">
      <w:pPr>
        <w:pStyle w:val="Para"/>
        <w:spacing w:before="120"/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3B166E" w:rsidRPr="003B166E">
        <w:rPr>
          <w:bCs/>
          <w:color w:val="000000" w:themeColor="text1"/>
        </w:rPr>
        <w:t>2.6.</w:t>
      </w:r>
      <w:r w:rsidR="003B166E" w:rsidRPr="003B166E">
        <w:rPr>
          <w:bCs/>
          <w:color w:val="000000" w:themeColor="text1"/>
        </w:rPr>
        <w:tab/>
      </w:r>
      <w:r w:rsidR="003B166E" w:rsidRPr="003B166E">
        <w:rPr>
          <w:bCs/>
          <w:i/>
          <w:iCs/>
          <w:color w:val="000000" w:themeColor="text1"/>
        </w:rPr>
        <w:t>‘R point’</w:t>
      </w:r>
      <w:r w:rsidR="003B166E" w:rsidRPr="003B166E">
        <w:rPr>
          <w:bCs/>
          <w:color w:val="000000" w:themeColor="text1"/>
        </w:rPr>
        <w:t xml:space="preserve"> means the seating reference point as defined in Annex 4.</w:t>
      </w:r>
    </w:p>
    <w:p w14:paraId="27A28B94" w14:textId="7A512D98" w:rsidR="003B166E" w:rsidRPr="003B166E" w:rsidRDefault="003B166E" w:rsidP="003B166E">
      <w:pPr>
        <w:pStyle w:val="Para"/>
        <w:spacing w:after="0"/>
        <w:ind w:left="1418" w:hanging="284"/>
        <w:jc w:val="left"/>
        <w:rPr>
          <w:bCs/>
          <w:color w:val="000000" w:themeColor="text1"/>
        </w:rPr>
      </w:pPr>
      <w:r w:rsidRPr="003B166E">
        <w:rPr>
          <w:bCs/>
          <w:color w:val="000000" w:themeColor="text1"/>
        </w:rPr>
        <w:t>2.7.</w:t>
      </w:r>
      <w:r w:rsidRPr="003B166E">
        <w:rPr>
          <w:bCs/>
          <w:color w:val="000000" w:themeColor="text1"/>
        </w:rPr>
        <w:tab/>
      </w:r>
      <w:r w:rsidRPr="003B166E">
        <w:rPr>
          <w:bCs/>
          <w:i/>
          <w:iCs/>
          <w:color w:val="000000" w:themeColor="text1"/>
        </w:rPr>
        <w:t>‘H-point’</w:t>
      </w:r>
      <w:r w:rsidRPr="003B166E">
        <w:rPr>
          <w:bCs/>
          <w:color w:val="000000" w:themeColor="text1"/>
        </w:rPr>
        <w:t xml:space="preserve"> means the point defined in Annex 4.</w:t>
      </w:r>
      <w:r w:rsidR="00D00E65">
        <w:rPr>
          <w:bCs/>
          <w:color w:val="000000" w:themeColor="text1"/>
        </w:rPr>
        <w:t>"</w:t>
      </w:r>
    </w:p>
    <w:p w14:paraId="7CAA4B0C" w14:textId="77777777" w:rsidR="003B166E" w:rsidRPr="003B166E" w:rsidRDefault="003B166E" w:rsidP="00D00E65">
      <w:pPr>
        <w:pStyle w:val="Para"/>
        <w:spacing w:before="120"/>
        <w:jc w:val="left"/>
        <w:rPr>
          <w:bCs/>
          <w:i/>
          <w:iCs/>
          <w:color w:val="000000" w:themeColor="text1"/>
        </w:rPr>
      </w:pPr>
      <w:r w:rsidRPr="003B166E">
        <w:rPr>
          <w:bCs/>
          <w:i/>
          <w:iCs/>
          <w:color w:val="000000" w:themeColor="text1"/>
        </w:rPr>
        <w:t xml:space="preserve">Paragraph 4.4.1., footnote 2, </w:t>
      </w:r>
      <w:r w:rsidRPr="003B166E">
        <w:rPr>
          <w:bCs/>
          <w:color w:val="000000" w:themeColor="text1"/>
        </w:rPr>
        <w:t>amend to read:</w:t>
      </w:r>
    </w:p>
    <w:p w14:paraId="32D599F0" w14:textId="66E44BBF" w:rsidR="003B166E" w:rsidRPr="003B166E" w:rsidRDefault="00D00E65" w:rsidP="003B166E">
      <w:pPr>
        <w:pStyle w:val="Para"/>
        <w:ind w:left="1418" w:hanging="284"/>
        <w:jc w:val="left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  <w:vertAlign w:val="superscript"/>
        </w:rPr>
        <w:t>"</w:t>
      </w:r>
      <w:r w:rsidR="003B166E" w:rsidRPr="003B166E">
        <w:rPr>
          <w:bCs/>
          <w:color w:val="000000" w:themeColor="text1"/>
          <w:sz w:val="18"/>
          <w:szCs w:val="18"/>
          <w:vertAlign w:val="superscript"/>
        </w:rPr>
        <w:t>2</w:t>
      </w:r>
      <w:r w:rsidR="003B166E" w:rsidRPr="003B166E">
        <w:rPr>
          <w:bCs/>
          <w:color w:val="000000" w:themeColor="text1"/>
          <w:sz w:val="18"/>
          <w:szCs w:val="18"/>
        </w:rPr>
        <w:tab/>
        <w:t xml:space="preserve">The distinguish numbers of the Contracting Parties to the 1958 Agreement are reproduced in </w:t>
      </w:r>
      <w:r w:rsidR="003B166E" w:rsidRPr="003B166E">
        <w:rPr>
          <w:bCs/>
          <w:color w:val="000000" w:themeColor="text1"/>
          <w:sz w:val="18"/>
          <w:szCs w:val="18"/>
        </w:rPr>
        <w:br/>
        <w:t>Annex 3 to Consolidated Resolution on the Construction of Vehicles (R.E.3), document ECE/TRANS/WP.29/78/Rev.</w:t>
      </w:r>
      <w:r w:rsidR="003B166E" w:rsidRPr="003B166E">
        <w:rPr>
          <w:b/>
          <w:color w:val="000000" w:themeColor="text1"/>
          <w:sz w:val="18"/>
          <w:szCs w:val="18"/>
        </w:rPr>
        <w:t xml:space="preserve">7 </w:t>
      </w:r>
      <w:r w:rsidR="003B166E" w:rsidRPr="003B166E">
        <w:rPr>
          <w:bCs/>
          <w:color w:val="000000" w:themeColor="text1"/>
          <w:sz w:val="18"/>
          <w:szCs w:val="18"/>
        </w:rPr>
        <w:t xml:space="preserve">- </w:t>
      </w:r>
      <w:r w:rsidR="003B166E" w:rsidRPr="003B166E">
        <w:rPr>
          <w:bCs/>
          <w:color w:val="000000" w:themeColor="text1"/>
          <w:sz w:val="18"/>
          <w:szCs w:val="18"/>
        </w:rPr>
        <w:br/>
      </w:r>
      <w:hyperlink r:id="rId13" w:history="1">
        <w:r w:rsidR="003B166E" w:rsidRPr="00756432">
          <w:rPr>
            <w:rStyle w:val="Hyperlink"/>
            <w:color w:val="000000" w:themeColor="text1"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000000" w:themeColor="text1"/>
          <w:sz w:val="18"/>
          <w:szCs w:val="18"/>
        </w:rPr>
        <w:t>"</w:t>
      </w:r>
    </w:p>
    <w:p w14:paraId="7D1550BD" w14:textId="77777777" w:rsidR="003B166E" w:rsidRPr="003B166E" w:rsidRDefault="003B166E" w:rsidP="003B166E">
      <w:pPr>
        <w:pStyle w:val="Para"/>
        <w:spacing w:after="0"/>
        <w:jc w:val="left"/>
        <w:rPr>
          <w:bCs/>
          <w:color w:val="000000" w:themeColor="text1"/>
        </w:rPr>
      </w:pPr>
      <w:r w:rsidRPr="003B166E">
        <w:rPr>
          <w:bCs/>
          <w:i/>
          <w:iCs/>
          <w:color w:val="000000" w:themeColor="text1"/>
        </w:rPr>
        <w:t>Annex 1, paragraph 1.4., footnote 1,</w:t>
      </w:r>
      <w:r w:rsidRPr="003B166E">
        <w:rPr>
          <w:bCs/>
          <w:color w:val="000000" w:themeColor="text1"/>
        </w:rPr>
        <w:t xml:space="preserve"> amend to read:</w:t>
      </w:r>
    </w:p>
    <w:p w14:paraId="3BB5BACA" w14:textId="7F149379" w:rsidR="003B166E" w:rsidRPr="003B166E" w:rsidRDefault="00D00E65" w:rsidP="007C7529">
      <w:pPr>
        <w:pStyle w:val="Para"/>
        <w:spacing w:before="120"/>
        <w:ind w:left="1418" w:hanging="284"/>
        <w:jc w:val="left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  <w:vertAlign w:val="superscript"/>
        </w:rPr>
        <w:t>"</w:t>
      </w:r>
      <w:r w:rsidR="003B166E" w:rsidRPr="003B166E">
        <w:rPr>
          <w:bCs/>
          <w:color w:val="000000" w:themeColor="text1"/>
          <w:sz w:val="18"/>
          <w:szCs w:val="18"/>
          <w:vertAlign w:val="superscript"/>
        </w:rPr>
        <w:t>1</w:t>
      </w:r>
      <w:r w:rsidR="003B166E" w:rsidRPr="003B166E">
        <w:rPr>
          <w:bCs/>
          <w:color w:val="000000" w:themeColor="text1"/>
          <w:sz w:val="18"/>
          <w:szCs w:val="18"/>
        </w:rPr>
        <w:tab/>
      </w:r>
      <w:r w:rsidR="003B166E" w:rsidRPr="003B166E">
        <w:rPr>
          <w:color w:val="000000" w:themeColor="text1"/>
          <w:sz w:val="18"/>
          <w:szCs w:val="18"/>
        </w:rPr>
        <w:t>As defined in the Consolidated Resolution on the Construction of Vehicles (R.E.3.), document ECE/TRANS/WP.29/78/Rev.</w:t>
      </w:r>
      <w:r w:rsidR="003B166E" w:rsidRPr="003B166E">
        <w:rPr>
          <w:b/>
          <w:bCs/>
          <w:color w:val="000000" w:themeColor="text1"/>
          <w:sz w:val="18"/>
          <w:szCs w:val="18"/>
        </w:rPr>
        <w:t>7</w:t>
      </w:r>
      <w:r w:rsidR="003B166E" w:rsidRPr="003B166E">
        <w:rPr>
          <w:color w:val="000000" w:themeColor="text1"/>
          <w:sz w:val="18"/>
          <w:szCs w:val="18"/>
        </w:rPr>
        <w:t xml:space="preserve">, para. 2 </w:t>
      </w:r>
      <w:r w:rsidR="003B166E" w:rsidRPr="003B166E">
        <w:rPr>
          <w:b/>
          <w:bCs/>
          <w:color w:val="000000" w:themeColor="text1"/>
          <w:sz w:val="18"/>
          <w:szCs w:val="18"/>
        </w:rPr>
        <w:t xml:space="preserve">- </w:t>
      </w:r>
      <w:r w:rsidR="003B166E" w:rsidRPr="003B166E">
        <w:rPr>
          <w:color w:val="000000" w:themeColor="text1"/>
          <w:sz w:val="18"/>
          <w:szCs w:val="18"/>
        </w:rPr>
        <w:br/>
      </w:r>
      <w:hyperlink r:id="rId14" w:history="1">
        <w:r w:rsidR="003B166E" w:rsidRPr="00756432">
          <w:rPr>
            <w:rStyle w:val="Hyperlink"/>
            <w:color w:val="000000" w:themeColor="text1"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000000" w:themeColor="text1"/>
          <w:sz w:val="18"/>
          <w:szCs w:val="18"/>
        </w:rPr>
        <w:t>"</w:t>
      </w:r>
    </w:p>
    <w:p w14:paraId="338E3B8B" w14:textId="77777777" w:rsidR="003B166E" w:rsidRDefault="003B166E" w:rsidP="003B166E">
      <w:pPr>
        <w:pStyle w:val="Para"/>
        <w:spacing w:after="0"/>
        <w:jc w:val="left"/>
        <w:rPr>
          <w:bCs/>
          <w:i/>
          <w:iCs/>
        </w:rPr>
      </w:pPr>
      <w:r>
        <w:rPr>
          <w:bCs/>
          <w:i/>
          <w:iCs/>
        </w:rPr>
        <w:t xml:space="preserve">Annex 4, shall be deleted </w:t>
      </w:r>
    </w:p>
    <w:p w14:paraId="728F09ED" w14:textId="77777777" w:rsidR="003B166E" w:rsidRDefault="003B166E" w:rsidP="003B166E">
      <w:pPr>
        <w:pStyle w:val="Para"/>
        <w:spacing w:before="12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Insert new Annex 4, </w:t>
      </w:r>
      <w:r>
        <w:rPr>
          <w:bCs/>
        </w:rPr>
        <w:t xml:space="preserve"> to read:</w:t>
      </w:r>
    </w:p>
    <w:p w14:paraId="747CBF68" w14:textId="77377967" w:rsidR="003B166E" w:rsidRPr="0059255D" w:rsidRDefault="00D00E65" w:rsidP="003B166E">
      <w:pPr>
        <w:pStyle w:val="HChG"/>
        <w:ind w:left="0" w:firstLine="0"/>
      </w:pPr>
      <w:r>
        <w:t>"</w:t>
      </w:r>
      <w:r w:rsidR="003B166E" w:rsidRPr="0059255D">
        <w:t xml:space="preserve">Annex </w:t>
      </w:r>
      <w:r w:rsidR="003B166E">
        <w:t>4</w:t>
      </w:r>
    </w:p>
    <w:p w14:paraId="70C7F1CA" w14:textId="19949A47" w:rsidR="003B166E" w:rsidRPr="0059255D" w:rsidRDefault="003B166E" w:rsidP="003B166E">
      <w:pPr>
        <w:pStyle w:val="HChG"/>
      </w:pPr>
      <w:r w:rsidRPr="0059255D">
        <w:tab/>
      </w:r>
      <w:r w:rsidRPr="0059255D">
        <w:tab/>
        <w:t xml:space="preserve">Procedure for determining the </w:t>
      </w:r>
      <w:r w:rsidR="00D00E65">
        <w:t>"</w:t>
      </w:r>
      <w:r w:rsidRPr="0059255D">
        <w:t>H</w:t>
      </w:r>
      <w:r w:rsidR="00D00E65">
        <w:t>"</w:t>
      </w:r>
      <w:r w:rsidRPr="0059255D">
        <w:t xml:space="preserve"> point and the actual torso angle for seating positions in motor vehicles</w:t>
      </w:r>
      <w:r w:rsidRPr="007D6AA2">
        <w:rPr>
          <w:vertAlign w:val="superscript"/>
        </w:rPr>
        <w:t>1</w:t>
      </w:r>
    </w:p>
    <w:p w14:paraId="4193B9B6" w14:textId="1E881771" w:rsidR="003B166E" w:rsidRPr="0059255D" w:rsidRDefault="003B166E" w:rsidP="003B166E">
      <w:pPr>
        <w:pStyle w:val="H1G"/>
        <w:tabs>
          <w:tab w:val="left" w:pos="1134"/>
        </w:tabs>
        <w:ind w:left="2552" w:hanging="2552"/>
      </w:pPr>
      <w:r>
        <w:tab/>
      </w:r>
      <w:r>
        <w:tab/>
      </w:r>
      <w:r w:rsidRPr="0059255D">
        <w:t xml:space="preserve">Appendix 1 - Description of the three dimensional </w:t>
      </w:r>
      <w:r w:rsidR="00D00E65">
        <w:t>"</w:t>
      </w:r>
      <w:r w:rsidRPr="0059255D">
        <w:t>H</w:t>
      </w:r>
      <w:r w:rsidR="00D00E65">
        <w:t>"</w:t>
      </w:r>
      <w:r w:rsidRPr="0059255D">
        <w:t xml:space="preserve"> point machine</w:t>
      </w:r>
      <w:r w:rsidRPr="007D6AA2">
        <w:rPr>
          <w:vertAlign w:val="superscript"/>
        </w:rPr>
        <w:t>1</w:t>
      </w:r>
    </w:p>
    <w:p w14:paraId="5B48412C" w14:textId="77777777" w:rsidR="003B166E" w:rsidRPr="0059255D" w:rsidRDefault="003B166E" w:rsidP="003B166E">
      <w:pPr>
        <w:pStyle w:val="H1G"/>
      </w:pPr>
      <w:r>
        <w:tab/>
      </w:r>
      <w:r>
        <w:tab/>
      </w:r>
      <w:r w:rsidRPr="0059255D">
        <w:t>Appendix 2 - Three-dimensional reference system</w:t>
      </w:r>
      <w:r w:rsidRPr="007D6AA2">
        <w:rPr>
          <w:vertAlign w:val="superscript"/>
        </w:rPr>
        <w:t>1</w:t>
      </w:r>
    </w:p>
    <w:p w14:paraId="7DF92ED0" w14:textId="77777777" w:rsidR="003B166E" w:rsidRPr="0059255D" w:rsidRDefault="003B166E" w:rsidP="003B166E">
      <w:pPr>
        <w:pStyle w:val="H1G"/>
      </w:pPr>
      <w:r w:rsidRPr="0059255D">
        <w:tab/>
      </w:r>
      <w:r>
        <w:tab/>
      </w:r>
      <w:r w:rsidRPr="0059255D">
        <w:t xml:space="preserve">Appendix 3 </w:t>
      </w:r>
      <w:r>
        <w:t>-</w:t>
      </w:r>
      <w:r w:rsidRPr="0059255D">
        <w:t xml:space="preserve"> Reference data concerning seating positions</w:t>
      </w:r>
      <w:r w:rsidRPr="007D6AA2">
        <w:rPr>
          <w:vertAlign w:val="superscript"/>
        </w:rPr>
        <w:t>1</w:t>
      </w:r>
    </w:p>
    <w:p w14:paraId="5B85EF1A" w14:textId="7A9A099A" w:rsidR="003B166E" w:rsidRPr="007C7529" w:rsidRDefault="003B166E" w:rsidP="003B166E">
      <w:pPr>
        <w:pStyle w:val="Para"/>
        <w:spacing w:before="360" w:after="0"/>
        <w:ind w:left="2276" w:right="1138" w:hanging="1138"/>
        <w:jc w:val="left"/>
        <w:rPr>
          <w:bCs/>
        </w:rPr>
      </w:pPr>
      <w:r w:rsidRPr="006B1F0F">
        <w:rPr>
          <w:b/>
          <w:sz w:val="18"/>
          <w:szCs w:val="18"/>
          <w:vertAlign w:val="superscript"/>
        </w:rPr>
        <w:t>1</w:t>
      </w:r>
      <w:r w:rsidRPr="006B1F0F">
        <w:rPr>
          <w:b/>
          <w:sz w:val="18"/>
          <w:szCs w:val="18"/>
        </w:rPr>
        <w:tab/>
      </w:r>
      <w:r w:rsidRPr="007C7529">
        <w:rPr>
          <w:bCs/>
          <w:sz w:val="18"/>
          <w:szCs w:val="18"/>
        </w:rPr>
        <w:t xml:space="preserve">The procedure is described in Addendum 6 of Mutual Resolution No. 1 (M.R.1) </w:t>
      </w:r>
      <w:r w:rsidRPr="007C7529">
        <w:rPr>
          <w:bCs/>
          <w:sz w:val="18"/>
          <w:szCs w:val="18"/>
        </w:rPr>
        <w:br/>
        <w:t xml:space="preserve">(document ECE/TRANS/WP.29/1101/Amend.5); </w:t>
      </w:r>
      <w:r w:rsidRPr="007C7529">
        <w:rPr>
          <w:bCs/>
          <w:sz w:val="18"/>
          <w:szCs w:val="18"/>
        </w:rPr>
        <w:br/>
        <w:t xml:space="preserve">see </w:t>
      </w:r>
      <w:hyperlink r:id="rId15" w:history="1">
        <w:r w:rsidRPr="007C7529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="00D00E65" w:rsidRPr="007C7529">
        <w:rPr>
          <w:rStyle w:val="Hyperlink"/>
          <w:bCs/>
          <w:color w:val="auto"/>
          <w:sz w:val="18"/>
          <w:szCs w:val="18"/>
        </w:rPr>
        <w:t>"</w:t>
      </w:r>
    </w:p>
    <w:p w14:paraId="3C3296EE" w14:textId="77777777" w:rsidR="003B166E" w:rsidRDefault="003B166E" w:rsidP="003B166E">
      <w:pPr>
        <w:spacing w:before="240"/>
        <w:jc w:val="center"/>
        <w:rPr>
          <w:u w:val="single"/>
        </w:rPr>
      </w:pPr>
    </w:p>
    <w:p w14:paraId="7BD5042B" w14:textId="77777777" w:rsidR="003B166E" w:rsidRDefault="003B166E" w:rsidP="003B166E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t xml:space="preserve">Annex 5, </w:t>
      </w:r>
      <w:r>
        <w:rPr>
          <w:bCs/>
        </w:rPr>
        <w:t>shall be deleted.</w:t>
      </w:r>
    </w:p>
    <w:p w14:paraId="5AA911B3" w14:textId="0C4FBC6F" w:rsidR="001C6663" w:rsidRPr="003B166E" w:rsidRDefault="003B166E" w:rsidP="003B166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3B166E" w:rsidSect="009A3E6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F981" w14:textId="77777777" w:rsidR="00791098" w:rsidRDefault="00791098"/>
  </w:endnote>
  <w:endnote w:type="continuationSeparator" w:id="0">
    <w:p w14:paraId="70FB14AF" w14:textId="77777777" w:rsidR="00791098" w:rsidRDefault="00791098"/>
  </w:endnote>
  <w:endnote w:type="continuationNotice" w:id="1">
    <w:p w14:paraId="46A7F0FE" w14:textId="77777777" w:rsidR="00791098" w:rsidRDefault="0079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5583" w14:textId="2F0C7120" w:rsidR="00915E02" w:rsidRDefault="00915E02" w:rsidP="00915E0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B5C9F10" wp14:editId="7B4ED26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98B8F" w14:textId="2EDB2DBB" w:rsidR="00915E02" w:rsidRPr="00915E02" w:rsidRDefault="00915E02" w:rsidP="00915E02">
    <w:pPr>
      <w:pStyle w:val="Footer"/>
      <w:ind w:right="1134"/>
      <w:rPr>
        <w:sz w:val="20"/>
      </w:rPr>
    </w:pPr>
    <w:r>
      <w:rPr>
        <w:sz w:val="20"/>
      </w:rPr>
      <w:t>GE.24-15349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67EC1F5" wp14:editId="39F0B19B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CAAA" w14:textId="77777777" w:rsidR="00791098" w:rsidRPr="000B175B" w:rsidRDefault="0079109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8AA36E" w14:textId="77777777" w:rsidR="00791098" w:rsidRPr="00FC68B7" w:rsidRDefault="0079109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8D8D82E" w14:textId="77777777" w:rsidR="00791098" w:rsidRDefault="00791098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198365D7" w:rsidR="009A3E62" w:rsidRPr="00587A71" w:rsidRDefault="00587A71">
    <w:pPr>
      <w:pStyle w:val="Header"/>
      <w:rPr>
        <w:lang w:val="fr-CH"/>
      </w:rPr>
    </w:pPr>
    <w:r>
      <w:rPr>
        <w:lang w:val="fr-CH"/>
      </w:rPr>
      <w:t>ECE/TRANS/WP.29/2024/128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58AE40B2" w:rsidR="009A3E62" w:rsidRPr="009A3E62" w:rsidRDefault="00670E8A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603CE">
      <w:t>ECE/TRANS/WP.29/2024/119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61F0"/>
    <w:rsid w:val="00050F6B"/>
    <w:rsid w:val="000678CD"/>
    <w:rsid w:val="00072C8C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11E0B"/>
    <w:rsid w:val="00230A30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294E"/>
    <w:rsid w:val="00336C97"/>
    <w:rsid w:val="00337F88"/>
    <w:rsid w:val="00342432"/>
    <w:rsid w:val="0035223F"/>
    <w:rsid w:val="00352D4B"/>
    <w:rsid w:val="0035638C"/>
    <w:rsid w:val="00361780"/>
    <w:rsid w:val="00375DCA"/>
    <w:rsid w:val="00383439"/>
    <w:rsid w:val="003A46BB"/>
    <w:rsid w:val="003A4EC7"/>
    <w:rsid w:val="003A7295"/>
    <w:rsid w:val="003B166E"/>
    <w:rsid w:val="003B1F60"/>
    <w:rsid w:val="003C2CC4"/>
    <w:rsid w:val="003D4B23"/>
    <w:rsid w:val="003D69DE"/>
    <w:rsid w:val="003E278A"/>
    <w:rsid w:val="003F6351"/>
    <w:rsid w:val="00413520"/>
    <w:rsid w:val="00416398"/>
    <w:rsid w:val="00432161"/>
    <w:rsid w:val="004325CB"/>
    <w:rsid w:val="00440A07"/>
    <w:rsid w:val="004521C1"/>
    <w:rsid w:val="00462880"/>
    <w:rsid w:val="0046451E"/>
    <w:rsid w:val="00476F24"/>
    <w:rsid w:val="00492664"/>
    <w:rsid w:val="004A5D33"/>
    <w:rsid w:val="004B7377"/>
    <w:rsid w:val="004C3F07"/>
    <w:rsid w:val="004C41C5"/>
    <w:rsid w:val="004C55B0"/>
    <w:rsid w:val="004C72BE"/>
    <w:rsid w:val="004D3EA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87A71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603CE"/>
    <w:rsid w:val="00670E8A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5927"/>
    <w:rsid w:val="0070701E"/>
    <w:rsid w:val="0072632A"/>
    <w:rsid w:val="007358E8"/>
    <w:rsid w:val="00736ECE"/>
    <w:rsid w:val="0074533B"/>
    <w:rsid w:val="00756432"/>
    <w:rsid w:val="007643BC"/>
    <w:rsid w:val="0077264F"/>
    <w:rsid w:val="00780C68"/>
    <w:rsid w:val="00785C0C"/>
    <w:rsid w:val="00791098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3E7D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389E"/>
    <w:rsid w:val="008D045E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15E02"/>
    <w:rsid w:val="0092556A"/>
    <w:rsid w:val="00926E47"/>
    <w:rsid w:val="00945AE9"/>
    <w:rsid w:val="00947162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4291E"/>
    <w:rsid w:val="00A53A02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04D5"/>
    <w:rsid w:val="00AF58C1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CF47CC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978C6"/>
    <w:rsid w:val="00DA0956"/>
    <w:rsid w:val="00DA357F"/>
    <w:rsid w:val="00DA3E12"/>
    <w:rsid w:val="00DB211F"/>
    <w:rsid w:val="00DC18AD"/>
    <w:rsid w:val="00DD7CA0"/>
    <w:rsid w:val="00DE6555"/>
    <w:rsid w:val="00DF7CAE"/>
    <w:rsid w:val="00E423C0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19B3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E6985"/>
    <w:rsid w:val="00FF5524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unece.org/transport/vehicle-regulations/wp29/resolution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339</Words>
  <Characters>2172</Characters>
  <Application>Microsoft Office Word</Application>
  <DocSecurity>0</DocSecurity>
  <Lines>57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ECE/TRANS/WP.29/2024/128</dc:title>
  <dc:subject>2415349</dc:subject>
  <dc:creator>Edoardo Gianotti</dc:creator>
  <cp:keywords/>
  <dc:description/>
  <cp:lastModifiedBy>Maria Rosario Corazon Gatmaytan</cp:lastModifiedBy>
  <cp:revision>2</cp:revision>
  <cp:lastPrinted>2024-08-27T13:04:00Z</cp:lastPrinted>
  <dcterms:created xsi:type="dcterms:W3CDTF">2024-08-28T07:43:00Z</dcterms:created>
  <dcterms:modified xsi:type="dcterms:W3CDTF">2024-08-28T07:43:00Z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