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DCDFF" w14:textId="77777777" w:rsidR="00F15342" w:rsidRDefault="00F15342">
      <w:pPr>
        <w:rPr>
          <w:lang w:val="en-US"/>
        </w:rPr>
      </w:pPr>
    </w:p>
    <w:p w14:paraId="2BF9ACE2" w14:textId="77777777" w:rsidR="00E65B9E" w:rsidRDefault="00E65B9E">
      <w:pPr>
        <w:rPr>
          <w:lang w:val="en-US"/>
        </w:rPr>
      </w:pPr>
    </w:p>
    <w:tbl>
      <w:tblPr>
        <w:tblStyle w:val="TableGrid"/>
        <w:tblW w:w="0" w:type="auto"/>
        <w:tblCellMar>
          <w:top w:w="58" w:type="dxa"/>
          <w:left w:w="58" w:type="dxa"/>
          <w:bottom w:w="58" w:type="dxa"/>
          <w:right w:w="58" w:type="dxa"/>
        </w:tblCellMar>
        <w:tblLook w:val="04A0" w:firstRow="1" w:lastRow="0" w:firstColumn="1" w:lastColumn="0" w:noHBand="0" w:noVBand="1"/>
      </w:tblPr>
      <w:tblGrid>
        <w:gridCol w:w="4675"/>
        <w:gridCol w:w="4675"/>
      </w:tblGrid>
      <w:tr w:rsidR="00E65B9E" w:rsidRPr="00E65B9E" w14:paraId="586EFF69" w14:textId="77777777" w:rsidTr="00E65B9E">
        <w:tc>
          <w:tcPr>
            <w:tcW w:w="4675" w:type="dxa"/>
          </w:tcPr>
          <w:p w14:paraId="07D55209" w14:textId="71D4DDBF" w:rsidR="00E65B9E" w:rsidRPr="00E65B9E" w:rsidRDefault="00E65B9E" w:rsidP="00E65B9E">
            <w:pPr>
              <w:jc w:val="center"/>
              <w:rPr>
                <w:sz w:val="20"/>
                <w:szCs w:val="20"/>
                <w:lang w:val="en-US"/>
              </w:rPr>
            </w:pPr>
            <w:r w:rsidRPr="00E65B9E">
              <w:rPr>
                <w:sz w:val="20"/>
                <w:szCs w:val="20"/>
                <w:lang w:val="en-US"/>
              </w:rPr>
              <w:t>EC/DE/UK revised proposal</w:t>
            </w:r>
          </w:p>
        </w:tc>
        <w:tc>
          <w:tcPr>
            <w:tcW w:w="4675" w:type="dxa"/>
          </w:tcPr>
          <w:p w14:paraId="1DB8DFD0" w14:textId="2AD627BA" w:rsidR="00E65B9E" w:rsidRPr="00E65B9E" w:rsidRDefault="00E65B9E" w:rsidP="00E65B9E">
            <w:pPr>
              <w:jc w:val="center"/>
              <w:rPr>
                <w:sz w:val="20"/>
                <w:szCs w:val="20"/>
                <w:lang w:val="en-US"/>
              </w:rPr>
            </w:pPr>
            <w:r w:rsidRPr="00E65B9E">
              <w:rPr>
                <w:sz w:val="20"/>
                <w:szCs w:val="20"/>
                <w:lang w:val="en-US"/>
              </w:rPr>
              <w:t xml:space="preserve">AAPC </w:t>
            </w:r>
            <w:r w:rsidR="001E71F4">
              <w:rPr>
                <w:sz w:val="20"/>
                <w:szCs w:val="20"/>
                <w:lang w:val="en-US"/>
              </w:rPr>
              <w:t>proposal for improvements</w:t>
            </w:r>
          </w:p>
        </w:tc>
      </w:tr>
      <w:tr w:rsidR="00E65B9E" w:rsidRPr="00E65B9E" w14:paraId="5E3BF4D8" w14:textId="77777777" w:rsidTr="00E65B9E">
        <w:tc>
          <w:tcPr>
            <w:tcW w:w="4675" w:type="dxa"/>
          </w:tcPr>
          <w:p w14:paraId="2E9FEC7C" w14:textId="30BA29C4" w:rsidR="00E65B9E" w:rsidRPr="00E65B9E" w:rsidRDefault="00E65B9E" w:rsidP="00E65B9E">
            <w:pPr>
              <w:ind w:left="720" w:hanging="720"/>
              <w:rPr>
                <w:sz w:val="20"/>
                <w:szCs w:val="20"/>
                <w:lang w:val="en-US"/>
              </w:rPr>
            </w:pPr>
            <w:r w:rsidRPr="00E65B9E">
              <w:rPr>
                <w:sz w:val="20"/>
                <w:szCs w:val="20"/>
                <w:lang w:val="en-US"/>
              </w:rPr>
              <w:t>4.</w:t>
            </w:r>
            <w:r w:rsidRPr="00E65B9E">
              <w:rPr>
                <w:sz w:val="20"/>
                <w:szCs w:val="20"/>
                <w:lang w:val="en-US"/>
              </w:rPr>
              <w:tab/>
              <w:t>Approval</w:t>
            </w:r>
          </w:p>
        </w:tc>
        <w:tc>
          <w:tcPr>
            <w:tcW w:w="4675" w:type="dxa"/>
          </w:tcPr>
          <w:p w14:paraId="48401A40" w14:textId="77777777" w:rsidR="00E65B9E" w:rsidRPr="00E65B9E" w:rsidRDefault="00E65B9E" w:rsidP="00E65B9E">
            <w:pPr>
              <w:ind w:left="720" w:hanging="720"/>
              <w:rPr>
                <w:sz w:val="20"/>
                <w:szCs w:val="20"/>
                <w:lang w:val="en-US"/>
              </w:rPr>
            </w:pPr>
          </w:p>
        </w:tc>
      </w:tr>
      <w:tr w:rsidR="00E65B9E" w:rsidRPr="00E65B9E" w14:paraId="7A0F26A8" w14:textId="77777777" w:rsidTr="00E65B9E">
        <w:tc>
          <w:tcPr>
            <w:tcW w:w="4675" w:type="dxa"/>
          </w:tcPr>
          <w:p w14:paraId="723936DB" w14:textId="632DF21C" w:rsidR="00E65B9E" w:rsidRPr="00E65B9E" w:rsidRDefault="00E65B9E" w:rsidP="00E65B9E">
            <w:pPr>
              <w:ind w:left="720" w:hanging="720"/>
              <w:rPr>
                <w:sz w:val="20"/>
                <w:szCs w:val="20"/>
                <w:lang w:val="en-US"/>
              </w:rPr>
            </w:pPr>
            <w:r w:rsidRPr="00E65B9E">
              <w:rPr>
                <w:sz w:val="20"/>
                <w:szCs w:val="20"/>
                <w:lang w:val="en-US"/>
              </w:rPr>
              <w:t>4.1.</w:t>
            </w:r>
            <w:r w:rsidRPr="00E65B9E">
              <w:rPr>
                <w:sz w:val="20"/>
                <w:szCs w:val="20"/>
                <w:lang w:val="en-US"/>
              </w:rPr>
              <w:tab/>
              <w:t>If the vehicle type submitted for approval pursuant to this Regulation meets the requirements of Paragraph 5 below, approval of that vehicle type shall be granted.</w:t>
            </w:r>
          </w:p>
        </w:tc>
        <w:tc>
          <w:tcPr>
            <w:tcW w:w="4675" w:type="dxa"/>
          </w:tcPr>
          <w:p w14:paraId="17FA5803" w14:textId="77777777" w:rsidR="00E65B9E" w:rsidRPr="00E65B9E" w:rsidRDefault="00E65B9E" w:rsidP="00E65B9E">
            <w:pPr>
              <w:ind w:left="720" w:hanging="720"/>
              <w:rPr>
                <w:sz w:val="20"/>
                <w:szCs w:val="20"/>
                <w:lang w:val="en-US"/>
              </w:rPr>
            </w:pPr>
          </w:p>
        </w:tc>
      </w:tr>
      <w:tr w:rsidR="00E65B9E" w:rsidRPr="00E65B9E" w14:paraId="584020D4" w14:textId="77777777" w:rsidTr="00E65B9E">
        <w:tc>
          <w:tcPr>
            <w:tcW w:w="4675" w:type="dxa"/>
          </w:tcPr>
          <w:p w14:paraId="29B02011" w14:textId="4A3423D0" w:rsidR="00E65B9E" w:rsidRPr="00E65B9E" w:rsidRDefault="00E65B9E" w:rsidP="00E65B9E">
            <w:pPr>
              <w:ind w:left="720" w:hanging="720"/>
              <w:rPr>
                <w:sz w:val="20"/>
                <w:szCs w:val="20"/>
                <w:lang w:val="en-US"/>
              </w:rPr>
            </w:pPr>
            <w:r w:rsidRPr="00E65B9E">
              <w:rPr>
                <w:sz w:val="20"/>
                <w:szCs w:val="20"/>
                <w:lang w:val="en-US"/>
              </w:rPr>
              <w:t>4.1.1.</w:t>
            </w:r>
            <w:r w:rsidRPr="00E65B9E">
              <w:rPr>
                <w:sz w:val="20"/>
                <w:szCs w:val="20"/>
                <w:lang w:val="en-US"/>
              </w:rPr>
              <w:tab/>
              <w:t>At the request of the manufacturer, approval shall be granted for any vehicle type up to maximum mass of 12,000 kg if equipped with deployable occupant restraint system and the vehicle type meets the technical requirements of the 01 or later series of amendments to UN Regulation No. 160.</w:t>
            </w:r>
          </w:p>
        </w:tc>
        <w:tc>
          <w:tcPr>
            <w:tcW w:w="4675" w:type="dxa"/>
          </w:tcPr>
          <w:p w14:paraId="0CD55B05" w14:textId="49390FF7" w:rsidR="00E65B9E" w:rsidRPr="00E65B9E" w:rsidRDefault="00E65B9E" w:rsidP="00E65B9E">
            <w:pPr>
              <w:ind w:left="720" w:hanging="720"/>
              <w:rPr>
                <w:sz w:val="20"/>
                <w:szCs w:val="20"/>
                <w:lang w:val="en-US"/>
              </w:rPr>
            </w:pPr>
            <w:bookmarkStart w:id="0" w:name="_Hlk210199360"/>
            <w:r w:rsidRPr="00E65B9E">
              <w:rPr>
                <w:sz w:val="20"/>
                <w:szCs w:val="20"/>
                <w:lang w:val="en-US"/>
              </w:rPr>
              <w:t>4.</w:t>
            </w:r>
            <w:r w:rsidR="00BC7472">
              <w:rPr>
                <w:sz w:val="20"/>
                <w:szCs w:val="20"/>
                <w:lang w:val="en-US"/>
              </w:rPr>
              <w:t>2.</w:t>
            </w:r>
            <w:r w:rsidRPr="00E65B9E">
              <w:rPr>
                <w:sz w:val="20"/>
                <w:szCs w:val="20"/>
                <w:lang w:val="en-US"/>
              </w:rPr>
              <w:tab/>
              <w:t>At the request of the manufacturer, approval shall be granted for any vehicle type up to a maximum mass of 12,000 kg provided that:</w:t>
            </w:r>
          </w:p>
          <w:p w14:paraId="7011994B" w14:textId="77777777" w:rsidR="00E65B9E" w:rsidRPr="00E65B9E" w:rsidRDefault="00E65B9E" w:rsidP="00E65B9E">
            <w:pPr>
              <w:spacing w:before="120"/>
              <w:ind w:left="1152" w:hanging="432"/>
              <w:rPr>
                <w:sz w:val="20"/>
                <w:szCs w:val="20"/>
                <w:lang w:val="en-US"/>
              </w:rPr>
            </w:pPr>
            <w:r w:rsidRPr="00E65B9E">
              <w:rPr>
                <w:sz w:val="20"/>
                <w:szCs w:val="20"/>
                <w:lang w:val="en-US"/>
              </w:rPr>
              <w:t>(a)</w:t>
            </w:r>
            <w:r w:rsidRPr="00E65B9E">
              <w:rPr>
                <w:sz w:val="20"/>
                <w:szCs w:val="20"/>
                <w:lang w:val="en-US"/>
              </w:rPr>
              <w:tab/>
              <w:t xml:space="preserve">The vehicle type is equipped with a deployable occupant restraint system, and </w:t>
            </w:r>
          </w:p>
          <w:p w14:paraId="64CAEF03" w14:textId="6E32C136" w:rsidR="00E65B9E" w:rsidRPr="00E65B9E" w:rsidRDefault="00E65B9E" w:rsidP="00E65B9E">
            <w:pPr>
              <w:spacing w:before="120"/>
              <w:ind w:left="1152" w:hanging="432"/>
              <w:rPr>
                <w:sz w:val="20"/>
                <w:szCs w:val="20"/>
                <w:lang w:val="en-US"/>
              </w:rPr>
            </w:pPr>
            <w:r w:rsidRPr="00E65B9E">
              <w:rPr>
                <w:sz w:val="20"/>
                <w:szCs w:val="20"/>
                <w:lang w:val="en-US"/>
              </w:rPr>
              <w:t>(b)</w:t>
            </w:r>
            <w:r w:rsidRPr="00E65B9E">
              <w:rPr>
                <w:sz w:val="20"/>
                <w:szCs w:val="20"/>
                <w:lang w:val="en-US"/>
              </w:rPr>
              <w:tab/>
              <w:t>The vehicle type meets the technical requirements of the 01 or later series of amendments to UN Regulation No. 160.</w:t>
            </w:r>
            <w:bookmarkEnd w:id="0"/>
          </w:p>
        </w:tc>
      </w:tr>
      <w:tr w:rsidR="00E65B9E" w:rsidRPr="00E65B9E" w14:paraId="6B8A1ED4" w14:textId="77777777" w:rsidTr="00E65B9E">
        <w:tc>
          <w:tcPr>
            <w:tcW w:w="4675" w:type="dxa"/>
          </w:tcPr>
          <w:p w14:paraId="7A5FB365" w14:textId="5441B8BF" w:rsidR="00E65B9E" w:rsidRPr="00E65B9E" w:rsidRDefault="00E65B9E" w:rsidP="00E65B9E">
            <w:pPr>
              <w:ind w:left="720" w:hanging="720"/>
              <w:rPr>
                <w:sz w:val="20"/>
                <w:szCs w:val="20"/>
                <w:lang w:val="en-US"/>
              </w:rPr>
            </w:pPr>
            <w:r>
              <w:rPr>
                <w:sz w:val="20"/>
                <w:szCs w:val="20"/>
                <w:lang w:val="en-US"/>
              </w:rPr>
              <w:t>4</w:t>
            </w:r>
            <w:r w:rsidRPr="00E65B9E">
              <w:rPr>
                <w:sz w:val="20"/>
                <w:szCs w:val="20"/>
                <w:lang w:val="en-US"/>
              </w:rPr>
              <w:t>.1.2.</w:t>
            </w:r>
            <w:r w:rsidRPr="00E65B9E">
              <w:rPr>
                <w:sz w:val="20"/>
                <w:szCs w:val="20"/>
                <w:lang w:val="en-US"/>
              </w:rPr>
              <w:tab/>
              <w:t>In the case of a vehicle type with a maximum mass between 8,000 and 12,000 kg, the approval under Paragraph 4.1.1. shall be granted subject to the vehicle type under approval being a derivative of a vehicle type of category M1 and/or N1 that has an approval to UN Regulation No.160, having safety characteristics (e.g., crash structure, deployable occupant restraint system) consistent with the characteristics of the M1 and/or N1 vehicle type, where it can be demonstrated that the EDR triggering is of equivalent effectiveness compared to the M1 and/or N1 vehicle type. The equivalence shall be demonstrated in the following way:</w:t>
            </w:r>
          </w:p>
        </w:tc>
        <w:tc>
          <w:tcPr>
            <w:tcW w:w="4675" w:type="dxa"/>
          </w:tcPr>
          <w:p w14:paraId="1C770173" w14:textId="30036834" w:rsidR="00E65B9E" w:rsidRPr="00E65B9E" w:rsidRDefault="00E65B9E" w:rsidP="00E65B9E">
            <w:pPr>
              <w:ind w:left="720" w:hanging="720"/>
              <w:rPr>
                <w:sz w:val="20"/>
                <w:szCs w:val="20"/>
                <w:lang w:val="en-US"/>
              </w:rPr>
            </w:pPr>
            <w:bookmarkStart w:id="1" w:name="_Hlk210199390"/>
            <w:r w:rsidRPr="00E65B9E">
              <w:rPr>
                <w:sz w:val="20"/>
                <w:szCs w:val="20"/>
                <w:lang w:val="en-US"/>
              </w:rPr>
              <w:t>4.</w:t>
            </w:r>
            <w:r w:rsidR="00BC7472">
              <w:rPr>
                <w:sz w:val="20"/>
                <w:szCs w:val="20"/>
                <w:lang w:val="en-US"/>
              </w:rPr>
              <w:t>2.1</w:t>
            </w:r>
            <w:r w:rsidRPr="00E65B9E">
              <w:rPr>
                <w:sz w:val="20"/>
                <w:szCs w:val="20"/>
                <w:lang w:val="en-US"/>
              </w:rPr>
              <w:t>.</w:t>
            </w:r>
            <w:r w:rsidRPr="00E65B9E">
              <w:rPr>
                <w:sz w:val="20"/>
                <w:szCs w:val="20"/>
                <w:lang w:val="en-US"/>
              </w:rPr>
              <w:tab/>
              <w:t>In the case of a vehicle type with a maximum mass between 8,000 and 12,000 kg, the approval specified under paragraph 4.</w:t>
            </w:r>
            <w:r w:rsidR="00934D6E">
              <w:rPr>
                <w:b/>
                <w:bCs/>
                <w:color w:val="EE0000"/>
                <w:sz w:val="20"/>
                <w:szCs w:val="20"/>
                <w:lang w:val="en-US"/>
              </w:rPr>
              <w:t>2.</w:t>
            </w:r>
            <w:r w:rsidRPr="00934D6E">
              <w:rPr>
                <w:strike/>
                <w:color w:val="EE0000"/>
                <w:sz w:val="20"/>
                <w:szCs w:val="20"/>
                <w:lang w:val="en-US"/>
              </w:rPr>
              <w:t>1.</w:t>
            </w:r>
            <w:r w:rsidRPr="00887919">
              <w:rPr>
                <w:strike/>
                <w:color w:val="EE0000"/>
                <w:sz w:val="20"/>
                <w:szCs w:val="20"/>
                <w:lang w:val="en-US"/>
              </w:rPr>
              <w:t>1.</w:t>
            </w:r>
            <w:r w:rsidRPr="00E65B9E">
              <w:rPr>
                <w:sz w:val="20"/>
                <w:szCs w:val="20"/>
                <w:lang w:val="en-US"/>
              </w:rPr>
              <w:t xml:space="preserve"> shall</w:t>
            </w:r>
            <w:r w:rsidR="00927B56">
              <w:rPr>
                <w:sz w:val="20"/>
                <w:szCs w:val="20"/>
                <w:lang w:val="en-US"/>
              </w:rPr>
              <w:t xml:space="preserve"> </w:t>
            </w:r>
            <w:r w:rsidR="00927B56">
              <w:rPr>
                <w:b/>
                <w:bCs/>
                <w:color w:val="EE0000"/>
                <w:sz w:val="20"/>
                <w:szCs w:val="20"/>
                <w:lang w:val="en-US"/>
              </w:rPr>
              <w:t>only</w:t>
            </w:r>
            <w:r w:rsidRPr="00E65B9E">
              <w:rPr>
                <w:sz w:val="20"/>
                <w:szCs w:val="20"/>
                <w:lang w:val="en-US"/>
              </w:rPr>
              <w:t xml:space="preserve"> be granted provided that:</w:t>
            </w:r>
          </w:p>
          <w:p w14:paraId="1C7F4F8D" w14:textId="58E95FD1" w:rsidR="00E65B9E" w:rsidRPr="00E65B9E" w:rsidRDefault="00E65B9E" w:rsidP="00E65B9E">
            <w:pPr>
              <w:spacing w:before="120"/>
              <w:ind w:left="1152" w:hanging="432"/>
              <w:rPr>
                <w:sz w:val="20"/>
                <w:szCs w:val="20"/>
                <w:lang w:val="en-US"/>
              </w:rPr>
            </w:pPr>
            <w:r w:rsidRPr="00E65B9E">
              <w:rPr>
                <w:sz w:val="20"/>
                <w:szCs w:val="20"/>
                <w:lang w:val="en-US"/>
              </w:rPr>
              <w:t>(a)</w:t>
            </w:r>
            <w:r w:rsidRPr="00E65B9E">
              <w:rPr>
                <w:sz w:val="20"/>
                <w:szCs w:val="20"/>
                <w:lang w:val="en-US"/>
              </w:rPr>
              <w:tab/>
              <w:t>The vehicle type is de</w:t>
            </w:r>
            <w:r w:rsidR="006519E9">
              <w:rPr>
                <w:sz w:val="20"/>
                <w:szCs w:val="20"/>
                <w:lang w:val="en-US"/>
              </w:rPr>
              <w:t>rivative of</w:t>
            </w:r>
            <w:r w:rsidRPr="00E65B9E">
              <w:rPr>
                <w:sz w:val="20"/>
                <w:szCs w:val="20"/>
                <w:lang w:val="en-US"/>
              </w:rPr>
              <w:t xml:space="preserve"> a vehicle type of category M</w:t>
            </w:r>
            <w:r w:rsidRPr="00E65B9E">
              <w:rPr>
                <w:sz w:val="20"/>
                <w:szCs w:val="20"/>
                <w:vertAlign w:val="subscript"/>
                <w:lang w:val="en-US"/>
              </w:rPr>
              <w:t>1</w:t>
            </w:r>
            <w:r w:rsidRPr="00E65B9E">
              <w:rPr>
                <w:sz w:val="20"/>
                <w:szCs w:val="20"/>
                <w:lang w:val="en-US"/>
              </w:rPr>
              <w:t xml:space="preserve"> and/or N</w:t>
            </w:r>
            <w:r w:rsidRPr="00E65B9E">
              <w:rPr>
                <w:sz w:val="20"/>
                <w:szCs w:val="20"/>
                <w:vertAlign w:val="subscript"/>
                <w:lang w:val="en-US"/>
              </w:rPr>
              <w:t>1</w:t>
            </w:r>
            <w:r w:rsidRPr="00E65B9E">
              <w:rPr>
                <w:sz w:val="20"/>
                <w:szCs w:val="20"/>
                <w:lang w:val="en-US"/>
              </w:rPr>
              <w:t>,</w:t>
            </w:r>
          </w:p>
          <w:p w14:paraId="5B1BA598" w14:textId="493F2773" w:rsidR="00E65B9E" w:rsidRPr="00E65B9E" w:rsidRDefault="00E65B9E" w:rsidP="00E65B9E">
            <w:pPr>
              <w:spacing w:before="120"/>
              <w:ind w:left="1152" w:hanging="432"/>
              <w:rPr>
                <w:sz w:val="20"/>
                <w:szCs w:val="20"/>
                <w:lang w:val="en-US"/>
              </w:rPr>
            </w:pPr>
            <w:r w:rsidRPr="00E65B9E">
              <w:rPr>
                <w:sz w:val="20"/>
                <w:szCs w:val="20"/>
                <w:lang w:val="en-US"/>
              </w:rPr>
              <w:t>(b)</w:t>
            </w:r>
            <w:r w:rsidRPr="00E65B9E">
              <w:rPr>
                <w:sz w:val="20"/>
                <w:szCs w:val="20"/>
                <w:lang w:val="en-US"/>
              </w:rPr>
              <w:tab/>
              <w:t>The M</w:t>
            </w:r>
            <w:r w:rsidRPr="00E65B9E">
              <w:rPr>
                <w:sz w:val="20"/>
                <w:szCs w:val="20"/>
                <w:vertAlign w:val="subscript"/>
                <w:lang w:val="en-US"/>
              </w:rPr>
              <w:t>1</w:t>
            </w:r>
            <w:r w:rsidRPr="00E65B9E">
              <w:rPr>
                <w:sz w:val="20"/>
                <w:szCs w:val="20"/>
                <w:lang w:val="en-US"/>
              </w:rPr>
              <w:t>/N</w:t>
            </w:r>
            <w:r w:rsidRPr="00E65B9E">
              <w:rPr>
                <w:sz w:val="20"/>
                <w:szCs w:val="20"/>
                <w:vertAlign w:val="subscript"/>
                <w:lang w:val="en-US"/>
              </w:rPr>
              <w:t>1</w:t>
            </w:r>
            <w:r w:rsidRPr="00E65B9E">
              <w:rPr>
                <w:sz w:val="20"/>
                <w:szCs w:val="20"/>
                <w:lang w:val="en-US"/>
              </w:rPr>
              <w:t xml:space="preserve"> </w:t>
            </w:r>
            <w:r w:rsidR="001E71F4">
              <w:rPr>
                <w:sz w:val="20"/>
                <w:szCs w:val="20"/>
                <w:lang w:val="en-US"/>
              </w:rPr>
              <w:t>vehicle type</w:t>
            </w:r>
            <w:r w:rsidRPr="00E65B9E">
              <w:rPr>
                <w:sz w:val="20"/>
                <w:szCs w:val="20"/>
                <w:lang w:val="en-US"/>
              </w:rPr>
              <w:t xml:space="preserve"> meets the technical requirements of the 01 or later series of amendments to UN Regulation No. 160, and</w:t>
            </w:r>
          </w:p>
          <w:p w14:paraId="44722F37" w14:textId="4EAC9C19" w:rsidR="00E65B9E" w:rsidRPr="00E65B9E" w:rsidRDefault="00E65B9E" w:rsidP="00E65B9E">
            <w:pPr>
              <w:spacing w:before="120"/>
              <w:ind w:left="1152" w:hanging="432"/>
              <w:rPr>
                <w:sz w:val="20"/>
                <w:szCs w:val="20"/>
                <w:lang w:val="en-US"/>
              </w:rPr>
            </w:pPr>
            <w:r w:rsidRPr="00E65B9E">
              <w:rPr>
                <w:sz w:val="20"/>
                <w:szCs w:val="20"/>
                <w:lang w:val="en-US"/>
              </w:rPr>
              <w:t>(c)</w:t>
            </w:r>
            <w:r w:rsidRPr="00E65B9E">
              <w:rPr>
                <w:sz w:val="20"/>
                <w:szCs w:val="20"/>
                <w:lang w:val="en-US"/>
              </w:rPr>
              <w:tab/>
              <w:t>The EDR triggering performance of the vehicle type is equivalent to that of the M</w:t>
            </w:r>
            <w:r w:rsidRPr="00E65B9E">
              <w:rPr>
                <w:sz w:val="20"/>
                <w:szCs w:val="20"/>
                <w:vertAlign w:val="subscript"/>
                <w:lang w:val="en-US"/>
              </w:rPr>
              <w:t>1</w:t>
            </w:r>
            <w:r w:rsidRPr="00E65B9E">
              <w:rPr>
                <w:sz w:val="20"/>
                <w:szCs w:val="20"/>
                <w:lang w:val="en-US"/>
              </w:rPr>
              <w:t>/N</w:t>
            </w:r>
            <w:r w:rsidRPr="00E65B9E">
              <w:rPr>
                <w:sz w:val="20"/>
                <w:szCs w:val="20"/>
                <w:vertAlign w:val="subscript"/>
                <w:lang w:val="en-US"/>
              </w:rPr>
              <w:t>1</w:t>
            </w:r>
            <w:r w:rsidRPr="00E65B9E">
              <w:rPr>
                <w:sz w:val="20"/>
                <w:szCs w:val="20"/>
                <w:lang w:val="en-US"/>
              </w:rPr>
              <w:t xml:space="preserve"> vehicle type specified under (a) above.</w:t>
            </w:r>
            <w:bookmarkEnd w:id="1"/>
          </w:p>
        </w:tc>
      </w:tr>
      <w:tr w:rsidR="00E65B9E" w:rsidRPr="00E65B9E" w14:paraId="521E3728" w14:textId="77777777" w:rsidTr="00E65B9E">
        <w:tc>
          <w:tcPr>
            <w:tcW w:w="4675" w:type="dxa"/>
          </w:tcPr>
          <w:p w14:paraId="60A51A0D" w14:textId="77777777" w:rsidR="00E65B9E" w:rsidRDefault="00E65B9E" w:rsidP="00E65B9E">
            <w:pPr>
              <w:spacing w:before="120"/>
              <w:ind w:left="1152" w:hanging="432"/>
              <w:rPr>
                <w:sz w:val="20"/>
                <w:szCs w:val="20"/>
                <w:lang w:val="en-US"/>
              </w:rPr>
            </w:pPr>
            <w:r w:rsidRPr="00E65B9E">
              <w:rPr>
                <w:sz w:val="20"/>
                <w:szCs w:val="20"/>
                <w:lang w:val="en-US"/>
              </w:rPr>
              <w:t>(a)</w:t>
            </w:r>
            <w:r w:rsidRPr="00E65B9E">
              <w:rPr>
                <w:sz w:val="20"/>
                <w:szCs w:val="20"/>
                <w:lang w:val="en-US"/>
              </w:rPr>
              <w:tab/>
              <w:t xml:space="preserve">The manufacturer shall determine the lowest deployment thresholds of the deployable occupant restraint system of the M1 and/or N1 vehicle type for longitudinal and lateral collision </w:t>
            </w:r>
            <w:proofErr w:type="gramStart"/>
            <w:r w:rsidRPr="00E65B9E">
              <w:rPr>
                <w:sz w:val="20"/>
                <w:szCs w:val="20"/>
                <w:lang w:val="en-US"/>
              </w:rPr>
              <w:t>scenarios;</w:t>
            </w:r>
            <w:proofErr w:type="gramEnd"/>
          </w:p>
          <w:p w14:paraId="2A7620D8" w14:textId="77777777" w:rsidR="00E65B9E" w:rsidRDefault="00E65B9E" w:rsidP="00E65B9E">
            <w:pPr>
              <w:spacing w:before="120"/>
              <w:ind w:left="1152" w:hanging="432"/>
              <w:rPr>
                <w:sz w:val="20"/>
                <w:szCs w:val="20"/>
                <w:lang w:val="en-US"/>
              </w:rPr>
            </w:pPr>
            <w:r w:rsidRPr="00E65B9E">
              <w:rPr>
                <w:sz w:val="20"/>
                <w:szCs w:val="20"/>
                <w:lang w:val="en-US"/>
              </w:rPr>
              <w:t>(b)</w:t>
            </w:r>
            <w:r w:rsidRPr="00E65B9E">
              <w:rPr>
                <w:sz w:val="20"/>
                <w:szCs w:val="20"/>
                <w:lang w:val="en-US"/>
              </w:rPr>
              <w:tab/>
              <w:t xml:space="preserve">The manufacturer shall specify the scenarios used under the physical and/or simulation testing to determine the lowest deployment thresholds of the M1 and/or N1 vehicle type and shall assess those scenarios on the vehicle type under </w:t>
            </w:r>
            <w:proofErr w:type="gramStart"/>
            <w:r w:rsidRPr="00E65B9E">
              <w:rPr>
                <w:sz w:val="20"/>
                <w:szCs w:val="20"/>
                <w:lang w:val="en-US"/>
              </w:rPr>
              <w:t>approval;</w:t>
            </w:r>
            <w:proofErr w:type="gramEnd"/>
          </w:p>
          <w:p w14:paraId="617E7322" w14:textId="26CBA8D5" w:rsidR="00E65B9E" w:rsidRPr="00E65B9E" w:rsidRDefault="00E65B9E" w:rsidP="00E65B9E">
            <w:pPr>
              <w:spacing w:before="120"/>
              <w:ind w:left="1152" w:hanging="432"/>
              <w:rPr>
                <w:sz w:val="20"/>
                <w:szCs w:val="20"/>
                <w:lang w:val="en-US"/>
              </w:rPr>
            </w:pPr>
            <w:r w:rsidRPr="00E65B9E">
              <w:rPr>
                <w:sz w:val="20"/>
                <w:szCs w:val="20"/>
                <w:lang w:val="en-US"/>
              </w:rPr>
              <w:t>(c)</w:t>
            </w:r>
            <w:r w:rsidRPr="00E65B9E">
              <w:rPr>
                <w:sz w:val="20"/>
                <w:szCs w:val="20"/>
                <w:lang w:val="en-US"/>
              </w:rPr>
              <w:tab/>
              <w:t>Physical and/or simulation testing of the vehicle type under approval shall result in EDR triggering across all the specified scenarios.</w:t>
            </w:r>
          </w:p>
        </w:tc>
        <w:tc>
          <w:tcPr>
            <w:tcW w:w="4675" w:type="dxa"/>
          </w:tcPr>
          <w:p w14:paraId="59B8293E" w14:textId="061B4506" w:rsidR="00E65B9E" w:rsidRDefault="00E65B9E" w:rsidP="00E65B9E">
            <w:pPr>
              <w:ind w:left="720" w:hanging="720"/>
              <w:rPr>
                <w:sz w:val="20"/>
                <w:szCs w:val="20"/>
                <w:lang w:val="en-US"/>
              </w:rPr>
            </w:pPr>
            <w:bookmarkStart w:id="2" w:name="_Hlk210199416"/>
            <w:r w:rsidRPr="00E65B9E">
              <w:rPr>
                <w:sz w:val="20"/>
                <w:szCs w:val="20"/>
                <w:lang w:val="en-US"/>
              </w:rPr>
              <w:t>4.</w:t>
            </w:r>
            <w:r w:rsidR="00BC7472">
              <w:rPr>
                <w:sz w:val="20"/>
                <w:szCs w:val="20"/>
                <w:lang w:val="en-US"/>
              </w:rPr>
              <w:t>2.2</w:t>
            </w:r>
            <w:r w:rsidRPr="00E65B9E">
              <w:rPr>
                <w:sz w:val="20"/>
                <w:szCs w:val="20"/>
                <w:lang w:val="en-US"/>
              </w:rPr>
              <w:t>.</w:t>
            </w:r>
            <w:r w:rsidRPr="00E65B9E">
              <w:rPr>
                <w:sz w:val="20"/>
                <w:szCs w:val="20"/>
                <w:lang w:val="en-US"/>
              </w:rPr>
              <w:tab/>
              <w:t xml:space="preserve">The </w:t>
            </w:r>
            <w:r w:rsidR="00887919">
              <w:rPr>
                <w:b/>
                <w:bCs/>
                <w:color w:val="EE0000"/>
                <w:sz w:val="20"/>
                <w:szCs w:val="20"/>
                <w:lang w:val="en-US"/>
              </w:rPr>
              <w:t xml:space="preserve">equivalence </w:t>
            </w:r>
            <w:r w:rsidRPr="00887919">
              <w:rPr>
                <w:strike/>
                <w:color w:val="EE0000"/>
                <w:sz w:val="20"/>
                <w:szCs w:val="20"/>
                <w:lang w:val="en-US"/>
              </w:rPr>
              <w:t>effectiveness</w:t>
            </w:r>
            <w:r w:rsidRPr="00887919">
              <w:rPr>
                <w:color w:val="EE0000"/>
                <w:sz w:val="20"/>
                <w:szCs w:val="20"/>
                <w:lang w:val="en-US"/>
              </w:rPr>
              <w:t xml:space="preserve"> </w:t>
            </w:r>
            <w:r w:rsidRPr="00E65B9E">
              <w:rPr>
                <w:sz w:val="20"/>
                <w:szCs w:val="20"/>
                <w:lang w:val="en-US"/>
              </w:rPr>
              <w:t xml:space="preserve">of the EDR triggering specified under paragraph </w:t>
            </w:r>
            <w:r w:rsidR="00887919">
              <w:rPr>
                <w:b/>
                <w:bCs/>
                <w:color w:val="EE0000"/>
                <w:sz w:val="20"/>
                <w:szCs w:val="20"/>
                <w:lang w:val="en-US"/>
              </w:rPr>
              <w:t xml:space="preserve">4.2.1.(c) </w:t>
            </w:r>
            <w:r w:rsidRPr="00887919">
              <w:rPr>
                <w:strike/>
                <w:color w:val="EE0000"/>
                <w:sz w:val="20"/>
                <w:szCs w:val="20"/>
                <w:lang w:val="en-US"/>
              </w:rPr>
              <w:t>4.1.2.</w:t>
            </w:r>
            <w:r w:rsidRPr="00E65B9E">
              <w:rPr>
                <w:sz w:val="20"/>
                <w:szCs w:val="20"/>
                <w:lang w:val="en-US"/>
              </w:rPr>
              <w:t xml:space="preserve"> shall be demonstrated as follows:</w:t>
            </w:r>
          </w:p>
          <w:p w14:paraId="3718F4CD" w14:textId="709C0F7C" w:rsidR="00E65B9E" w:rsidRDefault="00E65B9E" w:rsidP="00E65B9E">
            <w:pPr>
              <w:spacing w:before="120"/>
              <w:ind w:left="1152" w:hanging="432"/>
              <w:rPr>
                <w:sz w:val="20"/>
                <w:szCs w:val="20"/>
                <w:lang w:val="en-US"/>
              </w:rPr>
            </w:pPr>
            <w:r w:rsidRPr="00E65B9E">
              <w:rPr>
                <w:sz w:val="20"/>
                <w:szCs w:val="20"/>
                <w:lang w:val="en-US"/>
              </w:rPr>
              <w:t>(a)</w:t>
            </w:r>
            <w:r w:rsidRPr="00E65B9E">
              <w:rPr>
                <w:sz w:val="20"/>
                <w:szCs w:val="20"/>
                <w:lang w:val="en-US"/>
              </w:rPr>
              <w:tab/>
              <w:t>The manufacturer shall determine the lowest deployment thresholds for the occupant restraint system of the M1/N1 vehicle type under longitudinal and lateral collision scenarios</w:t>
            </w:r>
            <w:r>
              <w:rPr>
                <w:sz w:val="20"/>
                <w:szCs w:val="20"/>
                <w:lang w:val="en-US"/>
              </w:rPr>
              <w:t>,</w:t>
            </w:r>
          </w:p>
          <w:p w14:paraId="74827C73" w14:textId="77777777" w:rsidR="00E65B9E" w:rsidRDefault="00E65B9E" w:rsidP="00E65B9E">
            <w:pPr>
              <w:spacing w:before="120"/>
              <w:ind w:left="1152" w:hanging="432"/>
              <w:rPr>
                <w:sz w:val="20"/>
                <w:szCs w:val="20"/>
                <w:lang w:val="en-US"/>
              </w:rPr>
            </w:pPr>
            <w:r w:rsidRPr="00E65B9E">
              <w:rPr>
                <w:sz w:val="20"/>
                <w:szCs w:val="20"/>
                <w:lang w:val="en-US"/>
              </w:rPr>
              <w:t>(b)</w:t>
            </w:r>
            <w:r w:rsidRPr="00E65B9E">
              <w:rPr>
                <w:sz w:val="20"/>
                <w:szCs w:val="20"/>
                <w:lang w:val="en-US"/>
              </w:rPr>
              <w:tab/>
              <w:t>The manufacturer shall describe the scenarios used under (a) above and their suitability for application to the vehicle type under approval, and</w:t>
            </w:r>
          </w:p>
          <w:p w14:paraId="4B13CFF8" w14:textId="6308F791" w:rsidR="00E65B9E" w:rsidRPr="00E65B9E" w:rsidRDefault="00E65B9E" w:rsidP="00E65B9E">
            <w:pPr>
              <w:spacing w:before="120"/>
              <w:ind w:left="1152" w:hanging="432"/>
              <w:rPr>
                <w:sz w:val="20"/>
                <w:szCs w:val="20"/>
                <w:lang w:val="en-US"/>
              </w:rPr>
            </w:pPr>
            <w:r w:rsidRPr="00E65B9E">
              <w:rPr>
                <w:sz w:val="20"/>
                <w:szCs w:val="20"/>
                <w:lang w:val="en-US"/>
              </w:rPr>
              <w:t>(c)</w:t>
            </w:r>
            <w:r w:rsidRPr="00E65B9E">
              <w:rPr>
                <w:sz w:val="20"/>
                <w:szCs w:val="20"/>
                <w:lang w:val="en-US"/>
              </w:rPr>
              <w:tab/>
              <w:t>The physical and/or simulation testing of the vehicle type under approval shall result in EDR triggering across all the specified scenarios.</w:t>
            </w:r>
            <w:bookmarkEnd w:id="2"/>
          </w:p>
        </w:tc>
      </w:tr>
      <w:tr w:rsidR="00E65B9E" w:rsidRPr="00E65B9E" w14:paraId="6BAE1AE3" w14:textId="77777777" w:rsidTr="00E65B9E">
        <w:tc>
          <w:tcPr>
            <w:tcW w:w="4675" w:type="dxa"/>
          </w:tcPr>
          <w:p w14:paraId="69D2FA4C" w14:textId="787A5882" w:rsidR="00E65B9E" w:rsidRPr="00E65B9E" w:rsidRDefault="00E65B9E" w:rsidP="00E65B9E">
            <w:pPr>
              <w:ind w:left="720" w:hanging="720"/>
              <w:rPr>
                <w:sz w:val="20"/>
                <w:szCs w:val="20"/>
                <w:lang w:val="en-US"/>
              </w:rPr>
            </w:pPr>
            <w:r w:rsidRPr="00E65B9E">
              <w:rPr>
                <w:sz w:val="20"/>
                <w:szCs w:val="20"/>
                <w:lang w:val="en-US"/>
              </w:rPr>
              <w:lastRenderedPageBreak/>
              <w:t>4.1.2.1.</w:t>
            </w:r>
            <w:r w:rsidRPr="00E65B9E">
              <w:rPr>
                <w:sz w:val="20"/>
                <w:szCs w:val="20"/>
                <w:lang w:val="en-US"/>
              </w:rPr>
              <w:tab/>
              <w:t>The manufacturer shall provide the EDR triggering strategies for the vehicle type under approval, such as the integration of other active safety systems and/or modified delta-v trigger thresholds, which shall be documented in the test report.</w:t>
            </w:r>
          </w:p>
        </w:tc>
        <w:tc>
          <w:tcPr>
            <w:tcW w:w="4675" w:type="dxa"/>
          </w:tcPr>
          <w:p w14:paraId="5DD912AB" w14:textId="6A936632" w:rsidR="00E65B9E" w:rsidRPr="00E65B9E" w:rsidRDefault="00E65B9E" w:rsidP="00E65B9E">
            <w:pPr>
              <w:ind w:left="720" w:hanging="720"/>
              <w:rPr>
                <w:sz w:val="20"/>
                <w:szCs w:val="20"/>
                <w:lang w:val="en-US"/>
              </w:rPr>
            </w:pPr>
            <w:bookmarkStart w:id="3" w:name="_Hlk210202084"/>
            <w:r w:rsidRPr="00E65B9E">
              <w:rPr>
                <w:sz w:val="20"/>
                <w:szCs w:val="20"/>
                <w:lang w:val="en-US"/>
              </w:rPr>
              <w:t>4.</w:t>
            </w:r>
            <w:r w:rsidR="00BC7472">
              <w:rPr>
                <w:sz w:val="20"/>
                <w:szCs w:val="20"/>
                <w:lang w:val="en-US"/>
              </w:rPr>
              <w:t>2.3</w:t>
            </w:r>
            <w:r w:rsidRPr="00E65B9E">
              <w:rPr>
                <w:sz w:val="20"/>
                <w:szCs w:val="20"/>
                <w:lang w:val="en-US"/>
              </w:rPr>
              <w:t>.</w:t>
            </w:r>
            <w:r w:rsidRPr="00E65B9E">
              <w:rPr>
                <w:sz w:val="20"/>
                <w:szCs w:val="20"/>
                <w:lang w:val="en-US"/>
              </w:rPr>
              <w:tab/>
              <w:t>The manufacturer’s documentation shall provide the EDR triggering strategies for the vehicle type such as the integration of other active safety systems and/or modified delta-v trigger thresholds</w:t>
            </w:r>
            <w:bookmarkEnd w:id="3"/>
            <w:r w:rsidRPr="00E65B9E">
              <w:rPr>
                <w:sz w:val="20"/>
                <w:szCs w:val="20"/>
                <w:lang w:val="en-US"/>
              </w:rPr>
              <w:t>.</w:t>
            </w:r>
          </w:p>
        </w:tc>
      </w:tr>
      <w:tr w:rsidR="00E65B9E" w:rsidRPr="00E65B9E" w14:paraId="48E05622" w14:textId="77777777" w:rsidTr="00E65B9E">
        <w:tc>
          <w:tcPr>
            <w:tcW w:w="4675" w:type="dxa"/>
          </w:tcPr>
          <w:p w14:paraId="58CEC173" w14:textId="4C37F958" w:rsidR="00E65B9E" w:rsidRPr="00E65B9E" w:rsidRDefault="00E65B9E" w:rsidP="00E65B9E">
            <w:pPr>
              <w:ind w:left="720" w:hanging="720"/>
              <w:rPr>
                <w:sz w:val="20"/>
                <w:szCs w:val="20"/>
                <w:lang w:val="en-US"/>
              </w:rPr>
            </w:pPr>
            <w:r w:rsidRPr="00E65B9E">
              <w:rPr>
                <w:sz w:val="20"/>
                <w:szCs w:val="20"/>
                <w:lang w:val="en-US"/>
              </w:rPr>
              <w:t>4.1.3.</w:t>
            </w:r>
            <w:r w:rsidRPr="00E65B9E">
              <w:rPr>
                <w:sz w:val="20"/>
                <w:szCs w:val="20"/>
                <w:lang w:val="en-US"/>
              </w:rPr>
              <w:tab/>
              <w:t>Vehicles up to 12,000 kg which are not subject to national and regional regulations providing for crash tests requirements referred to in Paragraphs 5.4.1. and 5.4.2. of UN Regulation No. 160 shall be subject to Paragraph 5.4. of this regulation.</w:t>
            </w:r>
          </w:p>
        </w:tc>
        <w:tc>
          <w:tcPr>
            <w:tcW w:w="4675" w:type="dxa"/>
          </w:tcPr>
          <w:p w14:paraId="0EE02B0D" w14:textId="55E7EC75" w:rsidR="00E65B9E" w:rsidRPr="00E65B9E" w:rsidRDefault="00E65B9E" w:rsidP="00E65B9E">
            <w:pPr>
              <w:ind w:left="720" w:hanging="720"/>
              <w:rPr>
                <w:sz w:val="20"/>
                <w:szCs w:val="20"/>
                <w:lang w:val="en-US"/>
              </w:rPr>
            </w:pPr>
            <w:bookmarkStart w:id="4" w:name="_Hlk210202118"/>
            <w:r>
              <w:rPr>
                <w:sz w:val="20"/>
                <w:szCs w:val="20"/>
                <w:lang w:val="en-US"/>
              </w:rPr>
              <w:t>4.</w:t>
            </w:r>
            <w:r w:rsidR="00BC7472">
              <w:rPr>
                <w:sz w:val="20"/>
                <w:szCs w:val="20"/>
                <w:lang w:val="en-US"/>
              </w:rPr>
              <w:t>2.4</w:t>
            </w:r>
            <w:r>
              <w:rPr>
                <w:sz w:val="20"/>
                <w:szCs w:val="20"/>
                <w:lang w:val="en-US"/>
              </w:rPr>
              <w:t>.</w:t>
            </w:r>
            <w:r>
              <w:rPr>
                <w:sz w:val="20"/>
                <w:szCs w:val="20"/>
                <w:lang w:val="en-US"/>
              </w:rPr>
              <w:tab/>
            </w:r>
            <w:r w:rsidR="00BC7472">
              <w:rPr>
                <w:sz w:val="20"/>
                <w:szCs w:val="20"/>
                <w:lang w:val="en-US"/>
              </w:rPr>
              <w:t xml:space="preserve">Vehicle types that have not been subjected to crash tests </w:t>
            </w:r>
            <w:r w:rsidR="00B72B86">
              <w:rPr>
                <w:sz w:val="20"/>
                <w:szCs w:val="20"/>
                <w:lang w:val="en-US"/>
              </w:rPr>
              <w:t xml:space="preserve">as </w:t>
            </w:r>
            <w:r w:rsidR="00BC7472">
              <w:rPr>
                <w:sz w:val="20"/>
                <w:szCs w:val="20"/>
                <w:lang w:val="en-US"/>
              </w:rPr>
              <w:t>specified under paragraphs 5.4.1. and 5.4.2. of UN Regulation No. 160 shall be subject to paragraph 5.4. of this Regulation.</w:t>
            </w:r>
            <w:bookmarkEnd w:id="4"/>
          </w:p>
        </w:tc>
      </w:tr>
    </w:tbl>
    <w:p w14:paraId="17F8C601" w14:textId="77777777" w:rsidR="00E65B9E" w:rsidRDefault="00E65B9E">
      <w:pPr>
        <w:rPr>
          <w:lang w:val="en-US"/>
        </w:rPr>
      </w:pPr>
    </w:p>
    <w:p w14:paraId="6229B702" w14:textId="5235AB18" w:rsidR="00BC7472" w:rsidRDefault="00BC7472">
      <w:pPr>
        <w:rPr>
          <w:b/>
          <w:bCs/>
          <w:lang w:val="en-US"/>
        </w:rPr>
      </w:pPr>
      <w:r w:rsidRPr="00956165">
        <w:rPr>
          <w:b/>
          <w:bCs/>
          <w:lang w:val="en-US"/>
        </w:rPr>
        <w:t>Explanations</w:t>
      </w:r>
    </w:p>
    <w:p w14:paraId="79D56C9A" w14:textId="717DDC82" w:rsidR="00956165" w:rsidRDefault="00956165" w:rsidP="00956165">
      <w:pPr>
        <w:ind w:left="432" w:hanging="432"/>
        <w:rPr>
          <w:lang w:val="en-US"/>
        </w:rPr>
      </w:pPr>
      <w:r>
        <w:rPr>
          <w:lang w:val="en-US"/>
        </w:rPr>
        <w:t>1.</w:t>
      </w:r>
      <w:r>
        <w:rPr>
          <w:lang w:val="en-US"/>
        </w:rPr>
        <w:tab/>
      </w:r>
      <w:r w:rsidRPr="00956165">
        <w:rPr>
          <w:lang w:val="en-US"/>
        </w:rPr>
        <w:t>Numbering</w:t>
      </w:r>
      <w:r>
        <w:rPr>
          <w:lang w:val="en-US"/>
        </w:rPr>
        <w:t>: Paragraph 4.1. concerns approval based on meeting the requirements of UN R169. Paragraph 4.1.1. concerns alternative approval based on meeting the requirements of UN R160. Renumbering 4.1.1. as 4.2. clarifies that UN R169 allows the two distinct options (where the second option is subject to the remaining provisions).</w:t>
      </w:r>
    </w:p>
    <w:p w14:paraId="74249039" w14:textId="202C67AA" w:rsidR="00956165" w:rsidRDefault="00956165" w:rsidP="00956165">
      <w:pPr>
        <w:ind w:left="432" w:hanging="432"/>
        <w:rPr>
          <w:lang w:val="en-US"/>
        </w:rPr>
      </w:pPr>
      <w:r>
        <w:rPr>
          <w:lang w:val="en-US"/>
        </w:rPr>
        <w:t>2.</w:t>
      </w:r>
      <w:r>
        <w:rPr>
          <w:lang w:val="en-US"/>
        </w:rPr>
        <w:tab/>
        <w:t>Paragraph 4.1.1. has been edited for clarity as paragraph 4.2. No substantive change is proposed.</w:t>
      </w:r>
    </w:p>
    <w:p w14:paraId="07EB9791" w14:textId="2CB80BC3" w:rsidR="00956165" w:rsidRDefault="00956165" w:rsidP="00956165">
      <w:pPr>
        <w:ind w:left="432" w:hanging="432"/>
        <w:rPr>
          <w:lang w:val="en-US"/>
        </w:rPr>
      </w:pPr>
      <w:r>
        <w:rPr>
          <w:lang w:val="en-US"/>
        </w:rPr>
        <w:t>3.</w:t>
      </w:r>
      <w:r>
        <w:rPr>
          <w:lang w:val="en-US"/>
        </w:rPr>
        <w:tab/>
        <w:t>Paragraph 4.1.2. has been edited for clarity as paragraph 4.2.1. (</w:t>
      </w:r>
      <w:r w:rsidR="00DE5EA5">
        <w:rPr>
          <w:lang w:val="en-US"/>
        </w:rPr>
        <w:t xml:space="preserve">i.e., as a </w:t>
      </w:r>
      <w:r>
        <w:rPr>
          <w:lang w:val="en-US"/>
        </w:rPr>
        <w:t>subparagraph concerning the 8,000-12,000 kg</w:t>
      </w:r>
      <w:r w:rsidR="00DE5EA5">
        <w:rPr>
          <w:lang w:val="en-US"/>
        </w:rPr>
        <w:t xml:space="preserve"> subset of the</w:t>
      </w:r>
      <w:r>
        <w:rPr>
          <w:lang w:val="en-US"/>
        </w:rPr>
        <w:t xml:space="preserve"> vehicles</w:t>
      </w:r>
      <w:r w:rsidR="00DE5EA5">
        <w:rPr>
          <w:lang w:val="en-US"/>
        </w:rPr>
        <w:t xml:space="preserve"> up to 12,000 kg</w:t>
      </w:r>
      <w:r>
        <w:rPr>
          <w:lang w:val="en-US"/>
        </w:rPr>
        <w:t xml:space="preserve"> specified under paragraph 4.2.).</w:t>
      </w:r>
    </w:p>
    <w:p w14:paraId="45E84131" w14:textId="76CD4746" w:rsidR="00956165" w:rsidRDefault="00956165" w:rsidP="00956165">
      <w:pPr>
        <w:ind w:left="432" w:hanging="432"/>
        <w:rPr>
          <w:lang w:val="en-US"/>
        </w:rPr>
      </w:pPr>
      <w:r>
        <w:rPr>
          <w:lang w:val="en-US"/>
        </w:rPr>
        <w:t>4.</w:t>
      </w:r>
      <w:r>
        <w:rPr>
          <w:lang w:val="en-US"/>
        </w:rPr>
        <w:tab/>
        <w:t>The phrase “</w:t>
      </w:r>
      <w:r w:rsidRPr="00956165">
        <w:rPr>
          <w:lang w:val="en-US"/>
        </w:rPr>
        <w:t>that has an approval to UN Regulation No.160</w:t>
      </w:r>
      <w:r>
        <w:rPr>
          <w:lang w:val="en-US"/>
        </w:rPr>
        <w:t xml:space="preserve">” would not be permissible under the 1958 Agreement. A </w:t>
      </w:r>
      <w:r w:rsidR="00DE5EA5">
        <w:rPr>
          <w:lang w:val="en-US"/>
        </w:rPr>
        <w:t>UN R</w:t>
      </w:r>
      <w:r>
        <w:rPr>
          <w:lang w:val="en-US"/>
        </w:rPr>
        <w:t xml:space="preserve">egulation may not require another </w:t>
      </w:r>
      <w:r w:rsidR="00DE5EA5">
        <w:rPr>
          <w:lang w:val="en-US"/>
        </w:rPr>
        <w:t>UN R</w:t>
      </w:r>
      <w:r>
        <w:rPr>
          <w:lang w:val="en-US"/>
        </w:rPr>
        <w:t xml:space="preserve">egulation because not all Contracting Parties apply all regulations. </w:t>
      </w:r>
      <w:r w:rsidR="00DE5EA5">
        <w:rPr>
          <w:lang w:val="en-US"/>
        </w:rPr>
        <w:t>Typically, these aims are achieved by requiring compliance with, but not necessarily approval under, the target UN Regulation. In this case, paragraph 4.2.1.(b) states that the M</w:t>
      </w:r>
      <w:r w:rsidR="00DE5EA5">
        <w:rPr>
          <w:vertAlign w:val="subscript"/>
          <w:lang w:val="en-US"/>
        </w:rPr>
        <w:t>1</w:t>
      </w:r>
      <w:r w:rsidR="00DE5EA5">
        <w:rPr>
          <w:lang w:val="en-US"/>
        </w:rPr>
        <w:t>/N</w:t>
      </w:r>
      <w:r w:rsidR="00DE5EA5">
        <w:rPr>
          <w:vertAlign w:val="subscript"/>
          <w:lang w:val="en-US"/>
        </w:rPr>
        <w:t>1</w:t>
      </w:r>
      <w:r w:rsidR="00DE5EA5">
        <w:rPr>
          <w:lang w:val="en-US"/>
        </w:rPr>
        <w:t xml:space="preserve"> vehicle used for comparison shall meet the UN R160 requirements.</w:t>
      </w:r>
    </w:p>
    <w:p w14:paraId="3BBF4D04" w14:textId="08859CFD" w:rsidR="00DE5EA5" w:rsidRDefault="00DE5EA5" w:rsidP="00956165">
      <w:pPr>
        <w:ind w:left="432" w:hanging="432"/>
        <w:rPr>
          <w:lang w:val="en-US"/>
        </w:rPr>
      </w:pPr>
      <w:r>
        <w:rPr>
          <w:lang w:val="en-US"/>
        </w:rPr>
        <w:t>5.</w:t>
      </w:r>
      <w:r>
        <w:rPr>
          <w:lang w:val="en-US"/>
        </w:rPr>
        <w:tab/>
        <w:t>Paragraph 4.2.1. specifies the criteria that an 8,000-12,000 kg vehicle type must meet in addition to the two criteria specified under paragraph 4.2. (</w:t>
      </w:r>
      <w:proofErr w:type="gramStart"/>
      <w:r>
        <w:rPr>
          <w:lang w:val="en-US"/>
        </w:rPr>
        <w:t>so</w:t>
      </w:r>
      <w:proofErr w:type="gramEnd"/>
      <w:r>
        <w:rPr>
          <w:lang w:val="en-US"/>
        </w:rPr>
        <w:t xml:space="preserve"> a total of five criteria). In short, </w:t>
      </w:r>
      <w:r w:rsidR="00F21C4E">
        <w:rPr>
          <w:lang w:val="en-US"/>
        </w:rPr>
        <w:t xml:space="preserve">in order to qualify for approval under paragraph 4.2, </w:t>
      </w:r>
      <w:r>
        <w:rPr>
          <w:lang w:val="en-US"/>
        </w:rPr>
        <w:t xml:space="preserve">vehicle types in the 8,000-12,000 kg range </w:t>
      </w:r>
      <w:r w:rsidR="00F21C4E">
        <w:rPr>
          <w:lang w:val="en-US"/>
        </w:rPr>
        <w:t>must comply with UN R160, have a deployable ORS, have an M</w:t>
      </w:r>
      <w:r w:rsidR="00F21C4E">
        <w:rPr>
          <w:vertAlign w:val="subscript"/>
          <w:lang w:val="en-US"/>
        </w:rPr>
        <w:t>1</w:t>
      </w:r>
      <w:r w:rsidR="00F21C4E">
        <w:rPr>
          <w:lang w:val="en-US"/>
        </w:rPr>
        <w:t>/N</w:t>
      </w:r>
      <w:r w:rsidR="00F21C4E">
        <w:rPr>
          <w:vertAlign w:val="subscript"/>
          <w:lang w:val="en-US"/>
        </w:rPr>
        <w:t xml:space="preserve">1 </w:t>
      </w:r>
      <w:r w:rsidR="00F21C4E">
        <w:rPr>
          <w:lang w:val="en-US"/>
        </w:rPr>
        <w:t>counterpart compliant with UN R160, and demonstrate EDR triggering equivalent to the EDR of the M</w:t>
      </w:r>
      <w:r w:rsidR="00F21C4E">
        <w:rPr>
          <w:vertAlign w:val="subscript"/>
          <w:lang w:val="en-US"/>
        </w:rPr>
        <w:t>1</w:t>
      </w:r>
      <w:r w:rsidR="00F21C4E">
        <w:rPr>
          <w:lang w:val="en-US"/>
        </w:rPr>
        <w:t>/N</w:t>
      </w:r>
      <w:r w:rsidR="00F21C4E">
        <w:rPr>
          <w:vertAlign w:val="subscript"/>
          <w:lang w:val="en-US"/>
        </w:rPr>
        <w:t>1</w:t>
      </w:r>
      <w:r w:rsidR="00F21C4E">
        <w:rPr>
          <w:lang w:val="en-US"/>
        </w:rPr>
        <w:t xml:space="preserve"> counterpart.</w:t>
      </w:r>
    </w:p>
    <w:p w14:paraId="593D0A9B" w14:textId="10BB6780" w:rsidR="006519E9" w:rsidRPr="006519E9" w:rsidRDefault="006519E9" w:rsidP="00956165">
      <w:pPr>
        <w:ind w:left="432" w:hanging="432"/>
        <w:rPr>
          <w:lang w:val="en-US"/>
        </w:rPr>
      </w:pPr>
      <w:r>
        <w:rPr>
          <w:lang w:val="en-US"/>
        </w:rPr>
        <w:t>6.</w:t>
      </w:r>
      <w:r>
        <w:rPr>
          <w:lang w:val="en-US"/>
        </w:rPr>
        <w:tab/>
        <w:t>Paragraph 4.2.1.(a) requires the relevant aspects of the M</w:t>
      </w:r>
      <w:r>
        <w:rPr>
          <w:vertAlign w:val="subscript"/>
          <w:lang w:val="en-US"/>
        </w:rPr>
        <w:t>1</w:t>
      </w:r>
      <w:r>
        <w:rPr>
          <w:lang w:val="en-US"/>
        </w:rPr>
        <w:t>/N</w:t>
      </w:r>
      <w:r>
        <w:rPr>
          <w:vertAlign w:val="subscript"/>
          <w:lang w:val="en-US"/>
        </w:rPr>
        <w:t>1</w:t>
      </w:r>
      <w:r>
        <w:rPr>
          <w:lang w:val="en-US"/>
        </w:rPr>
        <w:t xml:space="preserve"> and heavier vehicle type to be sufficiently similar to enable comparison of EDR performance (e.g., braking, steering, safety systems).</w:t>
      </w:r>
    </w:p>
    <w:p w14:paraId="3650CA20" w14:textId="0A500DFE" w:rsidR="00F21C4E" w:rsidRDefault="006519E9" w:rsidP="00956165">
      <w:pPr>
        <w:ind w:left="432" w:hanging="432"/>
        <w:rPr>
          <w:lang w:val="en-US"/>
        </w:rPr>
      </w:pPr>
      <w:r>
        <w:rPr>
          <w:lang w:val="en-US"/>
        </w:rPr>
        <w:t>7</w:t>
      </w:r>
      <w:r w:rsidR="00F21C4E">
        <w:rPr>
          <w:lang w:val="en-US"/>
        </w:rPr>
        <w:t>.</w:t>
      </w:r>
      <w:r w:rsidR="00F21C4E">
        <w:rPr>
          <w:lang w:val="en-US"/>
        </w:rPr>
        <w:tab/>
        <w:t>The criteria and demonstration method in paragraph 4.1.2. have been split into paragraphs 4.2.1. and 4.2.2. Paragraph 4.2.2. presents the method for demonstrating equivalent EDR triggering specified under 4.2.1.(c).</w:t>
      </w:r>
    </w:p>
    <w:p w14:paraId="65644A04" w14:textId="6CB49B43" w:rsidR="00F21C4E" w:rsidRDefault="006519E9" w:rsidP="00956165">
      <w:pPr>
        <w:ind w:left="432" w:hanging="432"/>
        <w:rPr>
          <w:lang w:val="en-US"/>
        </w:rPr>
      </w:pPr>
      <w:r>
        <w:rPr>
          <w:lang w:val="en-US"/>
        </w:rPr>
        <w:t>8</w:t>
      </w:r>
      <w:r w:rsidR="00F21C4E">
        <w:rPr>
          <w:lang w:val="en-US"/>
        </w:rPr>
        <w:t>.</w:t>
      </w:r>
      <w:r w:rsidR="00F21C4E">
        <w:rPr>
          <w:lang w:val="en-US"/>
        </w:rPr>
        <w:tab/>
        <w:t>Paragraph 4.2.2. has been edited for brevity and to avoid repetition. “M</w:t>
      </w:r>
      <w:r w:rsidR="00F21C4E">
        <w:rPr>
          <w:vertAlign w:val="subscript"/>
          <w:lang w:val="en-US"/>
        </w:rPr>
        <w:t>1</w:t>
      </w:r>
      <w:r w:rsidR="00F21C4E">
        <w:rPr>
          <w:lang w:val="en-US"/>
        </w:rPr>
        <w:t xml:space="preserve"> and/or N</w:t>
      </w:r>
      <w:r w:rsidR="00F21C4E">
        <w:rPr>
          <w:vertAlign w:val="subscript"/>
          <w:lang w:val="en-US"/>
        </w:rPr>
        <w:t>1</w:t>
      </w:r>
      <w:r w:rsidR="00F21C4E">
        <w:rPr>
          <w:lang w:val="en-US"/>
        </w:rPr>
        <w:t>” is abbreviated as “M</w:t>
      </w:r>
      <w:r w:rsidR="00F21C4E">
        <w:rPr>
          <w:vertAlign w:val="subscript"/>
          <w:lang w:val="en-US"/>
        </w:rPr>
        <w:t>1</w:t>
      </w:r>
      <w:r w:rsidR="00F21C4E">
        <w:rPr>
          <w:lang w:val="en-US"/>
        </w:rPr>
        <w:t>/N</w:t>
      </w:r>
      <w:r w:rsidR="00F21C4E">
        <w:rPr>
          <w:vertAlign w:val="subscript"/>
          <w:lang w:val="en-US"/>
        </w:rPr>
        <w:t>1</w:t>
      </w:r>
      <w:r w:rsidR="00F21C4E">
        <w:rPr>
          <w:lang w:val="en-US"/>
        </w:rPr>
        <w:t xml:space="preserve">”. </w:t>
      </w:r>
      <w:r w:rsidR="00914DAA">
        <w:rPr>
          <w:lang w:val="en-US"/>
        </w:rPr>
        <w:t xml:space="preserve">In item (a), “deployable” ORS is redundant since the provision concerns “deployment thresholds” (an “nondeployable” ORS would not have any deployment threshold). Item (b) is shortened because (a) already establishes the “deployment threshold” requirement. The wording of (b) is aligned with the various WP.29 “scenario/virtual testing” discussion outcomes (e.g., scenario </w:t>
      </w:r>
      <w:r w:rsidR="00914DAA">
        <w:rPr>
          <w:lang w:val="en-US"/>
        </w:rPr>
        <w:lastRenderedPageBreak/>
        <w:t>descriptions, suitability assessments)</w:t>
      </w:r>
      <w:r w:rsidR="00BE0CF6">
        <w:rPr>
          <w:lang w:val="en-US"/>
        </w:rPr>
        <w:t xml:space="preserve"> and requires argumentation supporting the suitability of the scenarios for demonstrating equivalent effectiveness across the EDR.</w:t>
      </w:r>
    </w:p>
    <w:p w14:paraId="2EF4A858" w14:textId="33755874" w:rsidR="004C50C1" w:rsidRDefault="006519E9" w:rsidP="00956165">
      <w:pPr>
        <w:ind w:left="432" w:hanging="432"/>
        <w:rPr>
          <w:lang w:val="en-US"/>
        </w:rPr>
      </w:pPr>
      <w:r>
        <w:rPr>
          <w:lang w:val="en-US"/>
        </w:rPr>
        <w:t>9</w:t>
      </w:r>
      <w:r w:rsidR="004C50C1">
        <w:rPr>
          <w:lang w:val="en-US"/>
        </w:rPr>
        <w:t>.</w:t>
      </w:r>
      <w:r w:rsidR="004C50C1">
        <w:rPr>
          <w:lang w:val="en-US"/>
        </w:rPr>
        <w:tab/>
        <w:t>Paragraph 4.1.2.1. is “upgraded” to paragraph 4.2.3. because the provision concerns an additional requirement distinct from the demonstration method. The text is clarified to avoid the risk of confusion with the “test reports” prepared by Technical Services. In this case, the provision concerns documentation from the manufacturer describing the EDR triggering strategies.</w:t>
      </w:r>
    </w:p>
    <w:p w14:paraId="776B020C" w14:textId="4C7B00ED" w:rsidR="004C50C1" w:rsidRPr="00F21C4E" w:rsidRDefault="006519E9" w:rsidP="00956165">
      <w:pPr>
        <w:ind w:left="432" w:hanging="432"/>
        <w:rPr>
          <w:lang w:val="en-US"/>
        </w:rPr>
      </w:pPr>
      <w:r>
        <w:rPr>
          <w:lang w:val="en-US"/>
        </w:rPr>
        <w:t>10</w:t>
      </w:r>
      <w:r w:rsidR="004C50C1">
        <w:rPr>
          <w:lang w:val="en-US"/>
        </w:rPr>
        <w:t>.</w:t>
      </w:r>
      <w:r w:rsidR="004C50C1">
        <w:rPr>
          <w:lang w:val="en-US"/>
        </w:rPr>
        <w:tab/>
        <w:t>Under the renumbering, paragraph 4.1.3. becomes paragraph 4.2.4. The provision basically states that paragraph 5.4. (EDR survivability) shall be used in cases where a vehicle type seeking approval under paragraph 4.2. has not been tested under one of the UN R160-prescribed crash tests (e.g., UN R94, R95, etc.). Paragraph 4.2.4. proposes editorial improvements for clarity.</w:t>
      </w:r>
      <w:r w:rsidR="00B72B86">
        <w:rPr>
          <w:lang w:val="en-US"/>
        </w:rPr>
        <w:t xml:space="preserve"> The provision is a subparagraph of 4.2. which concerns “</w:t>
      </w:r>
      <w:r w:rsidR="00B72B86" w:rsidRPr="00B72B86">
        <w:rPr>
          <w:lang w:val="en-US"/>
        </w:rPr>
        <w:t>any vehicle type up to a maximum mass of 12,000 kg</w:t>
      </w:r>
      <w:r w:rsidR="00B72B86">
        <w:rPr>
          <w:lang w:val="en-US"/>
        </w:rPr>
        <w:t xml:space="preserve">” that meets the two criteria where the manufacturer requests the alternate approval. In any case, any vehicle seeking approval </w:t>
      </w:r>
      <w:proofErr w:type="gramStart"/>
      <w:r w:rsidR="00B72B86">
        <w:rPr>
          <w:lang w:val="en-US"/>
        </w:rPr>
        <w:t>to</w:t>
      </w:r>
      <w:proofErr w:type="gramEnd"/>
      <w:r w:rsidR="00B72B86">
        <w:rPr>
          <w:lang w:val="en-US"/>
        </w:rPr>
        <w:t xml:space="preserve"> UN R169 would have to meet paragraph 5.4. unless the EDR survivability had been demonstrated under the crash testing prescribed in UN R160.</w:t>
      </w:r>
    </w:p>
    <w:p w14:paraId="405B04EF" w14:textId="77777777" w:rsidR="00DE5EA5" w:rsidRPr="00DE5EA5" w:rsidRDefault="00DE5EA5" w:rsidP="00956165">
      <w:pPr>
        <w:ind w:left="432" w:hanging="432"/>
        <w:rPr>
          <w:lang w:val="en-US"/>
        </w:rPr>
      </w:pPr>
    </w:p>
    <w:p w14:paraId="289EBD88" w14:textId="77777777" w:rsidR="00956165" w:rsidRPr="00956165" w:rsidRDefault="00956165">
      <w:pPr>
        <w:rPr>
          <w:lang w:val="en-US"/>
        </w:rPr>
      </w:pPr>
    </w:p>
    <w:sectPr w:rsidR="00956165" w:rsidRPr="00956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52E8"/>
    <w:multiLevelType w:val="multilevel"/>
    <w:tmpl w:val="4DE6CA8A"/>
    <w:lvl w:ilvl="0">
      <w:start w:val="1"/>
      <w:numFmt w:val="decimal"/>
      <w:pStyle w:val="ListParagraph"/>
      <w:lvlText w:val="%1."/>
      <w:lvlJc w:val="left"/>
      <w:pPr>
        <w:ind w:left="360" w:hanging="360"/>
      </w:pPr>
      <w:rPr>
        <w:rFonts w:hint="default"/>
      </w:rPr>
    </w:lvl>
    <w:lvl w:ilvl="1">
      <w:start w:val="1"/>
      <w:numFmt w:val="decimal"/>
      <w:pStyle w:val="ListL2"/>
      <w:lvlText w:val="%1.%2."/>
      <w:lvlJc w:val="left"/>
      <w:pPr>
        <w:ind w:left="792" w:hanging="432"/>
      </w:pPr>
      <w:rPr>
        <w:rFonts w:hint="default"/>
      </w:rPr>
    </w:lvl>
    <w:lvl w:ilvl="2">
      <w:start w:val="1"/>
      <w:numFmt w:val="decimal"/>
      <w:pStyle w:val="ListL3"/>
      <w:lvlText w:val="%1.%2.%3."/>
      <w:lvlJc w:val="left"/>
      <w:pPr>
        <w:ind w:left="1224" w:hanging="504"/>
      </w:pPr>
      <w:rPr>
        <w:rFonts w:hint="default"/>
      </w:rPr>
    </w:lvl>
    <w:lvl w:ilvl="3">
      <w:start w:val="1"/>
      <w:numFmt w:val="decimal"/>
      <w:pStyle w:val="ListL4"/>
      <w:lvlText w:val="%1.%2.%3.%4."/>
      <w:lvlJc w:val="left"/>
      <w:pPr>
        <w:ind w:left="24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5D85371"/>
    <w:multiLevelType w:val="multilevel"/>
    <w:tmpl w:val="9C7602E2"/>
    <w:styleLink w:val="List-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pStyle w:val="List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03636370">
    <w:abstractNumId w:val="1"/>
  </w:num>
  <w:num w:numId="2" w16cid:durableId="2083943190">
    <w:abstractNumId w:val="0"/>
  </w:num>
  <w:num w:numId="3" w16cid:durableId="826358993">
    <w:abstractNumId w:val="0"/>
  </w:num>
  <w:num w:numId="4" w16cid:durableId="1993020458">
    <w:abstractNumId w:val="0"/>
  </w:num>
  <w:num w:numId="5" w16cid:durableId="924917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B9E"/>
    <w:rsid w:val="001B5D53"/>
    <w:rsid w:val="001E71F4"/>
    <w:rsid w:val="002F27BF"/>
    <w:rsid w:val="004C50C1"/>
    <w:rsid w:val="004E4A62"/>
    <w:rsid w:val="00564E1E"/>
    <w:rsid w:val="005937B3"/>
    <w:rsid w:val="006267E5"/>
    <w:rsid w:val="00650BE0"/>
    <w:rsid w:val="006519E9"/>
    <w:rsid w:val="006D141A"/>
    <w:rsid w:val="00707243"/>
    <w:rsid w:val="00740A2F"/>
    <w:rsid w:val="00887919"/>
    <w:rsid w:val="00914DAA"/>
    <w:rsid w:val="00927B56"/>
    <w:rsid w:val="00934D6E"/>
    <w:rsid w:val="00956165"/>
    <w:rsid w:val="00A27445"/>
    <w:rsid w:val="00B72B86"/>
    <w:rsid w:val="00B81BB2"/>
    <w:rsid w:val="00BC7472"/>
    <w:rsid w:val="00BE0CF6"/>
    <w:rsid w:val="00C979B8"/>
    <w:rsid w:val="00CD3E56"/>
    <w:rsid w:val="00DE5EA5"/>
    <w:rsid w:val="00E65B9E"/>
    <w:rsid w:val="00F15342"/>
    <w:rsid w:val="00F21C4E"/>
    <w:rsid w:val="00F35ACF"/>
    <w:rsid w:val="00F43EAA"/>
    <w:rsid w:val="00F94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69FE4"/>
  <w15:chartTrackingRefBased/>
  <w15:docId w15:val="{F8C2A06F-D6AC-4429-A410-9F5E1CA57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A62"/>
    <w:rPr>
      <w:lang w:val="en-GB"/>
    </w:rPr>
  </w:style>
  <w:style w:type="paragraph" w:styleId="Heading1">
    <w:name w:val="heading 1"/>
    <w:basedOn w:val="Normal"/>
    <w:next w:val="Normal"/>
    <w:link w:val="Heading1Char"/>
    <w:uiPriority w:val="9"/>
    <w:qFormat/>
    <w:rsid w:val="00E65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B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B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65B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65B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5B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5B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5B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L2">
    <w:name w:val="List-L2"/>
    <w:uiPriority w:val="99"/>
    <w:rsid w:val="00F43EAA"/>
    <w:pPr>
      <w:numPr>
        <w:numId w:val="1"/>
      </w:numPr>
    </w:pPr>
  </w:style>
  <w:style w:type="paragraph" w:customStyle="1" w:styleId="ListL2">
    <w:name w:val="List L2"/>
    <w:basedOn w:val="ListParagraph"/>
    <w:link w:val="ListL2Char"/>
    <w:qFormat/>
    <w:rsid w:val="004E4A62"/>
    <w:pPr>
      <w:numPr>
        <w:ilvl w:val="1"/>
      </w:numPr>
      <w:spacing w:after="120"/>
      <w:ind w:right="1152"/>
      <w:contextualSpacing w:val="0"/>
    </w:pPr>
  </w:style>
  <w:style w:type="character" w:customStyle="1" w:styleId="ListL2Char">
    <w:name w:val="List L2 Char"/>
    <w:basedOn w:val="DefaultParagraphFont"/>
    <w:link w:val="ListL2"/>
    <w:rsid w:val="004E4A62"/>
  </w:style>
  <w:style w:type="paragraph" w:styleId="ListParagraph">
    <w:name w:val="List Paragraph"/>
    <w:basedOn w:val="Normal"/>
    <w:uiPriority w:val="34"/>
    <w:qFormat/>
    <w:rsid w:val="004E4A62"/>
    <w:pPr>
      <w:numPr>
        <w:numId w:val="5"/>
      </w:numPr>
      <w:contextualSpacing/>
    </w:pPr>
  </w:style>
  <w:style w:type="paragraph" w:customStyle="1" w:styleId="ListL3">
    <w:name w:val="List L3"/>
    <w:basedOn w:val="ListL2"/>
    <w:link w:val="ListL3Char"/>
    <w:qFormat/>
    <w:rsid w:val="004E4A62"/>
    <w:pPr>
      <w:numPr>
        <w:ilvl w:val="2"/>
      </w:numPr>
    </w:pPr>
  </w:style>
  <w:style w:type="character" w:customStyle="1" w:styleId="ListL3Char">
    <w:name w:val="List L3 Char"/>
    <w:basedOn w:val="ListL2Char"/>
    <w:link w:val="ListL3"/>
    <w:rsid w:val="004E4A62"/>
  </w:style>
  <w:style w:type="paragraph" w:customStyle="1" w:styleId="ListL4">
    <w:name w:val="List L4"/>
    <w:basedOn w:val="ListL3"/>
    <w:link w:val="ListL4Char"/>
    <w:qFormat/>
    <w:rsid w:val="004E4A62"/>
    <w:pPr>
      <w:numPr>
        <w:ilvl w:val="3"/>
      </w:numPr>
    </w:pPr>
  </w:style>
  <w:style w:type="character" w:customStyle="1" w:styleId="ListL4Char">
    <w:name w:val="List L4 Char"/>
    <w:basedOn w:val="ListL3Char"/>
    <w:link w:val="ListL4"/>
    <w:rsid w:val="004E4A62"/>
  </w:style>
  <w:style w:type="paragraph" w:customStyle="1" w:styleId="ListL5">
    <w:name w:val="List L5"/>
    <w:basedOn w:val="ListL4"/>
    <w:link w:val="ListL5Char"/>
    <w:qFormat/>
    <w:rsid w:val="004E4A62"/>
    <w:pPr>
      <w:numPr>
        <w:ilvl w:val="4"/>
        <w:numId w:val="1"/>
      </w:numPr>
      <w:ind w:left="3960" w:hanging="1152"/>
    </w:pPr>
  </w:style>
  <w:style w:type="character" w:customStyle="1" w:styleId="ListL5Char">
    <w:name w:val="List L5 Char"/>
    <w:basedOn w:val="ListL4Char"/>
    <w:link w:val="ListL5"/>
    <w:rsid w:val="004E4A62"/>
  </w:style>
  <w:style w:type="paragraph" w:customStyle="1" w:styleId="footnote">
    <w:name w:val="footnote"/>
    <w:basedOn w:val="FootnoteText"/>
    <w:link w:val="footnoteChar"/>
    <w:qFormat/>
    <w:rsid w:val="004E4A62"/>
    <w:pPr>
      <w:ind w:left="187" w:hanging="187"/>
    </w:pPr>
  </w:style>
  <w:style w:type="character" w:customStyle="1" w:styleId="footnoteChar">
    <w:name w:val="footnote Char"/>
    <w:basedOn w:val="FootnoteTextChar"/>
    <w:link w:val="footnote"/>
    <w:rsid w:val="004E4A62"/>
    <w:rPr>
      <w:sz w:val="20"/>
      <w:szCs w:val="20"/>
    </w:rPr>
  </w:style>
  <w:style w:type="paragraph" w:styleId="FootnoteText">
    <w:name w:val="footnote text"/>
    <w:basedOn w:val="Normal"/>
    <w:link w:val="FootnoteTextChar"/>
    <w:uiPriority w:val="99"/>
    <w:semiHidden/>
    <w:unhideWhenUsed/>
    <w:rsid w:val="004E4A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4A62"/>
    <w:rPr>
      <w:sz w:val="20"/>
      <w:szCs w:val="20"/>
    </w:rPr>
  </w:style>
  <w:style w:type="character" w:customStyle="1" w:styleId="Heading1Char">
    <w:name w:val="Heading 1 Char"/>
    <w:basedOn w:val="DefaultParagraphFont"/>
    <w:link w:val="Heading1"/>
    <w:uiPriority w:val="9"/>
    <w:rsid w:val="00E65B9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E65B9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E65B9E"/>
    <w:rPr>
      <w:rFonts w:asciiTheme="minorHAnsi" w:eastAsiaTheme="majorEastAsia" w:hAnsiTheme="minorHAnsi"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65B9E"/>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65B9E"/>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rsid w:val="00E65B9E"/>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65B9E"/>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E65B9E"/>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65B9E"/>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E65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B9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65B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B9E"/>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65B9E"/>
    <w:pPr>
      <w:spacing w:before="160"/>
      <w:jc w:val="center"/>
    </w:pPr>
    <w:rPr>
      <w:i/>
      <w:iCs/>
      <w:color w:val="404040" w:themeColor="text1" w:themeTint="BF"/>
    </w:rPr>
  </w:style>
  <w:style w:type="character" w:customStyle="1" w:styleId="QuoteChar">
    <w:name w:val="Quote Char"/>
    <w:basedOn w:val="DefaultParagraphFont"/>
    <w:link w:val="Quote"/>
    <w:uiPriority w:val="29"/>
    <w:rsid w:val="00E65B9E"/>
    <w:rPr>
      <w:i/>
      <w:iCs/>
      <w:color w:val="404040" w:themeColor="text1" w:themeTint="BF"/>
      <w:lang w:val="en-GB"/>
    </w:rPr>
  </w:style>
  <w:style w:type="character" w:styleId="IntenseEmphasis">
    <w:name w:val="Intense Emphasis"/>
    <w:basedOn w:val="DefaultParagraphFont"/>
    <w:uiPriority w:val="21"/>
    <w:qFormat/>
    <w:rsid w:val="00E65B9E"/>
    <w:rPr>
      <w:i/>
      <w:iCs/>
      <w:color w:val="0F4761" w:themeColor="accent1" w:themeShade="BF"/>
    </w:rPr>
  </w:style>
  <w:style w:type="paragraph" w:styleId="IntenseQuote">
    <w:name w:val="Intense Quote"/>
    <w:basedOn w:val="Normal"/>
    <w:next w:val="Normal"/>
    <w:link w:val="IntenseQuoteChar"/>
    <w:uiPriority w:val="30"/>
    <w:qFormat/>
    <w:rsid w:val="00E65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B9E"/>
    <w:rPr>
      <w:i/>
      <w:iCs/>
      <w:color w:val="0F4761" w:themeColor="accent1" w:themeShade="BF"/>
      <w:lang w:val="en-GB"/>
    </w:rPr>
  </w:style>
  <w:style w:type="character" w:styleId="IntenseReference">
    <w:name w:val="Intense Reference"/>
    <w:basedOn w:val="DefaultParagraphFont"/>
    <w:uiPriority w:val="32"/>
    <w:qFormat/>
    <w:rsid w:val="00E65B9E"/>
    <w:rPr>
      <w:b/>
      <w:bCs/>
      <w:smallCaps/>
      <w:color w:val="0F4761" w:themeColor="accent1" w:themeShade="BF"/>
      <w:spacing w:val="5"/>
    </w:rPr>
  </w:style>
  <w:style w:type="table" w:styleId="TableGrid">
    <w:name w:val="Table Grid"/>
    <w:basedOn w:val="TableNormal"/>
    <w:uiPriority w:val="39"/>
    <w:rsid w:val="00E65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ff5881-7115-48df-9cd6-e99e771d283f}" enabled="1" method="Privileged" siteId="{28b782fb-41e1-48ea-bfc3-ad7558ce7136}"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3</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Creamer</dc:creator>
  <cp:keywords/>
  <dc:description/>
  <cp:lastModifiedBy>Douglas Hannah</cp:lastModifiedBy>
  <cp:revision>3</cp:revision>
  <dcterms:created xsi:type="dcterms:W3CDTF">2025-10-01T06:48:00Z</dcterms:created>
  <dcterms:modified xsi:type="dcterms:W3CDTF">2025-10-01T08:37:00Z</dcterms:modified>
</cp:coreProperties>
</file>