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E34ABC7" w14:textId="77777777" w:rsidTr="00B20551">
        <w:trPr>
          <w:cantSplit/>
          <w:trHeight w:hRule="exact" w:val="851"/>
        </w:trPr>
        <w:tc>
          <w:tcPr>
            <w:tcW w:w="1276" w:type="dxa"/>
            <w:tcBorders>
              <w:bottom w:val="single" w:sz="4" w:space="0" w:color="auto"/>
            </w:tcBorders>
            <w:vAlign w:val="bottom"/>
          </w:tcPr>
          <w:p w14:paraId="3F624E9B" w14:textId="77777777" w:rsidR="009E6CB7" w:rsidRDefault="009E6CB7" w:rsidP="00B20551">
            <w:pPr>
              <w:spacing w:after="80"/>
            </w:pPr>
          </w:p>
        </w:tc>
        <w:tc>
          <w:tcPr>
            <w:tcW w:w="2268" w:type="dxa"/>
            <w:tcBorders>
              <w:bottom w:val="single" w:sz="4" w:space="0" w:color="auto"/>
            </w:tcBorders>
            <w:vAlign w:val="bottom"/>
          </w:tcPr>
          <w:p w14:paraId="396E5A5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98C80C3" w14:textId="59EBF838" w:rsidR="009E6CB7" w:rsidRPr="00D47EEA" w:rsidRDefault="00D07CD2" w:rsidP="00D07CD2">
            <w:pPr>
              <w:jc w:val="right"/>
            </w:pPr>
            <w:r w:rsidRPr="00D07CD2">
              <w:rPr>
                <w:sz w:val="40"/>
              </w:rPr>
              <w:t>ECE</w:t>
            </w:r>
            <w:r>
              <w:t>/TRANS/WP.29/2025/46</w:t>
            </w:r>
          </w:p>
        </w:tc>
      </w:tr>
      <w:tr w:rsidR="009E6CB7" w14:paraId="67C44F41" w14:textId="77777777" w:rsidTr="00B20551">
        <w:trPr>
          <w:cantSplit/>
          <w:trHeight w:hRule="exact" w:val="2835"/>
        </w:trPr>
        <w:tc>
          <w:tcPr>
            <w:tcW w:w="1276" w:type="dxa"/>
            <w:tcBorders>
              <w:top w:val="single" w:sz="4" w:space="0" w:color="auto"/>
              <w:bottom w:val="single" w:sz="12" w:space="0" w:color="auto"/>
            </w:tcBorders>
          </w:tcPr>
          <w:p w14:paraId="45AEE38F" w14:textId="77777777" w:rsidR="009E6CB7" w:rsidRDefault="00686A48" w:rsidP="00B20551">
            <w:pPr>
              <w:spacing w:before="120"/>
            </w:pPr>
            <w:r>
              <w:rPr>
                <w:noProof/>
                <w:lang w:val="fr-CH" w:eastAsia="fr-CH"/>
              </w:rPr>
              <w:drawing>
                <wp:inline distT="0" distB="0" distL="0" distR="0" wp14:anchorId="2951065A" wp14:editId="246D73E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15CBEF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E0CA6AB" w14:textId="77777777" w:rsidR="009E6CB7" w:rsidRDefault="00D07CD2" w:rsidP="00D07CD2">
            <w:pPr>
              <w:spacing w:before="240" w:line="240" w:lineRule="exact"/>
            </w:pPr>
            <w:r>
              <w:t>Distr.: General</w:t>
            </w:r>
          </w:p>
          <w:p w14:paraId="0E5E22F0" w14:textId="0592244B" w:rsidR="00D07CD2" w:rsidRDefault="00DE38E5" w:rsidP="00D07CD2">
            <w:pPr>
              <w:spacing w:line="240" w:lineRule="exact"/>
            </w:pPr>
            <w:r>
              <w:t>4</w:t>
            </w:r>
            <w:r w:rsidR="00D07CD2">
              <w:t xml:space="preserve"> </w:t>
            </w:r>
            <w:r>
              <w:t>April</w:t>
            </w:r>
            <w:r w:rsidR="00D07CD2">
              <w:t xml:space="preserve"> 2025</w:t>
            </w:r>
          </w:p>
          <w:p w14:paraId="5C462615" w14:textId="77777777" w:rsidR="00D07CD2" w:rsidRDefault="00D07CD2" w:rsidP="00D07CD2">
            <w:pPr>
              <w:spacing w:line="240" w:lineRule="exact"/>
            </w:pPr>
          </w:p>
          <w:p w14:paraId="3E15DCCC" w14:textId="0A2FCAED" w:rsidR="00D07CD2" w:rsidRDefault="00D07CD2" w:rsidP="00D07CD2">
            <w:pPr>
              <w:spacing w:line="240" w:lineRule="exact"/>
            </w:pPr>
            <w:r>
              <w:t>Original: English</w:t>
            </w:r>
          </w:p>
        </w:tc>
      </w:tr>
    </w:tbl>
    <w:p w14:paraId="556ADFEC" w14:textId="77777777" w:rsidR="00D07CD2" w:rsidRPr="001D703D" w:rsidRDefault="00D07CD2" w:rsidP="00D07CD2">
      <w:pPr>
        <w:spacing w:before="120"/>
        <w:rPr>
          <w:b/>
          <w:sz w:val="28"/>
          <w:szCs w:val="28"/>
        </w:rPr>
      </w:pPr>
      <w:r w:rsidRPr="001D703D">
        <w:rPr>
          <w:b/>
          <w:sz w:val="28"/>
          <w:szCs w:val="28"/>
        </w:rPr>
        <w:t>Economic Commission for Europe</w:t>
      </w:r>
    </w:p>
    <w:p w14:paraId="001D43CB" w14:textId="77777777" w:rsidR="00D07CD2" w:rsidRPr="001D703D" w:rsidRDefault="00D07CD2" w:rsidP="00D07CD2">
      <w:pPr>
        <w:spacing w:before="120"/>
        <w:rPr>
          <w:sz w:val="28"/>
          <w:szCs w:val="28"/>
        </w:rPr>
      </w:pPr>
      <w:r w:rsidRPr="001D703D">
        <w:rPr>
          <w:sz w:val="28"/>
          <w:szCs w:val="28"/>
        </w:rPr>
        <w:t>Inland Transport Committee</w:t>
      </w:r>
    </w:p>
    <w:p w14:paraId="7DBE7B2A" w14:textId="77777777" w:rsidR="00D07CD2" w:rsidRPr="001D703D" w:rsidRDefault="00D07CD2" w:rsidP="00D07CD2">
      <w:pPr>
        <w:spacing w:before="120"/>
        <w:rPr>
          <w:b/>
          <w:sz w:val="24"/>
          <w:szCs w:val="24"/>
        </w:rPr>
      </w:pPr>
      <w:r w:rsidRPr="001D703D">
        <w:rPr>
          <w:b/>
          <w:sz w:val="24"/>
          <w:szCs w:val="24"/>
        </w:rPr>
        <w:t>World Forum for Harmonization of Vehicle Regulations</w:t>
      </w:r>
    </w:p>
    <w:p w14:paraId="0F87F1D9" w14:textId="7E71FE57" w:rsidR="00D07CD2" w:rsidRPr="001D703D" w:rsidRDefault="00D07CD2" w:rsidP="00D07CD2">
      <w:pPr>
        <w:tabs>
          <w:tab w:val="center" w:pos="4819"/>
        </w:tabs>
        <w:spacing w:before="120"/>
        <w:rPr>
          <w:b/>
          <w:lang w:val="en-US"/>
        </w:rPr>
      </w:pPr>
      <w:r>
        <w:rPr>
          <w:b/>
          <w:lang w:val="en-US"/>
        </w:rPr>
        <w:t xml:space="preserve">196th </w:t>
      </w:r>
      <w:r w:rsidRPr="001D703D">
        <w:rPr>
          <w:b/>
          <w:lang w:val="en-US"/>
        </w:rPr>
        <w:t>session</w:t>
      </w:r>
    </w:p>
    <w:p w14:paraId="6D55CFCC" w14:textId="38799422" w:rsidR="00D07CD2" w:rsidRPr="001D703D" w:rsidRDefault="00D07CD2" w:rsidP="00D07CD2">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1011A745" w14:textId="41E5FAC3" w:rsidR="00D07CD2" w:rsidRPr="001D703D" w:rsidRDefault="00D07CD2" w:rsidP="00D07CD2">
      <w:r w:rsidRPr="001D703D">
        <w:t>Ite</w:t>
      </w:r>
      <w:r w:rsidRPr="0012673E">
        <w:t>m 4.</w:t>
      </w:r>
      <w:r>
        <w:t>6</w:t>
      </w:r>
      <w:r w:rsidRPr="0012673E">
        <w:t>.1</w:t>
      </w:r>
      <w:r>
        <w:t xml:space="preserve"> </w:t>
      </w:r>
      <w:r w:rsidRPr="001D703D">
        <w:t>of the provisional agenda</w:t>
      </w:r>
    </w:p>
    <w:p w14:paraId="104AB3BF" w14:textId="77777777" w:rsidR="00D07CD2" w:rsidRDefault="00D07CD2" w:rsidP="00D07CD2">
      <w:pPr>
        <w:rPr>
          <w:b/>
        </w:rPr>
      </w:pPr>
      <w:r>
        <w:rPr>
          <w:b/>
        </w:rPr>
        <w:t>1958 Agreement:</w:t>
      </w:r>
    </w:p>
    <w:p w14:paraId="1CDE6A46" w14:textId="77777777" w:rsidR="00D07CD2" w:rsidRDefault="00D07CD2" w:rsidP="00D07CD2">
      <w:pPr>
        <w:rPr>
          <w:b/>
        </w:rPr>
      </w:pPr>
      <w:r>
        <w:rPr>
          <w:b/>
        </w:rPr>
        <w:t>Consideration of draft amendments to existing</w:t>
      </w:r>
    </w:p>
    <w:p w14:paraId="1B9FC8A3" w14:textId="77777777" w:rsidR="00D07CD2" w:rsidRDefault="00D07CD2" w:rsidP="00D07CD2">
      <w:pPr>
        <w:rPr>
          <w:b/>
          <w:bCs/>
        </w:rPr>
      </w:pPr>
      <w:r>
        <w:rPr>
          <w:b/>
        </w:rPr>
        <w:t>UN Regulations submitted by GRSP</w:t>
      </w:r>
    </w:p>
    <w:p w14:paraId="5BE0DA72" w14:textId="7AA85244" w:rsidR="00D07CD2" w:rsidRDefault="00D07CD2" w:rsidP="00D07CD2">
      <w:pPr>
        <w:pStyle w:val="HChG"/>
        <w:ind w:left="1124" w:right="1138" w:firstLine="0"/>
      </w:pPr>
      <w:r w:rsidRPr="00D07CD2">
        <w:rPr>
          <w:color w:val="000000"/>
        </w:rPr>
        <w:t>Proposal for a 12 series of amendments to UN Regulation No. 17 (Strength of seats)</w:t>
      </w:r>
    </w:p>
    <w:p w14:paraId="5C294152" w14:textId="77777777" w:rsidR="00D07CD2" w:rsidRDefault="00D07CD2" w:rsidP="00D07CD2">
      <w:pPr>
        <w:pStyle w:val="H1G"/>
        <w:rPr>
          <w:szCs w:val="24"/>
        </w:rPr>
      </w:pPr>
      <w:r>
        <w:tab/>
      </w:r>
      <w:r>
        <w:tab/>
      </w:r>
      <w:r>
        <w:rPr>
          <w:szCs w:val="24"/>
        </w:rPr>
        <w:t>Submitted by the Working Party on Passive Safety</w:t>
      </w:r>
      <w:r>
        <w:footnoteReference w:customMarkFollows="1" w:id="2"/>
        <w:t>*</w:t>
      </w:r>
    </w:p>
    <w:p w14:paraId="35BBD4EF" w14:textId="1FB0B05C" w:rsidR="00D07CD2" w:rsidRDefault="00D07CD2" w:rsidP="00D07CD2">
      <w:pPr>
        <w:pStyle w:val="SingleTxtG"/>
        <w:rPr>
          <w:lang w:val="en-US"/>
        </w:rPr>
      </w:pPr>
      <w:r>
        <w:rPr>
          <w:lang w:val="en-US"/>
        </w:rPr>
        <w:tab/>
        <w:t>The text reproduced below was adopted by the Working Party on Passive Safety (GRSP) at its seventy-sixth session (ECE/TRANS/WP.29/GRSP/76, paragraph 17).</w:t>
      </w:r>
      <w:r>
        <w:rPr>
          <w:lang w:val="en-US" w:eastAsia="en-GB"/>
        </w:rPr>
        <w:t xml:space="preserve"> </w:t>
      </w:r>
      <w:r>
        <w:rPr>
          <w:lang w:eastAsia="en-GB"/>
        </w:rPr>
        <w:t xml:space="preserve">It is based on </w:t>
      </w:r>
      <w:r>
        <w:t xml:space="preserve">informal document </w:t>
      </w:r>
      <w:r w:rsidRPr="00746C88">
        <w:t>GRSP-76-47-Rev.</w:t>
      </w:r>
      <w:r>
        <w:t>1 (as reproduced in annex VI of the report)</w:t>
      </w:r>
      <w:r>
        <w:rPr>
          <w:lang w:val="en-US"/>
        </w:rPr>
        <w:t>. It is submitted to the World Forum for Harmonization of Vehicle Regulations (WP.29) and to the Administrative Committee (AC.1) for consideration at their June 2025 sessions.</w:t>
      </w:r>
    </w:p>
    <w:p w14:paraId="75C979F9" w14:textId="7E2AE2C7" w:rsidR="004F75BF" w:rsidRDefault="004F75BF">
      <w:r>
        <w:br w:type="page"/>
      </w:r>
    </w:p>
    <w:p w14:paraId="0CC7A540" w14:textId="77777777" w:rsidR="004F75BF" w:rsidRPr="00646860" w:rsidRDefault="004F75BF" w:rsidP="004F75BF">
      <w:pPr>
        <w:spacing w:after="120"/>
        <w:ind w:left="2268" w:right="1134" w:hanging="1134"/>
        <w:jc w:val="both"/>
        <w:rPr>
          <w:iCs/>
          <w:lang w:eastAsia="ja-JP"/>
        </w:rPr>
      </w:pPr>
      <w:r w:rsidRPr="00646860">
        <w:rPr>
          <w:rFonts w:eastAsia="Malgun Gothic"/>
          <w:i/>
          <w:lang w:eastAsia="ko-KR"/>
        </w:rPr>
        <w:lastRenderedPageBreak/>
        <w:t>Insert new pa</w:t>
      </w:r>
      <w:r w:rsidRPr="00646860">
        <w:rPr>
          <w:i/>
          <w:lang w:eastAsia="ja-JP"/>
        </w:rPr>
        <w:t>ragraph</w:t>
      </w:r>
      <w:r>
        <w:rPr>
          <w:i/>
          <w:lang w:eastAsia="ja-JP"/>
        </w:rPr>
        <w:t>s</w:t>
      </w:r>
      <w:r w:rsidRPr="00646860">
        <w:rPr>
          <w:rFonts w:eastAsia="Malgun Gothic"/>
          <w:i/>
          <w:lang w:eastAsia="ko-KR"/>
        </w:rPr>
        <w:t xml:space="preserve"> 2.31.</w:t>
      </w:r>
      <w:r>
        <w:rPr>
          <w:rFonts w:eastAsia="Malgun Gothic"/>
          <w:i/>
          <w:lang w:eastAsia="ko-KR"/>
        </w:rPr>
        <w:t xml:space="preserve"> and 2.32.</w:t>
      </w:r>
      <w:r w:rsidRPr="00646860">
        <w:rPr>
          <w:iCs/>
          <w:lang w:eastAsia="ja-JP"/>
        </w:rPr>
        <w:t>, to read:</w:t>
      </w:r>
    </w:p>
    <w:p w14:paraId="621B3654" w14:textId="77777777" w:rsidR="004F75BF" w:rsidRPr="00E32DE6" w:rsidRDefault="004F75BF" w:rsidP="004F75BF">
      <w:pPr>
        <w:spacing w:after="120"/>
        <w:ind w:left="2268" w:right="1134" w:hanging="1134"/>
        <w:jc w:val="both"/>
        <w:rPr>
          <w:rFonts w:eastAsia="Malgun Gothic"/>
          <w:bCs/>
          <w:lang w:eastAsia="ko-KR"/>
        </w:rPr>
      </w:pPr>
      <w:r w:rsidRPr="00E32DE6">
        <w:rPr>
          <w:rFonts w:eastAsia="Malgun Gothic"/>
          <w:bCs/>
          <w:lang w:eastAsia="ko-KR"/>
        </w:rPr>
        <w:t>"2.31.</w:t>
      </w:r>
      <w:r w:rsidRPr="00E32DE6">
        <w:rPr>
          <w:bCs/>
        </w:rPr>
        <w:t xml:space="preserve"> </w:t>
      </w:r>
      <w:r w:rsidRPr="00E32DE6">
        <w:rPr>
          <w:bCs/>
        </w:rPr>
        <w:tab/>
      </w:r>
      <w:r w:rsidRPr="00E32DE6">
        <w:rPr>
          <w:rFonts w:eastAsia="Malgun Gothic"/>
          <w:bCs/>
          <w:i/>
          <w:lang w:eastAsia="ko-KR"/>
        </w:rPr>
        <w:t>"Seat back structure"</w:t>
      </w:r>
      <w:r w:rsidRPr="00E32DE6">
        <w:rPr>
          <w:rFonts w:eastAsia="Malgun Gothic"/>
          <w:bCs/>
          <w:lang w:eastAsia="ko-KR"/>
        </w:rPr>
        <w:t xml:space="preserve"> means any part of the seat back which has a hardness of more than 50 Shore A</w:t>
      </w:r>
      <w:r w:rsidRPr="00E32DE6">
        <w:rPr>
          <w:bCs/>
        </w:rPr>
        <w:t>.</w:t>
      </w:r>
    </w:p>
    <w:p w14:paraId="4900298E" w14:textId="77777777" w:rsidR="004F75BF" w:rsidRPr="00E32DE6" w:rsidRDefault="004F75BF" w:rsidP="004F75BF">
      <w:pPr>
        <w:spacing w:after="120"/>
        <w:ind w:left="2268" w:right="1134" w:hanging="1134"/>
        <w:jc w:val="both"/>
        <w:rPr>
          <w:rFonts w:eastAsia="Malgun Gothic"/>
          <w:bCs/>
          <w:i/>
          <w:strike/>
          <w:lang w:val="en-US" w:eastAsia="ko-KR"/>
        </w:rPr>
      </w:pPr>
      <w:r w:rsidRPr="00E32DE6">
        <w:rPr>
          <w:rFonts w:eastAsia="Malgun Gothic"/>
          <w:bCs/>
          <w:iCs/>
          <w:lang w:eastAsia="ko-KR"/>
        </w:rPr>
        <w:t>2.32.</w:t>
      </w:r>
      <w:r w:rsidRPr="00E32DE6">
        <w:rPr>
          <w:rFonts w:eastAsia="Malgun Gothic"/>
          <w:bCs/>
          <w:i/>
          <w:lang w:eastAsia="ko-KR"/>
        </w:rPr>
        <w:tab/>
        <w:t>"Head restraint structure"</w:t>
      </w:r>
      <w:r w:rsidRPr="00E32DE6">
        <w:rPr>
          <w:rFonts w:eastAsia="Malgun Gothic"/>
          <w:bCs/>
          <w:lang w:eastAsia="ko-KR"/>
        </w:rPr>
        <w:t xml:space="preserve"> means any part of the head restraint which has a hardness of more than 50 Shore A and which is situated vertically above the seat back structure</w:t>
      </w:r>
      <w:r w:rsidRPr="00E32DE6">
        <w:rPr>
          <w:bCs/>
        </w:rPr>
        <w:t>.</w:t>
      </w:r>
      <w:r w:rsidRPr="00E32DE6">
        <w:rPr>
          <w:rFonts w:eastAsia="Malgun Gothic"/>
          <w:bCs/>
          <w:lang w:val="en-US" w:eastAsia="ko-KR"/>
        </w:rPr>
        <w:t>"</w:t>
      </w:r>
    </w:p>
    <w:p w14:paraId="2646FBC9" w14:textId="77777777" w:rsidR="004F75BF" w:rsidRPr="001409B9" w:rsidRDefault="004F75BF" w:rsidP="004F75BF">
      <w:pPr>
        <w:spacing w:after="120"/>
        <w:ind w:left="2268" w:right="1134" w:hanging="1134"/>
        <w:jc w:val="both"/>
        <w:rPr>
          <w:rFonts w:asciiTheme="majorBidi" w:eastAsia="Malgun Gothic" w:hAnsiTheme="majorBidi" w:cstheme="majorBidi"/>
          <w:i/>
          <w:lang w:eastAsia="ko-KR"/>
        </w:rPr>
      </w:pPr>
      <w:r w:rsidRPr="001409B9">
        <w:rPr>
          <w:rFonts w:asciiTheme="majorBidi" w:eastAsia="Malgun Gothic" w:hAnsiTheme="majorBidi" w:cstheme="majorBidi"/>
          <w:i/>
          <w:lang w:eastAsia="ko-KR"/>
        </w:rPr>
        <w:t>Amend paragraph 5.6.1.1.1. to 5.6.1.1.2.</w:t>
      </w:r>
      <w:r>
        <w:rPr>
          <w:rFonts w:asciiTheme="majorBidi" w:eastAsia="Malgun Gothic" w:hAnsiTheme="majorBidi" w:cstheme="majorBidi"/>
          <w:i/>
          <w:lang w:eastAsia="ko-KR"/>
        </w:rPr>
        <w:t xml:space="preserve"> </w:t>
      </w:r>
      <w:r w:rsidRPr="005C25E1">
        <w:rPr>
          <w:rFonts w:asciiTheme="majorBidi" w:eastAsia="Malgun Gothic" w:hAnsiTheme="majorBidi" w:cstheme="majorBidi"/>
          <w:iCs/>
          <w:lang w:eastAsia="ko-KR"/>
        </w:rPr>
        <w:t>to read:</w:t>
      </w:r>
      <w:r w:rsidRPr="001409B9">
        <w:rPr>
          <w:rFonts w:asciiTheme="majorBidi" w:eastAsia="Malgun Gothic" w:hAnsiTheme="majorBidi" w:cstheme="majorBidi"/>
          <w:i/>
          <w:lang w:eastAsia="ko-KR"/>
        </w:rPr>
        <w:t xml:space="preserve"> </w:t>
      </w:r>
    </w:p>
    <w:p w14:paraId="0C3627A3" w14:textId="6019532C" w:rsidR="004F75BF" w:rsidRPr="00E32DE6" w:rsidRDefault="004F75BF" w:rsidP="004F75BF">
      <w:pPr>
        <w:pStyle w:val="Default"/>
        <w:ind w:left="2268" w:right="992" w:hanging="1134"/>
        <w:rPr>
          <w:rFonts w:asciiTheme="majorBidi" w:hAnsiTheme="majorBidi" w:cstheme="majorBidi"/>
          <w:sz w:val="20"/>
          <w:szCs w:val="20"/>
          <w:lang w:val="en-US"/>
        </w:rPr>
      </w:pPr>
      <w:r w:rsidRPr="00E32DE6">
        <w:rPr>
          <w:rFonts w:asciiTheme="majorBidi" w:hAnsiTheme="majorBidi" w:cstheme="majorBidi"/>
          <w:sz w:val="20"/>
          <w:szCs w:val="20"/>
          <w:lang w:val="en-US"/>
        </w:rPr>
        <w:t xml:space="preserve">5.6.1.1.1. </w:t>
      </w:r>
      <w:r w:rsidRPr="00E32DE6">
        <w:rPr>
          <w:rFonts w:asciiTheme="majorBidi" w:hAnsiTheme="majorBidi" w:cstheme="majorBidi"/>
          <w:sz w:val="20"/>
          <w:szCs w:val="20"/>
          <w:lang w:val="en-US"/>
        </w:rPr>
        <w:tab/>
        <w:t xml:space="preserve">The head restraint shall conform to paragraphs 5.6.2.1., 5.6.3. through 5.6.8., 5.7., 5.8., and 5.10. of this Regulation. </w:t>
      </w:r>
    </w:p>
    <w:p w14:paraId="149B54FC" w14:textId="4698AA6E" w:rsidR="004F75BF" w:rsidRPr="00E32DE6" w:rsidRDefault="004F75BF" w:rsidP="004F75BF">
      <w:pPr>
        <w:spacing w:after="120"/>
        <w:ind w:left="2268" w:right="992" w:hanging="1134"/>
        <w:jc w:val="both"/>
        <w:rPr>
          <w:rFonts w:asciiTheme="majorBidi" w:eastAsia="Malgun Gothic" w:hAnsiTheme="majorBidi" w:cstheme="majorBidi"/>
          <w:i/>
          <w:lang w:eastAsia="ko-KR"/>
        </w:rPr>
      </w:pPr>
      <w:r w:rsidRPr="00E32DE6">
        <w:rPr>
          <w:rFonts w:asciiTheme="majorBidi" w:hAnsiTheme="majorBidi" w:cstheme="majorBidi"/>
        </w:rPr>
        <w:t xml:space="preserve">5.6.1.1.2. </w:t>
      </w:r>
      <w:r w:rsidRPr="00E32DE6">
        <w:rPr>
          <w:rFonts w:asciiTheme="majorBidi" w:hAnsiTheme="majorBidi" w:cstheme="majorBidi"/>
        </w:rPr>
        <w:tab/>
        <w:t>The head restraint shall conform to paragraphs 5.6.2.1., 5.6.3. through 5.6.5., 5.6.7., 5.6.8., 5.8., 5.9., and 5.10. of this Regulation.</w:t>
      </w:r>
    </w:p>
    <w:p w14:paraId="261806F0" w14:textId="77777777" w:rsidR="004F75BF" w:rsidRPr="00646860" w:rsidRDefault="004F75BF" w:rsidP="004F75BF">
      <w:pPr>
        <w:spacing w:after="120"/>
        <w:ind w:left="2268" w:right="1134" w:hanging="1134"/>
        <w:jc w:val="both"/>
        <w:rPr>
          <w:iCs/>
          <w:lang w:eastAsia="ja-JP"/>
        </w:rPr>
      </w:pPr>
      <w:r w:rsidRPr="00646860">
        <w:rPr>
          <w:rFonts w:eastAsia="Malgun Gothic"/>
          <w:i/>
          <w:lang w:eastAsia="ko-KR"/>
        </w:rPr>
        <w:t>Insert new pa</w:t>
      </w:r>
      <w:r w:rsidRPr="00646860">
        <w:rPr>
          <w:i/>
          <w:lang w:eastAsia="ja-JP"/>
        </w:rPr>
        <w:t>ragraph</w:t>
      </w:r>
      <w:r w:rsidRPr="00646860">
        <w:rPr>
          <w:rFonts w:eastAsia="Malgun Gothic"/>
          <w:i/>
          <w:lang w:eastAsia="ko-KR"/>
        </w:rPr>
        <w:t xml:space="preserve"> 5.</w:t>
      </w:r>
      <w:r>
        <w:rPr>
          <w:rFonts w:eastAsia="Malgun Gothic"/>
          <w:i/>
          <w:lang w:eastAsia="ko-KR"/>
        </w:rPr>
        <w:t>6.8</w:t>
      </w:r>
      <w:r w:rsidRPr="00646860">
        <w:rPr>
          <w:rFonts w:eastAsia="Malgun Gothic"/>
          <w:i/>
          <w:lang w:eastAsia="ko-KR"/>
        </w:rPr>
        <w:t>.</w:t>
      </w:r>
      <w:r w:rsidRPr="00646860">
        <w:rPr>
          <w:iCs/>
          <w:lang w:eastAsia="ja-JP"/>
        </w:rPr>
        <w:t>, to read:</w:t>
      </w:r>
    </w:p>
    <w:p w14:paraId="02CEF24B" w14:textId="62603F4A" w:rsidR="004F75BF" w:rsidRPr="00700594" w:rsidRDefault="004F75BF" w:rsidP="004F75BF">
      <w:pPr>
        <w:spacing w:after="120"/>
        <w:ind w:left="2268" w:right="1134" w:hanging="1134"/>
        <w:jc w:val="both"/>
        <w:rPr>
          <w:color w:val="000000" w:themeColor="text1"/>
        </w:rPr>
      </w:pPr>
      <w:r w:rsidRPr="00700594">
        <w:rPr>
          <w:rFonts w:eastAsia="Malgun Gothic"/>
          <w:color w:val="000000" w:themeColor="text1"/>
          <w:lang w:eastAsia="ko-KR"/>
        </w:rPr>
        <w:t>"5.6.8.</w:t>
      </w:r>
      <w:r w:rsidRPr="00700594">
        <w:rPr>
          <w:color w:val="000000" w:themeColor="text1"/>
        </w:rPr>
        <w:t xml:space="preserve"> </w:t>
      </w:r>
      <w:r w:rsidRPr="00700594">
        <w:rPr>
          <w:color w:val="000000" w:themeColor="text1"/>
        </w:rPr>
        <w:tab/>
        <w:t>In addition, for vehicles of M</w:t>
      </w:r>
      <w:r w:rsidRPr="00700594">
        <w:rPr>
          <w:color w:val="000000" w:themeColor="text1"/>
          <w:vertAlign w:val="subscript"/>
        </w:rPr>
        <w:t>1</w:t>
      </w:r>
      <w:r w:rsidRPr="00700594">
        <w:rPr>
          <w:color w:val="000000" w:themeColor="text1"/>
        </w:rPr>
        <w:t xml:space="preserve"> and N</w:t>
      </w:r>
      <w:r w:rsidRPr="00700594">
        <w:rPr>
          <w:color w:val="000000" w:themeColor="text1"/>
          <w:vertAlign w:val="subscript"/>
        </w:rPr>
        <w:t>1</w:t>
      </w:r>
      <w:r w:rsidRPr="00700594">
        <w:rPr>
          <w:color w:val="000000" w:themeColor="text1"/>
        </w:rPr>
        <w:t xml:space="preserve"> with the head restraint placed in its lowest position of use, the head restraint structure shall not allow a cylinder of diameter of 120 +1/-0</w:t>
      </w:r>
      <w:r w:rsidR="00700594">
        <w:rPr>
          <w:color w:val="000000" w:themeColor="text1"/>
        </w:rPr>
        <w:t xml:space="preserve"> </w:t>
      </w:r>
      <w:r w:rsidRPr="00700594">
        <w:rPr>
          <w:color w:val="000000" w:themeColor="text1"/>
        </w:rPr>
        <w:t xml:space="preserve">mm to pass through the head restraint structure when the axis of the cylinder is placed horizontally in a plane parallel to the longitudinal plane of the vehicle which passes through the R-point of the seat. </w:t>
      </w:r>
    </w:p>
    <w:p w14:paraId="5831D733" w14:textId="77777777" w:rsidR="004F75BF" w:rsidRPr="00700594" w:rsidRDefault="004F75BF" w:rsidP="004F75BF">
      <w:pPr>
        <w:spacing w:after="120"/>
        <w:ind w:left="2268" w:right="1134"/>
        <w:jc w:val="both"/>
        <w:rPr>
          <w:color w:val="000000" w:themeColor="text1"/>
        </w:rPr>
      </w:pPr>
      <w:r w:rsidRPr="00700594">
        <w:rPr>
          <w:color w:val="000000" w:themeColor="text1"/>
        </w:rPr>
        <w:t>The lowest position of the lowest edge of the cylinder will remain above the horizontal tangent to the seat back structure. In the case of head restraints integral with the seat-back, the lowest edge of the cylinder is not requested to be placed lower than the front face of the head restraint as defined in 5.5.1.2."</w:t>
      </w:r>
    </w:p>
    <w:p w14:paraId="0B19A2F7" w14:textId="77777777" w:rsidR="004F75BF" w:rsidRPr="005C25E1" w:rsidRDefault="004F75BF" w:rsidP="004F75BF">
      <w:pPr>
        <w:suppressAutoHyphens/>
        <w:spacing w:after="120"/>
        <w:ind w:left="2268" w:right="1134" w:hanging="1134"/>
        <w:jc w:val="both"/>
        <w:rPr>
          <w:rFonts w:eastAsia="MS Mincho"/>
          <w:bCs/>
          <w:iCs/>
        </w:rPr>
      </w:pPr>
      <w:r w:rsidRPr="005C25E1">
        <w:rPr>
          <w:rFonts w:eastAsia="MS Mincho"/>
          <w:bCs/>
          <w:i/>
          <w:iCs/>
        </w:rPr>
        <w:t>Insert new paragraph</w:t>
      </w:r>
      <w:r w:rsidRPr="005C25E1">
        <w:rPr>
          <w:rFonts w:eastAsia="MS Mincho"/>
          <w:bCs/>
          <w:i/>
          <w:iCs/>
          <w:lang w:eastAsia="ja-JP"/>
        </w:rPr>
        <w:t xml:space="preserve">s </w:t>
      </w:r>
      <w:r w:rsidRPr="005C25E1">
        <w:rPr>
          <w:rFonts w:eastAsia="MS Mincho"/>
          <w:bCs/>
          <w:i/>
          <w:iCs/>
        </w:rPr>
        <w:t>13.15</w:t>
      </w:r>
      <w:r w:rsidRPr="005C25E1">
        <w:rPr>
          <w:rFonts w:eastAsia="MS Mincho"/>
          <w:bCs/>
          <w:i/>
          <w:iCs/>
          <w:lang w:eastAsia="ja-JP"/>
        </w:rPr>
        <w:t>. to 13.15.7.</w:t>
      </w:r>
      <w:r w:rsidRPr="005C25E1">
        <w:rPr>
          <w:rFonts w:eastAsia="MS Mincho"/>
          <w:bCs/>
          <w:iCs/>
        </w:rPr>
        <w:t>, to read:</w:t>
      </w:r>
    </w:p>
    <w:p w14:paraId="718D8344" w14:textId="48B61EE1" w:rsidR="004F75BF" w:rsidRPr="000B6522" w:rsidRDefault="000B6522" w:rsidP="004F75BF">
      <w:pPr>
        <w:pStyle w:val="para"/>
        <w:spacing w:before="120"/>
        <w:rPr>
          <w:lang w:val="en-GB"/>
        </w:rPr>
      </w:pPr>
      <w:r w:rsidRPr="000B6522">
        <w:rPr>
          <w:lang w:val="en-GB"/>
        </w:rPr>
        <w:t>"</w:t>
      </w:r>
      <w:r w:rsidR="004F75BF" w:rsidRPr="000B6522">
        <w:rPr>
          <w:lang w:val="en-GB"/>
        </w:rPr>
        <w:t xml:space="preserve">13.15. </w:t>
      </w:r>
      <w:r w:rsidR="004F75BF" w:rsidRPr="000B6522">
        <w:rPr>
          <w:lang w:val="en-GB"/>
        </w:rPr>
        <w:tab/>
        <w:t>Transitional provisions applicable to the 12 series of amendments</w:t>
      </w:r>
    </w:p>
    <w:p w14:paraId="5CF1C7FB" w14:textId="77777777" w:rsidR="004F75BF" w:rsidRPr="000B6522" w:rsidRDefault="004F75BF" w:rsidP="004F75BF">
      <w:pPr>
        <w:pStyle w:val="para"/>
        <w:spacing w:before="120"/>
        <w:rPr>
          <w:lang w:val="en-GB"/>
        </w:rPr>
      </w:pPr>
      <w:r w:rsidRPr="000B6522">
        <w:rPr>
          <w:lang w:val="en-GB"/>
        </w:rPr>
        <w:t>13.15.1.</w:t>
      </w:r>
      <w:r w:rsidRPr="000B6522">
        <w:rPr>
          <w:lang w:val="en-GB"/>
        </w:rPr>
        <w:tab/>
        <w:t>As from the official date of entry into force of the 12 series of amendments, no Contracting Party applying this Regulation shall refuse to grant or refuse to accept type approvals under this Regulation as amended by the 12 series of amendments.</w:t>
      </w:r>
    </w:p>
    <w:p w14:paraId="4291C0D3" w14:textId="77777777" w:rsidR="004F75BF" w:rsidRPr="000B6522" w:rsidRDefault="004F75BF" w:rsidP="004F75BF">
      <w:pPr>
        <w:pStyle w:val="para"/>
        <w:spacing w:before="120"/>
        <w:rPr>
          <w:lang w:val="en-GB"/>
        </w:rPr>
      </w:pPr>
      <w:r w:rsidRPr="000B6522">
        <w:rPr>
          <w:lang w:val="en-GB"/>
        </w:rPr>
        <w:t>13.15.2.</w:t>
      </w:r>
      <w:r w:rsidRPr="000B6522">
        <w:rPr>
          <w:lang w:val="en-GB"/>
        </w:rPr>
        <w:tab/>
        <w:t>As from 1 September 2026, Contracting Parties applying this Regulation shall not be obliged to accept type approvals to any of the preceding series of amendments, first issued after 1 September 2026.</w:t>
      </w:r>
    </w:p>
    <w:p w14:paraId="6C9F33EB" w14:textId="77777777" w:rsidR="004F75BF" w:rsidRPr="000B6522" w:rsidRDefault="004F75BF" w:rsidP="004F75BF">
      <w:pPr>
        <w:pStyle w:val="para"/>
        <w:spacing w:before="120"/>
        <w:rPr>
          <w:lang w:val="en-GB"/>
        </w:rPr>
      </w:pPr>
      <w:r w:rsidRPr="000B6522">
        <w:rPr>
          <w:lang w:val="en-GB"/>
        </w:rPr>
        <w:t>13.15.3.</w:t>
      </w:r>
      <w:r w:rsidRPr="000B6522">
        <w:rPr>
          <w:lang w:val="en-GB"/>
        </w:rPr>
        <w:tab/>
        <w:t>Until 1 September 2028, Contracting Parties applying this Regulation shall accept type approvals to any of the preceding series of amendments, first issued before 1 September 2026, provided the transitional provisions in these respective preceding series of amendments foresee this possibility.</w:t>
      </w:r>
    </w:p>
    <w:p w14:paraId="3297B356" w14:textId="77777777" w:rsidR="004F75BF" w:rsidRPr="000B6522" w:rsidRDefault="004F75BF" w:rsidP="004F75BF">
      <w:pPr>
        <w:pStyle w:val="para"/>
        <w:spacing w:before="120"/>
        <w:rPr>
          <w:lang w:val="en-GB"/>
        </w:rPr>
      </w:pPr>
      <w:r w:rsidRPr="000B6522">
        <w:rPr>
          <w:lang w:val="en-GB"/>
        </w:rPr>
        <w:t>13.15.4.</w:t>
      </w:r>
      <w:r w:rsidRPr="000B6522">
        <w:rPr>
          <w:lang w:val="en-GB"/>
        </w:rPr>
        <w:tab/>
        <w:t>As from 1 September 2028, Contracting Parties applying this Regulation shall not be obliged to accept type approvals issued to any of the preceding series of amendments to this Regulation.</w:t>
      </w:r>
    </w:p>
    <w:p w14:paraId="00C7B28D" w14:textId="77777777" w:rsidR="004F75BF" w:rsidRPr="000B6522" w:rsidRDefault="004F75BF" w:rsidP="004F75BF">
      <w:pPr>
        <w:pStyle w:val="para"/>
        <w:spacing w:before="120"/>
        <w:rPr>
          <w:lang w:val="en-GB"/>
        </w:rPr>
      </w:pPr>
      <w:r w:rsidRPr="000B6522">
        <w:rPr>
          <w:lang w:val="en-GB"/>
        </w:rPr>
        <w:t>13.15.5.</w:t>
      </w:r>
      <w:r w:rsidRPr="000B6522">
        <w:rPr>
          <w:lang w:val="en-GB"/>
        </w:rPr>
        <w:tab/>
        <w:t>Notwithstanding paragraph 13.15.4., Contracting Parties applying the Regulation shall continue to accept type approvals issued according to any of the preceding series of amendments to this Regulation, for vehicles which are not affected by the changes introduced by the 12 series of amendments, provided the transitional provisions in these respective preceding series of amendments foresee this possibility.</w:t>
      </w:r>
    </w:p>
    <w:p w14:paraId="08198991" w14:textId="77777777" w:rsidR="004F75BF" w:rsidRPr="000B6522" w:rsidRDefault="004F75BF" w:rsidP="004F75BF">
      <w:pPr>
        <w:pStyle w:val="para"/>
        <w:spacing w:before="120"/>
        <w:rPr>
          <w:lang w:val="en-GB"/>
        </w:rPr>
      </w:pPr>
      <w:r w:rsidRPr="000B6522">
        <w:rPr>
          <w:lang w:val="en-GB"/>
        </w:rPr>
        <w:t>13.15.6.</w:t>
      </w:r>
      <w:r w:rsidRPr="000B6522">
        <w:rPr>
          <w:lang w:val="en-GB"/>
        </w:rPr>
        <w:tab/>
        <w:t>Contracting Parties applying this Regulation may grant type approvals according to any of the preceding series of amendments to this Regulation.</w:t>
      </w:r>
    </w:p>
    <w:p w14:paraId="56BF37F2" w14:textId="78FCE504" w:rsidR="004F75BF" w:rsidRPr="000B6522" w:rsidRDefault="004F75BF" w:rsidP="004F75BF">
      <w:pPr>
        <w:pStyle w:val="para"/>
        <w:spacing w:before="120"/>
        <w:rPr>
          <w:lang w:val="en-GB"/>
        </w:rPr>
      </w:pPr>
      <w:r w:rsidRPr="000B6522">
        <w:rPr>
          <w:lang w:val="en-GB"/>
        </w:rPr>
        <w:t>13.15.7.</w:t>
      </w:r>
      <w:r w:rsidRPr="000B6522">
        <w:rPr>
          <w:lang w:val="en-GB"/>
        </w:rPr>
        <w:tab/>
        <w:t>Contracting Parties applying this Regulation shall continue to grant extensions of existing approvals to any of the preceding series of amendments to this Regulation.</w:t>
      </w:r>
      <w:r w:rsidR="000B6522" w:rsidRPr="000B6522">
        <w:rPr>
          <w:lang w:val="en-GB"/>
        </w:rPr>
        <w:t>"</w:t>
      </w:r>
    </w:p>
    <w:p w14:paraId="00D23412" w14:textId="77777777" w:rsidR="004F75BF" w:rsidRDefault="004F75BF" w:rsidP="008F377A">
      <w:pPr>
        <w:keepNext/>
        <w:keepLines/>
        <w:spacing w:after="120"/>
        <w:ind w:left="2268" w:right="1134" w:hanging="1276"/>
        <w:jc w:val="both"/>
        <w:rPr>
          <w:color w:val="000000" w:themeColor="text1"/>
        </w:rPr>
      </w:pPr>
      <w:r w:rsidRPr="002533F4">
        <w:rPr>
          <w:i/>
          <w:iCs/>
          <w:color w:val="000000" w:themeColor="text1"/>
        </w:rPr>
        <w:lastRenderedPageBreak/>
        <w:t xml:space="preserve">Annex 2, </w:t>
      </w:r>
      <w:r>
        <w:rPr>
          <w:i/>
          <w:iCs/>
          <w:color w:val="000000" w:themeColor="text1"/>
        </w:rPr>
        <w:t xml:space="preserve">Model A, </w:t>
      </w:r>
      <w:r w:rsidRPr="00F13C07">
        <w:rPr>
          <w:color w:val="000000" w:themeColor="text1"/>
        </w:rPr>
        <w:t>amend</w:t>
      </w:r>
      <w:r w:rsidRPr="005C25E1">
        <w:rPr>
          <w:color w:val="000000" w:themeColor="text1"/>
        </w:rPr>
        <w:t xml:space="preserve"> </w:t>
      </w:r>
      <w:r>
        <w:rPr>
          <w:color w:val="000000" w:themeColor="text1"/>
        </w:rPr>
        <w:t>as follows</w:t>
      </w:r>
      <w:r w:rsidRPr="005C25E1">
        <w:rPr>
          <w:color w:val="000000" w:themeColor="text1"/>
        </w:rPr>
        <w:t>:</w:t>
      </w:r>
    </w:p>
    <w:p w14:paraId="1B24369C" w14:textId="77777777" w:rsidR="004F75BF" w:rsidRPr="005C25E1" w:rsidRDefault="004F75BF" w:rsidP="004F75BF">
      <w:pPr>
        <w:spacing w:after="120"/>
        <w:ind w:left="993" w:right="1134"/>
        <w:jc w:val="both"/>
        <w:rPr>
          <w:color w:val="000000" w:themeColor="text1"/>
        </w:rPr>
      </w:pPr>
      <w:r>
        <w:rPr>
          <w:color w:val="000000" w:themeColor="text1"/>
        </w:rPr>
        <w:t>In the figure, replace "11 2439" by "12 2439". In the paragraph under the figure, replace "112439" by "122439" and "11 series of amendments" by "12 series of amendments".</w:t>
      </w:r>
    </w:p>
    <w:p w14:paraId="574FCE9F" w14:textId="77777777" w:rsidR="004F75BF" w:rsidRDefault="004F75BF" w:rsidP="004F75BF">
      <w:pPr>
        <w:spacing w:after="120"/>
        <w:ind w:left="2268" w:right="1134" w:hanging="1275"/>
        <w:jc w:val="both"/>
        <w:rPr>
          <w:color w:val="000000" w:themeColor="text1"/>
        </w:rPr>
      </w:pPr>
      <w:r w:rsidRPr="002533F4">
        <w:rPr>
          <w:i/>
          <w:iCs/>
          <w:color w:val="000000" w:themeColor="text1"/>
        </w:rPr>
        <w:t xml:space="preserve">Annex 2, </w:t>
      </w:r>
      <w:r>
        <w:rPr>
          <w:i/>
          <w:iCs/>
          <w:color w:val="000000" w:themeColor="text1"/>
        </w:rPr>
        <w:t xml:space="preserve">Model B, </w:t>
      </w:r>
      <w:r w:rsidRPr="00F13C07">
        <w:rPr>
          <w:color w:val="000000" w:themeColor="text1"/>
        </w:rPr>
        <w:t>amend</w:t>
      </w:r>
      <w:r w:rsidRPr="005C25E1">
        <w:rPr>
          <w:color w:val="000000" w:themeColor="text1"/>
        </w:rPr>
        <w:t xml:space="preserve"> </w:t>
      </w:r>
      <w:r>
        <w:rPr>
          <w:color w:val="000000" w:themeColor="text1"/>
        </w:rPr>
        <w:t>as follows</w:t>
      </w:r>
      <w:r w:rsidRPr="005C25E1">
        <w:rPr>
          <w:color w:val="000000" w:themeColor="text1"/>
        </w:rPr>
        <w:t>:</w:t>
      </w:r>
    </w:p>
    <w:p w14:paraId="2BB687D6" w14:textId="77777777" w:rsidR="004F75BF" w:rsidRPr="005C25E1" w:rsidRDefault="004F75BF" w:rsidP="004F75BF">
      <w:pPr>
        <w:spacing w:after="120"/>
        <w:ind w:left="993" w:right="1134"/>
        <w:jc w:val="both"/>
        <w:rPr>
          <w:color w:val="000000" w:themeColor="text1"/>
        </w:rPr>
      </w:pPr>
      <w:r>
        <w:rPr>
          <w:color w:val="000000" w:themeColor="text1"/>
        </w:rPr>
        <w:t>In the figure, replace "11 2439" by "12 2439". In the paragraph under the figure, replace "112439" by "122439" and "11 series of amendments" by "12 series of amendments".</w:t>
      </w:r>
    </w:p>
    <w:p w14:paraId="1485E547" w14:textId="77777777" w:rsidR="004F75BF" w:rsidRDefault="004F75BF" w:rsidP="004F75BF">
      <w:pPr>
        <w:spacing w:after="120"/>
        <w:ind w:left="2268" w:right="1134" w:hanging="1275"/>
        <w:jc w:val="both"/>
        <w:rPr>
          <w:color w:val="000000" w:themeColor="text1"/>
        </w:rPr>
      </w:pPr>
      <w:r w:rsidRPr="002533F4">
        <w:rPr>
          <w:i/>
          <w:iCs/>
          <w:color w:val="000000" w:themeColor="text1"/>
        </w:rPr>
        <w:t xml:space="preserve">Annex 2, </w:t>
      </w:r>
      <w:r>
        <w:rPr>
          <w:i/>
          <w:iCs/>
          <w:color w:val="000000" w:themeColor="text1"/>
        </w:rPr>
        <w:t xml:space="preserve">Model C, </w:t>
      </w:r>
      <w:r w:rsidRPr="00F13C07">
        <w:rPr>
          <w:color w:val="000000" w:themeColor="text1"/>
        </w:rPr>
        <w:t>amend</w:t>
      </w:r>
      <w:r w:rsidRPr="005C25E1">
        <w:rPr>
          <w:color w:val="000000" w:themeColor="text1"/>
        </w:rPr>
        <w:t xml:space="preserve"> </w:t>
      </w:r>
      <w:r>
        <w:rPr>
          <w:color w:val="000000" w:themeColor="text1"/>
        </w:rPr>
        <w:t>as follows</w:t>
      </w:r>
      <w:r w:rsidRPr="005C25E1">
        <w:rPr>
          <w:color w:val="000000" w:themeColor="text1"/>
        </w:rPr>
        <w:t>:</w:t>
      </w:r>
    </w:p>
    <w:p w14:paraId="6FB981AC" w14:textId="77777777" w:rsidR="004F75BF" w:rsidRPr="005C25E1" w:rsidRDefault="004F75BF" w:rsidP="004F75BF">
      <w:pPr>
        <w:spacing w:after="120"/>
        <w:ind w:left="993" w:right="1134"/>
        <w:jc w:val="both"/>
        <w:rPr>
          <w:color w:val="000000" w:themeColor="text1"/>
        </w:rPr>
      </w:pPr>
      <w:r>
        <w:rPr>
          <w:color w:val="000000" w:themeColor="text1"/>
        </w:rPr>
        <w:t>In the figure, replace "11 2439" by "12 2439". In the second paragraph under the figure, replace "11 series of amendments" by "12 series of amendments".</w:t>
      </w:r>
    </w:p>
    <w:p w14:paraId="3AB09C1F" w14:textId="77777777" w:rsidR="004F75BF" w:rsidRDefault="004F75BF" w:rsidP="004F75BF">
      <w:pPr>
        <w:spacing w:after="120"/>
        <w:ind w:left="2268" w:right="1134" w:hanging="1275"/>
        <w:jc w:val="both"/>
        <w:rPr>
          <w:color w:val="000000" w:themeColor="text1"/>
        </w:rPr>
      </w:pPr>
      <w:r w:rsidRPr="002533F4">
        <w:rPr>
          <w:i/>
          <w:iCs/>
          <w:color w:val="000000" w:themeColor="text1"/>
        </w:rPr>
        <w:t xml:space="preserve">Annex 2, </w:t>
      </w:r>
      <w:r>
        <w:rPr>
          <w:i/>
          <w:iCs/>
          <w:color w:val="000000" w:themeColor="text1"/>
        </w:rPr>
        <w:t xml:space="preserve">Model D, </w:t>
      </w:r>
      <w:r w:rsidRPr="00F13C07">
        <w:rPr>
          <w:color w:val="000000" w:themeColor="text1"/>
        </w:rPr>
        <w:t>amend</w:t>
      </w:r>
      <w:r w:rsidRPr="005C25E1">
        <w:rPr>
          <w:color w:val="000000" w:themeColor="text1"/>
        </w:rPr>
        <w:t xml:space="preserve"> </w:t>
      </w:r>
      <w:r>
        <w:rPr>
          <w:color w:val="000000" w:themeColor="text1"/>
        </w:rPr>
        <w:t>as follows</w:t>
      </w:r>
      <w:r w:rsidRPr="005C25E1">
        <w:rPr>
          <w:color w:val="000000" w:themeColor="text1"/>
        </w:rPr>
        <w:t>:</w:t>
      </w:r>
    </w:p>
    <w:p w14:paraId="246215D3" w14:textId="77777777" w:rsidR="004F75BF" w:rsidRPr="005C25E1" w:rsidRDefault="004F75BF" w:rsidP="004F75BF">
      <w:pPr>
        <w:spacing w:after="120"/>
        <w:ind w:left="993" w:right="1134"/>
        <w:jc w:val="both"/>
        <w:rPr>
          <w:color w:val="000000" w:themeColor="text1"/>
        </w:rPr>
      </w:pPr>
      <w:r>
        <w:rPr>
          <w:color w:val="000000" w:themeColor="text1"/>
        </w:rPr>
        <w:t>In the figure, replace "11 2439" by "12 2439". In the paragraph under the figure, replace "11 series of amendments" by "12 series of amendments".</w:t>
      </w:r>
    </w:p>
    <w:p w14:paraId="4E4AF63C" w14:textId="2E6866D2" w:rsidR="001C6663" w:rsidRPr="008F377A" w:rsidRDefault="008F377A" w:rsidP="008F377A">
      <w:pPr>
        <w:spacing w:before="240"/>
        <w:jc w:val="center"/>
        <w:rPr>
          <w:u w:val="single"/>
        </w:rPr>
      </w:pPr>
      <w:r>
        <w:rPr>
          <w:u w:val="single"/>
        </w:rPr>
        <w:tab/>
      </w:r>
      <w:r>
        <w:rPr>
          <w:u w:val="single"/>
        </w:rPr>
        <w:tab/>
      </w:r>
      <w:r>
        <w:rPr>
          <w:u w:val="single"/>
        </w:rPr>
        <w:tab/>
      </w:r>
    </w:p>
    <w:sectPr w:rsidR="001C6663" w:rsidRPr="008F377A" w:rsidSect="00D07CD2">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687E" w14:textId="77777777" w:rsidR="00E97BC1" w:rsidRDefault="00E97BC1"/>
  </w:endnote>
  <w:endnote w:type="continuationSeparator" w:id="0">
    <w:p w14:paraId="0EC132F6" w14:textId="77777777" w:rsidR="00E97BC1" w:rsidRDefault="00E97BC1"/>
  </w:endnote>
  <w:endnote w:type="continuationNotice" w:id="1">
    <w:p w14:paraId="5C488C3A" w14:textId="77777777" w:rsidR="00E97BC1" w:rsidRDefault="00E9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3890" w14:textId="1D26E86C" w:rsidR="00D07CD2" w:rsidRPr="00D07CD2" w:rsidRDefault="00D07CD2" w:rsidP="00D07CD2">
    <w:pPr>
      <w:pStyle w:val="Footer"/>
      <w:tabs>
        <w:tab w:val="right" w:pos="9638"/>
      </w:tabs>
      <w:rPr>
        <w:sz w:val="18"/>
      </w:rPr>
    </w:pPr>
    <w:r w:rsidRPr="00D07CD2">
      <w:rPr>
        <w:b/>
        <w:sz w:val="18"/>
      </w:rPr>
      <w:fldChar w:fldCharType="begin"/>
    </w:r>
    <w:r w:rsidRPr="00D07CD2">
      <w:rPr>
        <w:b/>
        <w:sz w:val="18"/>
      </w:rPr>
      <w:instrText xml:space="preserve"> PAGE  \* MERGEFORMAT </w:instrText>
    </w:r>
    <w:r w:rsidRPr="00D07CD2">
      <w:rPr>
        <w:b/>
        <w:sz w:val="18"/>
      </w:rPr>
      <w:fldChar w:fldCharType="separate"/>
    </w:r>
    <w:r w:rsidRPr="00D07CD2">
      <w:rPr>
        <w:b/>
        <w:noProof/>
        <w:sz w:val="18"/>
      </w:rPr>
      <w:t>2</w:t>
    </w:r>
    <w:r w:rsidRPr="00D07C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56DF" w14:textId="29999C9C" w:rsidR="00D07CD2" w:rsidRPr="00D07CD2" w:rsidRDefault="00D07CD2" w:rsidP="00D07CD2">
    <w:pPr>
      <w:pStyle w:val="Footer"/>
      <w:tabs>
        <w:tab w:val="right" w:pos="9638"/>
      </w:tabs>
      <w:rPr>
        <w:b/>
        <w:sz w:val="18"/>
      </w:rPr>
    </w:pPr>
    <w:r>
      <w:tab/>
    </w:r>
    <w:r w:rsidRPr="00D07CD2">
      <w:rPr>
        <w:b/>
        <w:sz w:val="18"/>
      </w:rPr>
      <w:fldChar w:fldCharType="begin"/>
    </w:r>
    <w:r w:rsidRPr="00D07CD2">
      <w:rPr>
        <w:b/>
        <w:sz w:val="18"/>
      </w:rPr>
      <w:instrText xml:space="preserve"> PAGE  \* MERGEFORMAT </w:instrText>
    </w:r>
    <w:r w:rsidRPr="00D07CD2">
      <w:rPr>
        <w:b/>
        <w:sz w:val="18"/>
      </w:rPr>
      <w:fldChar w:fldCharType="separate"/>
    </w:r>
    <w:r w:rsidRPr="00D07CD2">
      <w:rPr>
        <w:b/>
        <w:noProof/>
        <w:sz w:val="18"/>
      </w:rPr>
      <w:t>3</w:t>
    </w:r>
    <w:r w:rsidRPr="00D07CD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BF6D" w14:textId="35E7ACFF" w:rsidR="0035223F" w:rsidRDefault="0035223F" w:rsidP="00AC532E">
    <w:pPr>
      <w:pStyle w:val="Footer"/>
      <w:rPr>
        <w:sz w:val="20"/>
      </w:rPr>
    </w:pPr>
  </w:p>
  <w:p w14:paraId="6C4D20A6" w14:textId="6CC64268" w:rsidR="00AC532E" w:rsidRPr="00AC532E" w:rsidRDefault="00AC532E" w:rsidP="00AC532E">
    <w:pPr>
      <w:pStyle w:val="Footer"/>
      <w:ind w:right="1134"/>
      <w:rPr>
        <w:sz w:val="20"/>
      </w:rPr>
    </w:pPr>
    <w:r>
      <w:rPr>
        <w:sz w:val="20"/>
      </w:rPr>
      <w:t>GE.25-05375  (E)</w:t>
    </w:r>
    <w:r>
      <w:rPr>
        <w:noProof/>
        <w:sz w:val="20"/>
      </w:rPr>
      <w:drawing>
        <wp:anchor distT="0" distB="0" distL="114300" distR="114300" simplePos="0" relativeHeight="251658752" behindDoc="0" locked="0" layoutInCell="1" allowOverlap="1" wp14:anchorId="566C1975" wp14:editId="25846259">
          <wp:simplePos x="0" y="0"/>
          <wp:positionH relativeFrom="margin">
            <wp:posOffset>5615940</wp:posOffset>
          </wp:positionH>
          <wp:positionV relativeFrom="margin">
            <wp:posOffset>8905875</wp:posOffset>
          </wp:positionV>
          <wp:extent cx="571500" cy="571500"/>
          <wp:effectExtent l="0" t="0" r="0" b="0"/>
          <wp:wrapNone/>
          <wp:docPr id="65498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w:t>
    </w:r>
    <w:r w:rsidRPr="00AC532E">
      <w:rPr>
        <w:noProof/>
        <w:sz w:val="20"/>
        <w:lang w:val="en-US"/>
      </w:rPr>
      <w:drawing>
        <wp:anchor distT="0" distB="0" distL="114300" distR="114300" simplePos="0" relativeHeight="251660800" behindDoc="0" locked="1" layoutInCell="1" allowOverlap="1" wp14:anchorId="0CEE6FEB" wp14:editId="32483FA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1640" w14:textId="77777777" w:rsidR="00E97BC1" w:rsidRPr="000B175B" w:rsidRDefault="00E97BC1" w:rsidP="000B175B">
      <w:pPr>
        <w:tabs>
          <w:tab w:val="right" w:pos="2155"/>
        </w:tabs>
        <w:spacing w:after="80"/>
        <w:ind w:left="680"/>
        <w:rPr>
          <w:u w:val="single"/>
        </w:rPr>
      </w:pPr>
      <w:r>
        <w:rPr>
          <w:u w:val="single"/>
        </w:rPr>
        <w:tab/>
      </w:r>
    </w:p>
  </w:footnote>
  <w:footnote w:type="continuationSeparator" w:id="0">
    <w:p w14:paraId="530A7F3B" w14:textId="77777777" w:rsidR="00E97BC1" w:rsidRPr="00FC68B7" w:rsidRDefault="00E97BC1" w:rsidP="00FC68B7">
      <w:pPr>
        <w:tabs>
          <w:tab w:val="left" w:pos="2155"/>
        </w:tabs>
        <w:spacing w:after="80"/>
        <w:ind w:left="680"/>
        <w:rPr>
          <w:u w:val="single"/>
        </w:rPr>
      </w:pPr>
      <w:r>
        <w:rPr>
          <w:u w:val="single"/>
        </w:rPr>
        <w:tab/>
      </w:r>
    </w:p>
  </w:footnote>
  <w:footnote w:type="continuationNotice" w:id="1">
    <w:p w14:paraId="5F8CC419" w14:textId="77777777" w:rsidR="00E97BC1" w:rsidRDefault="00E97BC1"/>
  </w:footnote>
  <w:footnote w:id="2">
    <w:p w14:paraId="01E4AF1E" w14:textId="77777777" w:rsidR="00D07CD2" w:rsidRDefault="00D07CD2" w:rsidP="00D07CD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3D1EC0A7" w14:textId="77777777" w:rsidR="00D07CD2" w:rsidRDefault="00D07CD2" w:rsidP="00D07CD2">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78A" w14:textId="62101C24" w:rsidR="00D07CD2" w:rsidRPr="00D07CD2" w:rsidRDefault="00D07CD2">
    <w:pPr>
      <w:pStyle w:val="Header"/>
    </w:pPr>
    <w:r>
      <w:t>ECE/TRANS/WP.29/2025/46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31C" w14:textId="6FCEEE97" w:rsidR="00D07CD2" w:rsidRPr="00D07CD2" w:rsidRDefault="00D07CD2" w:rsidP="00D07CD2">
    <w:pPr>
      <w:pStyle w:val="Header"/>
      <w:jc w:val="right"/>
    </w:pPr>
    <w:r>
      <w:t>ECE/TRANS/WP.29/2025/46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21532957">
    <w:abstractNumId w:val="1"/>
  </w:num>
  <w:num w:numId="2" w16cid:durableId="816530474">
    <w:abstractNumId w:val="0"/>
  </w:num>
  <w:num w:numId="3" w16cid:durableId="1888104630">
    <w:abstractNumId w:val="2"/>
  </w:num>
  <w:num w:numId="4" w16cid:durableId="1188258249">
    <w:abstractNumId w:val="3"/>
  </w:num>
  <w:num w:numId="5" w16cid:durableId="498694664">
    <w:abstractNumId w:val="8"/>
  </w:num>
  <w:num w:numId="6" w16cid:durableId="443119328">
    <w:abstractNumId w:val="9"/>
  </w:num>
  <w:num w:numId="7" w16cid:durableId="562326094">
    <w:abstractNumId w:val="7"/>
  </w:num>
  <w:num w:numId="8" w16cid:durableId="379210852">
    <w:abstractNumId w:val="6"/>
  </w:num>
  <w:num w:numId="9" w16cid:durableId="730152918">
    <w:abstractNumId w:val="5"/>
  </w:num>
  <w:num w:numId="10" w16cid:durableId="1813281229">
    <w:abstractNumId w:val="4"/>
  </w:num>
  <w:num w:numId="11" w16cid:durableId="1751853996">
    <w:abstractNumId w:val="15"/>
  </w:num>
  <w:num w:numId="12" w16cid:durableId="1107000130">
    <w:abstractNumId w:val="14"/>
  </w:num>
  <w:num w:numId="13" w16cid:durableId="1601329539">
    <w:abstractNumId w:val="10"/>
  </w:num>
  <w:num w:numId="14" w16cid:durableId="2014407697">
    <w:abstractNumId w:val="12"/>
  </w:num>
  <w:num w:numId="15" w16cid:durableId="501356625">
    <w:abstractNumId w:val="16"/>
  </w:num>
  <w:num w:numId="16" w16cid:durableId="1781294156">
    <w:abstractNumId w:val="13"/>
  </w:num>
  <w:num w:numId="17" w16cid:durableId="1898201263">
    <w:abstractNumId w:val="17"/>
  </w:num>
  <w:num w:numId="18" w16cid:durableId="1579486860">
    <w:abstractNumId w:val="18"/>
  </w:num>
  <w:num w:numId="19" w16cid:durableId="136035397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D2"/>
    <w:rsid w:val="00002A7D"/>
    <w:rsid w:val="000038A8"/>
    <w:rsid w:val="00005DF3"/>
    <w:rsid w:val="00006790"/>
    <w:rsid w:val="00013852"/>
    <w:rsid w:val="00027624"/>
    <w:rsid w:val="00050F6B"/>
    <w:rsid w:val="000678CD"/>
    <w:rsid w:val="00070077"/>
    <w:rsid w:val="00072C8C"/>
    <w:rsid w:val="00081CE0"/>
    <w:rsid w:val="00084D30"/>
    <w:rsid w:val="00090320"/>
    <w:rsid w:val="000931C0"/>
    <w:rsid w:val="00097003"/>
    <w:rsid w:val="000A2E09"/>
    <w:rsid w:val="000B175B"/>
    <w:rsid w:val="000B3A0F"/>
    <w:rsid w:val="000B6522"/>
    <w:rsid w:val="000E0415"/>
    <w:rsid w:val="000F2ACA"/>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315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F6BA0"/>
    <w:rsid w:val="004F75BF"/>
    <w:rsid w:val="00503BEA"/>
    <w:rsid w:val="00533616"/>
    <w:rsid w:val="00535ABA"/>
    <w:rsid w:val="0053768B"/>
    <w:rsid w:val="005420F2"/>
    <w:rsid w:val="0054285C"/>
    <w:rsid w:val="00584173"/>
    <w:rsid w:val="00595520"/>
    <w:rsid w:val="005A44B9"/>
    <w:rsid w:val="005A7EDC"/>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0594"/>
    <w:rsid w:val="0070701E"/>
    <w:rsid w:val="0072632A"/>
    <w:rsid w:val="007358E8"/>
    <w:rsid w:val="00736ECE"/>
    <w:rsid w:val="0074533B"/>
    <w:rsid w:val="00751F20"/>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1D2C"/>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C3045"/>
    <w:rsid w:val="008D045E"/>
    <w:rsid w:val="008D3F25"/>
    <w:rsid w:val="008D4D82"/>
    <w:rsid w:val="008E0E46"/>
    <w:rsid w:val="008E7116"/>
    <w:rsid w:val="008F143B"/>
    <w:rsid w:val="008F377A"/>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4294A"/>
    <w:rsid w:val="00A72F22"/>
    <w:rsid w:val="00A733BC"/>
    <w:rsid w:val="00A748A6"/>
    <w:rsid w:val="00A76A69"/>
    <w:rsid w:val="00A879A4"/>
    <w:rsid w:val="00AA0FF8"/>
    <w:rsid w:val="00AC0F2C"/>
    <w:rsid w:val="00AC502A"/>
    <w:rsid w:val="00AC532E"/>
    <w:rsid w:val="00AE1E26"/>
    <w:rsid w:val="00AF58C1"/>
    <w:rsid w:val="00B04A3F"/>
    <w:rsid w:val="00B06643"/>
    <w:rsid w:val="00B15055"/>
    <w:rsid w:val="00B20551"/>
    <w:rsid w:val="00B30179"/>
    <w:rsid w:val="00B31E0B"/>
    <w:rsid w:val="00B33FC7"/>
    <w:rsid w:val="00B37B15"/>
    <w:rsid w:val="00B4162A"/>
    <w:rsid w:val="00B45C02"/>
    <w:rsid w:val="00B50FD6"/>
    <w:rsid w:val="00B70B63"/>
    <w:rsid w:val="00B72A1E"/>
    <w:rsid w:val="00B81E12"/>
    <w:rsid w:val="00B83661"/>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463DD"/>
    <w:rsid w:val="00C745C3"/>
    <w:rsid w:val="00C978F5"/>
    <w:rsid w:val="00CA24A4"/>
    <w:rsid w:val="00CB348D"/>
    <w:rsid w:val="00CD46F5"/>
    <w:rsid w:val="00CE4A8F"/>
    <w:rsid w:val="00CF071D"/>
    <w:rsid w:val="00D0123D"/>
    <w:rsid w:val="00D07CD2"/>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E38E5"/>
    <w:rsid w:val="00DF7CAE"/>
    <w:rsid w:val="00E32DE6"/>
    <w:rsid w:val="00E423C0"/>
    <w:rsid w:val="00E6414C"/>
    <w:rsid w:val="00E7260F"/>
    <w:rsid w:val="00E8702D"/>
    <w:rsid w:val="00E905F4"/>
    <w:rsid w:val="00E916A9"/>
    <w:rsid w:val="00E916DE"/>
    <w:rsid w:val="00E925AD"/>
    <w:rsid w:val="00E96630"/>
    <w:rsid w:val="00E97BC1"/>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1813"/>
  <w15:docId w15:val="{C83A454E-20BB-4BA9-AA0D-F2337586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07CD2"/>
    <w:rPr>
      <w:lang w:val="en-GB"/>
    </w:rPr>
  </w:style>
  <w:style w:type="character" w:customStyle="1" w:styleId="HChGChar">
    <w:name w:val="_ H _Ch_G Char"/>
    <w:link w:val="HChG"/>
    <w:qFormat/>
    <w:locked/>
    <w:rsid w:val="00D07CD2"/>
    <w:rPr>
      <w:b/>
      <w:sz w:val="28"/>
      <w:lang w:val="en-GB"/>
    </w:rPr>
  </w:style>
  <w:style w:type="character" w:customStyle="1" w:styleId="H1GChar">
    <w:name w:val="_ H_1_G Char"/>
    <w:link w:val="H1G"/>
    <w:locked/>
    <w:rsid w:val="00D07CD2"/>
    <w:rPr>
      <w:b/>
      <w:sz w:val="24"/>
      <w:lang w:val="en-GB"/>
    </w:rPr>
  </w:style>
  <w:style w:type="paragraph" w:customStyle="1" w:styleId="para">
    <w:name w:val="para"/>
    <w:basedOn w:val="Normal"/>
    <w:link w:val="paraChar"/>
    <w:qFormat/>
    <w:rsid w:val="004F75BF"/>
    <w:pPr>
      <w:spacing w:after="120"/>
      <w:ind w:left="2268" w:right="1134" w:hanging="1134"/>
      <w:jc w:val="both"/>
    </w:pPr>
    <w:rPr>
      <w:rFonts w:eastAsia="Yu Mincho"/>
      <w:snapToGrid w:val="0"/>
      <w:lang w:val="fr-FR" w:eastAsia="en-US"/>
    </w:rPr>
  </w:style>
  <w:style w:type="character" w:customStyle="1" w:styleId="paraChar">
    <w:name w:val="para Char"/>
    <w:link w:val="para"/>
    <w:rsid w:val="004F75BF"/>
    <w:rPr>
      <w:rFonts w:eastAsia="Yu Mincho"/>
      <w:snapToGrid w:val="0"/>
      <w:lang w:eastAsia="en-US"/>
    </w:rPr>
  </w:style>
  <w:style w:type="paragraph" w:customStyle="1" w:styleId="Default">
    <w:name w:val="Default"/>
    <w:rsid w:val="004F75BF"/>
    <w:pPr>
      <w:autoSpaceDE w:val="0"/>
      <w:autoSpaceDN w:val="0"/>
      <w:adjustRightInd w:val="0"/>
      <w:spacing w:line="240" w:lineRule="auto"/>
    </w:pPr>
    <w:rPr>
      <w:rFonts w:ascii="Arial" w:hAnsi="Arial" w:cs="Arial"/>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E5A6604D-7E35-42C5-BCCD-182B83E24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787</Words>
  <Characters>4210</Characters>
  <Application>Microsoft Office Word</Application>
  <DocSecurity>0</DocSecurity>
  <Lines>88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ECE/TRANS/WP.29/2025/46</dc:title>
  <dc:subject>2505375</dc:subject>
  <dc:creator>Add.128/Rev.4/Amend.2(2019/40)</dc:creator>
  <cp:keywords/>
  <dc:description/>
  <cp:lastModifiedBy>Ma. Cristina Brigoli</cp:lastModifiedBy>
  <cp:revision>2</cp:revision>
  <cp:lastPrinted>2009-02-18T09:36:00Z</cp:lastPrinted>
  <dcterms:created xsi:type="dcterms:W3CDTF">2025-04-03T15:09:00Z</dcterms:created>
  <dcterms:modified xsi:type="dcterms:W3CDTF">2025-04-03T15:09:00Z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