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13145" w14:textId="0B937433" w:rsidR="009B5037" w:rsidRDefault="009B5037" w:rsidP="009B5037">
      <w:pPr>
        <w:pStyle w:val="HChG"/>
        <w:tabs>
          <w:tab w:val="clear" w:pos="851"/>
        </w:tabs>
        <w:ind w:firstLine="0"/>
      </w:pPr>
      <w:r>
        <w:rPr>
          <w:szCs w:val="28"/>
        </w:rPr>
        <w:t xml:space="preserve">Proposal for amendments to the proposal for the 04 series of amendments to UN Regulation No. 26 (External projection for passenger cars – document </w:t>
      </w:r>
      <w:r w:rsidRPr="009B5037">
        <w:rPr>
          <w:szCs w:val="28"/>
        </w:rPr>
        <w:t>GRSG/2019/34</w:t>
      </w:r>
      <w:r>
        <w:rPr>
          <w:szCs w:val="28"/>
        </w:rPr>
        <w:t>)</w:t>
      </w:r>
    </w:p>
    <w:p w14:paraId="051A1D7D" w14:textId="77777777" w:rsidR="009B5037" w:rsidRPr="009B5037" w:rsidRDefault="009B5037" w:rsidP="009B5037">
      <w:pPr>
        <w:pStyle w:val="H1G"/>
        <w:tabs>
          <w:tab w:val="left" w:pos="8505"/>
        </w:tabs>
        <w:ind w:firstLine="0"/>
        <w:rPr>
          <w:vertAlign w:val="superscript"/>
        </w:rPr>
      </w:pPr>
      <w:r w:rsidRPr="009B5037">
        <w:t>Submitted by the expert from OICA</w:t>
      </w:r>
      <w:r w:rsidRPr="009B5037">
        <w:rPr>
          <w:rStyle w:val="FootnoteReference"/>
          <w:sz w:val="24"/>
          <w:szCs w:val="24"/>
          <w:vertAlign w:val="baseline"/>
        </w:rPr>
        <w:footnoteReference w:customMarkFollows="1" w:id="1"/>
        <w:t>*</w:t>
      </w:r>
    </w:p>
    <w:p w14:paraId="58F55E8C" w14:textId="7FEA7B61" w:rsidR="009B5037" w:rsidRPr="009B5037" w:rsidRDefault="009B5037" w:rsidP="003E30D5">
      <w:pPr>
        <w:tabs>
          <w:tab w:val="left" w:pos="8505"/>
        </w:tabs>
        <w:ind w:left="1134" w:right="1134" w:firstLine="567"/>
        <w:jc w:val="both"/>
      </w:pPr>
      <w:r w:rsidRPr="009B5037">
        <w:t>The text reproduced below was prepared by the expert from OICA to clarify requirements in UN Regulation No. 26 on windscreen wipers. It is based on document ECE/TRANS/WP.29/</w:t>
      </w:r>
      <w:bookmarkStart w:id="0" w:name="_Hlk21008632"/>
      <w:r w:rsidRPr="009B5037">
        <w:t>GRSG/2019/34</w:t>
      </w:r>
      <w:bookmarkEnd w:id="0"/>
      <w:r w:rsidRPr="009B5037">
        <w:t xml:space="preserve"> submitted by France. The modifications to the document GRSG/2019/34 are marked in </w:t>
      </w:r>
      <w:r w:rsidRPr="00A40962">
        <w:rPr>
          <w:color w:val="FF0000"/>
        </w:rPr>
        <w:t xml:space="preserve">red </w:t>
      </w:r>
      <w:r w:rsidRPr="009B5037">
        <w:t>characters.</w:t>
      </w:r>
    </w:p>
    <w:p w14:paraId="4E1DAA32" w14:textId="15FC0660" w:rsidR="00F607C0" w:rsidRDefault="006F6664" w:rsidP="006F6664">
      <w:pPr>
        <w:pStyle w:val="HChG"/>
      </w:pPr>
      <w:r>
        <w:tab/>
      </w:r>
      <w:r w:rsidR="00F607C0">
        <w:t>I.</w:t>
      </w:r>
      <w:r w:rsidR="00F607C0">
        <w:tab/>
        <w:t>Proposal</w:t>
      </w:r>
    </w:p>
    <w:p w14:paraId="63171FC5" w14:textId="77777777" w:rsidR="00F607C0" w:rsidRDefault="00F607C0">
      <w:pPr>
        <w:tabs>
          <w:tab w:val="left" w:pos="2268"/>
        </w:tabs>
        <w:spacing w:before="120" w:after="120" w:line="240" w:lineRule="auto"/>
        <w:ind w:left="2268" w:right="1134" w:hanging="1134"/>
        <w:jc w:val="both"/>
      </w:pPr>
      <w:bookmarkStart w:id="1" w:name="__DdeLink__9642_1795226899"/>
      <w:r>
        <w:rPr>
          <w:i/>
        </w:rPr>
        <w:t>Paragraphs 6.4. to 6.4.2.,</w:t>
      </w:r>
      <w:bookmarkEnd w:id="1"/>
      <w:r>
        <w:t xml:space="preserve"> amend to read:</w:t>
      </w:r>
    </w:p>
    <w:p w14:paraId="092AC015" w14:textId="77777777" w:rsidR="00F607C0" w:rsidRDefault="00F607C0">
      <w:pPr>
        <w:tabs>
          <w:tab w:val="left" w:pos="2268"/>
        </w:tabs>
        <w:spacing w:before="120" w:after="120" w:line="240" w:lineRule="auto"/>
        <w:ind w:left="2268" w:right="1134" w:hanging="1134"/>
        <w:jc w:val="both"/>
      </w:pPr>
      <w:bookmarkStart w:id="2" w:name="A0_S6_4_"/>
      <w:r>
        <w:t>"6.4.</w:t>
      </w:r>
      <w:bookmarkEnd w:id="2"/>
      <w:r>
        <w:tab/>
        <w:t>Windscreen wipers</w:t>
      </w:r>
    </w:p>
    <w:p w14:paraId="48178E3D" w14:textId="2FDA6F04" w:rsidR="00F607C0" w:rsidRDefault="00F607C0">
      <w:pPr>
        <w:tabs>
          <w:tab w:val="left" w:pos="2268"/>
        </w:tabs>
        <w:spacing w:before="120" w:after="120" w:line="240" w:lineRule="auto"/>
        <w:ind w:left="2268" w:right="1134" w:hanging="1134"/>
        <w:jc w:val="both"/>
      </w:pPr>
      <w:r>
        <w:t>6.4.1.</w:t>
      </w:r>
      <w:r>
        <w:tab/>
        <w:t xml:space="preserve">The windscreen wiper fittings shall be such that the wiper shaft </w:t>
      </w:r>
      <w:r>
        <w:rPr>
          <w:b/>
        </w:rPr>
        <w:t xml:space="preserve">(number </w:t>
      </w:r>
      <w:smartTag w:uri="urn:schemas-microsoft-com:office:smarttags" w:element="metricconverter">
        <w:smartTagPr>
          <w:attr w:name="ProductID" w:val="6 in"/>
        </w:smartTagPr>
        <w:r>
          <w:rPr>
            <w:b/>
          </w:rPr>
          <w:t>1 in</w:t>
        </w:r>
      </w:smartTag>
      <w:r>
        <w:rPr>
          <w:b/>
        </w:rPr>
        <w:t xml:space="preserve"> Figure 0)</w:t>
      </w:r>
      <w:r>
        <w:t xml:space="preserve"> is furnished with a protective casing </w:t>
      </w:r>
      <w:r>
        <w:rPr>
          <w:b/>
        </w:rPr>
        <w:t xml:space="preserve">(number </w:t>
      </w:r>
      <w:smartTag w:uri="urn:schemas-microsoft-com:office:smarttags" w:element="metricconverter">
        <w:smartTagPr>
          <w:attr w:name="ProductID" w:val="6 in"/>
        </w:smartTagPr>
        <w:r>
          <w:rPr>
            <w:b/>
          </w:rPr>
          <w:t>1.1 in</w:t>
        </w:r>
      </w:smartTag>
      <w:r>
        <w:rPr>
          <w:b/>
        </w:rPr>
        <w:t xml:space="preserve"> Figure 0)</w:t>
      </w:r>
      <w:r>
        <w:t xml:space="preserve"> which has a radius of curvature meeting the requirements of paragraph </w:t>
      </w:r>
      <w:hyperlink r:id="rId11" w:anchor="A0_S5_4_" w:history="1">
        <w:r>
          <w:rPr>
            <w:rStyle w:val="LienInternet"/>
          </w:rPr>
          <w:t>5.4.</w:t>
        </w:r>
      </w:hyperlink>
      <w:r>
        <w:t xml:space="preserve"> above and an end surface area of not less than 150 mm². </w:t>
      </w:r>
      <w:r>
        <w:rPr>
          <w:b/>
        </w:rPr>
        <w:t xml:space="preserve">The holder (head </w:t>
      </w:r>
      <w:r w:rsidRPr="00956EF7">
        <w:rPr>
          <w:b/>
          <w:strike/>
          <w:color w:val="FF0000"/>
        </w:rPr>
        <w:t xml:space="preserve">and main part, </w:t>
      </w:r>
      <w:r w:rsidRPr="00B104D2">
        <w:rPr>
          <w:b/>
        </w:rPr>
        <w:t xml:space="preserve">i.e. </w:t>
      </w:r>
      <w:r>
        <w:rPr>
          <w:b/>
        </w:rPr>
        <w:t>number</w:t>
      </w:r>
      <w:r w:rsidRPr="00B104D2">
        <w:rPr>
          <w:b/>
          <w:strike/>
          <w:color w:val="FF0000"/>
        </w:rPr>
        <w:t>s</w:t>
      </w:r>
      <w:r>
        <w:rPr>
          <w:b/>
        </w:rPr>
        <w:t xml:space="preserve"> 2</w:t>
      </w:r>
      <w:r w:rsidRPr="00956EF7">
        <w:rPr>
          <w:b/>
          <w:strike/>
          <w:color w:val="FF0000"/>
        </w:rPr>
        <w:t xml:space="preserve">, </w:t>
      </w:r>
      <w:smartTag w:uri="urn:schemas-microsoft-com:office:smarttags" w:element="metricconverter">
        <w:smartTagPr>
          <w:attr w:name="ProductID" w:val="6 in"/>
        </w:smartTagPr>
        <w:r w:rsidRPr="00956EF7">
          <w:rPr>
            <w:b/>
            <w:strike/>
            <w:color w:val="FF0000"/>
          </w:rPr>
          <w:t>2.1</w:t>
        </w:r>
        <w:r w:rsidRPr="00956EF7">
          <w:rPr>
            <w:b/>
            <w:color w:val="FF0000"/>
          </w:rPr>
          <w:t xml:space="preserve"> </w:t>
        </w:r>
        <w:r>
          <w:rPr>
            <w:b/>
          </w:rPr>
          <w:t>in</w:t>
        </w:r>
      </w:smartTag>
      <w:r>
        <w:rPr>
          <w:b/>
        </w:rPr>
        <w:t xml:space="preserve"> Figure 0) </w:t>
      </w:r>
      <w:r w:rsidRPr="00956EF7">
        <w:rPr>
          <w:b/>
          <w:strike/>
          <w:color w:val="FF0000"/>
        </w:rPr>
        <w:t>are</w:t>
      </w:r>
      <w:r w:rsidR="00956EF7">
        <w:rPr>
          <w:b/>
          <w:strike/>
          <w:color w:val="FF0000"/>
        </w:rPr>
        <w:t xml:space="preserve"> </w:t>
      </w:r>
      <w:r w:rsidR="00956EF7" w:rsidRPr="00956EF7">
        <w:rPr>
          <w:b/>
          <w:color w:val="FF0000"/>
        </w:rPr>
        <w:t xml:space="preserve">is </w:t>
      </w:r>
      <w:r>
        <w:rPr>
          <w:b/>
        </w:rPr>
        <w:t>designed with a radius of curvature meeting the requirements of paragraph 5.4. above.</w:t>
      </w:r>
      <w:r>
        <w:t xml:space="preserve"> In the case of rounded covers, these shall have a minimum projected area of 150 mm² when measured not more than </w:t>
      </w:r>
      <w:smartTag w:uri="urn:schemas-microsoft-com:office:smarttags" w:element="metricconverter">
        <w:smartTagPr>
          <w:attr w:name="ProductID" w:val="6 in"/>
        </w:smartTagPr>
        <w:r>
          <w:t>6.5 mm</w:t>
        </w:r>
      </w:smartTag>
      <w:r>
        <w:t xml:space="preserve"> from the point projecting furthest. These requirements shall also be met by rear window wipers and headlamp wipers.</w:t>
      </w:r>
    </w:p>
    <w:p w14:paraId="4AB8A53B" w14:textId="59CE6BD6" w:rsidR="00F607C0" w:rsidRDefault="00F607C0">
      <w:pPr>
        <w:tabs>
          <w:tab w:val="left" w:pos="2268"/>
        </w:tabs>
        <w:spacing w:before="120" w:after="120" w:line="240" w:lineRule="auto"/>
        <w:ind w:left="2268" w:right="1134" w:hanging="1134"/>
        <w:jc w:val="both"/>
      </w:pPr>
      <w:bookmarkStart w:id="3" w:name="A0_S6_4_2_"/>
      <w:r>
        <w:t>6.4.2.</w:t>
      </w:r>
      <w:bookmarkEnd w:id="3"/>
      <w:r>
        <w:tab/>
        <w:t xml:space="preserve">Paragraph </w:t>
      </w:r>
      <w:hyperlink r:id="rId12" w:anchor="A0_S5_4_" w:history="1">
        <w:r>
          <w:rPr>
            <w:rStyle w:val="LienInternet"/>
          </w:rPr>
          <w:t>5.4.</w:t>
        </w:r>
      </w:hyperlink>
      <w:r>
        <w:t xml:space="preserve"> shall not apply to the wiper blades </w:t>
      </w:r>
      <w:r>
        <w:rPr>
          <w:b/>
        </w:rPr>
        <w:t xml:space="preserve">(number </w:t>
      </w:r>
      <w:smartTag w:uri="urn:schemas-microsoft-com:office:smarttags" w:element="metricconverter">
        <w:smartTagPr>
          <w:attr w:name="ProductID" w:val="6 in"/>
        </w:smartTagPr>
        <w:r>
          <w:rPr>
            <w:b/>
          </w:rPr>
          <w:t>4 in</w:t>
        </w:r>
      </w:smartTag>
      <w:r>
        <w:rPr>
          <w:b/>
        </w:rPr>
        <w:t xml:space="preserve"> Figure 0),</w:t>
      </w:r>
      <w:r>
        <w:t xml:space="preserve"> </w:t>
      </w:r>
      <w:r>
        <w:rPr>
          <w:strike/>
        </w:rPr>
        <w:t xml:space="preserve">or </w:t>
      </w:r>
      <w:r w:rsidRPr="00326F61">
        <w:t>to</w:t>
      </w:r>
      <w:r>
        <w:rPr>
          <w:strike/>
        </w:rPr>
        <w:t xml:space="preserve"> any</w:t>
      </w:r>
      <w:r>
        <w:t xml:space="preserve"> supporting members </w:t>
      </w:r>
      <w:r>
        <w:rPr>
          <w:b/>
        </w:rPr>
        <w:t xml:space="preserve">(number </w:t>
      </w:r>
      <w:smartTag w:uri="urn:schemas-microsoft-com:office:smarttags" w:element="metricconverter">
        <w:smartTagPr>
          <w:attr w:name="ProductID" w:val="6 in"/>
        </w:smartTagPr>
        <w:r>
          <w:rPr>
            <w:b/>
          </w:rPr>
          <w:t>3 in</w:t>
        </w:r>
      </w:smartTag>
      <w:r>
        <w:rPr>
          <w:b/>
        </w:rPr>
        <w:t xml:space="preserve"> Figure 0)</w:t>
      </w:r>
      <w:r w:rsidR="00BE7A0C">
        <w:rPr>
          <w:b/>
        </w:rPr>
        <w:t xml:space="preserve"> if present</w:t>
      </w:r>
      <w:r>
        <w:rPr>
          <w:b/>
        </w:rPr>
        <w:t>,</w:t>
      </w:r>
      <w:r w:rsidR="00956EF7">
        <w:rPr>
          <w:b/>
        </w:rPr>
        <w:t xml:space="preserve"> </w:t>
      </w:r>
      <w:r w:rsidR="00956EF7" w:rsidRPr="00956EF7">
        <w:rPr>
          <w:b/>
          <w:color w:val="FF0000"/>
        </w:rPr>
        <w:t>to main part  (numb</w:t>
      </w:r>
      <w:r w:rsidR="00956EF7">
        <w:rPr>
          <w:b/>
          <w:color w:val="FF0000"/>
        </w:rPr>
        <w:t>e</w:t>
      </w:r>
      <w:r w:rsidR="00956EF7" w:rsidRPr="00956EF7">
        <w:rPr>
          <w:b/>
          <w:color w:val="FF0000"/>
        </w:rPr>
        <w:t>r 2.1 in Figure 0) if present</w:t>
      </w:r>
      <w:r w:rsidR="00956EF7">
        <w:rPr>
          <w:b/>
        </w:rPr>
        <w:t xml:space="preserve">, </w:t>
      </w:r>
      <w:r>
        <w:rPr>
          <w:b/>
        </w:rPr>
        <w:t>to s</w:t>
      </w:r>
      <w:r>
        <w:rPr>
          <w:b/>
          <w:bCs/>
        </w:rPr>
        <w:t xml:space="preserve">econd holder (number </w:t>
      </w:r>
      <w:smartTag w:uri="urn:schemas-microsoft-com:office:smarttags" w:element="metricconverter">
        <w:smartTagPr>
          <w:attr w:name="ProductID" w:val="6 in"/>
        </w:smartTagPr>
        <w:r>
          <w:rPr>
            <w:b/>
            <w:bCs/>
          </w:rPr>
          <w:t>2.2 in</w:t>
        </w:r>
      </w:smartTag>
      <w:r>
        <w:rPr>
          <w:b/>
          <w:bCs/>
        </w:rPr>
        <w:t xml:space="preserve"> Figure 0)</w:t>
      </w:r>
      <w:r w:rsidR="00BE7A0C">
        <w:rPr>
          <w:b/>
          <w:bCs/>
        </w:rPr>
        <w:t xml:space="preserve"> if present</w:t>
      </w:r>
      <w:r>
        <w:rPr>
          <w:b/>
          <w:bCs/>
        </w:rPr>
        <w:t>,</w:t>
      </w:r>
      <w:r>
        <w:rPr>
          <w:b/>
        </w:rPr>
        <w:t xml:space="preserve"> to the functional hinge between the holder head and the holder (number </w:t>
      </w:r>
      <w:smartTag w:uri="urn:schemas-microsoft-com:office:smarttags" w:element="metricconverter">
        <w:smartTagPr>
          <w:attr w:name="ProductID" w:val="6 in"/>
        </w:smartTagPr>
        <w:r>
          <w:rPr>
            <w:b/>
          </w:rPr>
          <w:t>5 in</w:t>
        </w:r>
      </w:smartTag>
      <w:r>
        <w:rPr>
          <w:b/>
        </w:rPr>
        <w:t xml:space="preserve"> Figure 0)</w:t>
      </w:r>
      <w:r w:rsidR="00BE7A0C">
        <w:rPr>
          <w:b/>
        </w:rPr>
        <w:t xml:space="preserve"> if present</w:t>
      </w:r>
      <w:r>
        <w:rPr>
          <w:b/>
        </w:rPr>
        <w:t xml:space="preserve">, or to the junction between the main and the second holder (number </w:t>
      </w:r>
      <w:smartTag w:uri="urn:schemas-microsoft-com:office:smarttags" w:element="metricconverter">
        <w:smartTagPr>
          <w:attr w:name="ProductID" w:val="6 in"/>
        </w:smartTagPr>
        <w:r>
          <w:rPr>
            <w:b/>
          </w:rPr>
          <w:t>6 in</w:t>
        </w:r>
      </w:smartTag>
      <w:r>
        <w:rPr>
          <w:b/>
        </w:rPr>
        <w:t xml:space="preserve"> Figure 0)</w:t>
      </w:r>
      <w:r w:rsidR="00BE7A0C">
        <w:rPr>
          <w:b/>
        </w:rPr>
        <w:t xml:space="preserve"> if present</w:t>
      </w:r>
      <w:r>
        <w:t>. However, these units shall be so made as to have no sharp angles or pointed or cutting parts.</w:t>
      </w:r>
    </w:p>
    <w:p w14:paraId="28A7B7EE" w14:textId="77777777" w:rsidR="009C5365" w:rsidRDefault="009C5365" w:rsidP="00B104D2">
      <w:pPr>
        <w:tabs>
          <w:tab w:val="left" w:pos="2268"/>
        </w:tabs>
        <w:spacing w:before="120" w:line="240" w:lineRule="auto"/>
        <w:ind w:right="1134"/>
        <w:jc w:val="both"/>
        <w:rPr>
          <w:rFonts w:eastAsia="MS Mincho"/>
          <w:b/>
          <w:lang w:eastAsia="ja-JP"/>
        </w:rPr>
      </w:pPr>
    </w:p>
    <w:p w14:paraId="4547E3BA" w14:textId="77777777" w:rsidR="00F607C0" w:rsidRDefault="00411DA6" w:rsidP="009C5365">
      <w:pPr>
        <w:tabs>
          <w:tab w:val="left" w:pos="2268"/>
        </w:tabs>
        <w:spacing w:before="120" w:line="240" w:lineRule="auto"/>
        <w:ind w:left="2268" w:right="1134" w:hanging="1134"/>
        <w:jc w:val="center"/>
      </w:pPr>
      <w:r>
        <w:rPr>
          <w:noProof/>
          <w:lang w:eastAsia="en-GB"/>
        </w:rPr>
        <w:lastRenderedPageBreak/>
        <w:drawing>
          <wp:anchor distT="0" distB="0" distL="0" distR="0" simplePos="0" relativeHeight="251657216" behindDoc="0" locked="0" layoutInCell="1" allowOverlap="1" wp14:anchorId="6FEE2506" wp14:editId="28AD035C">
            <wp:simplePos x="0" y="0"/>
            <wp:positionH relativeFrom="column">
              <wp:posOffset>918210</wp:posOffset>
            </wp:positionH>
            <wp:positionV relativeFrom="paragraph">
              <wp:posOffset>4445</wp:posOffset>
            </wp:positionV>
            <wp:extent cx="4162425" cy="2771140"/>
            <wp:effectExtent l="0" t="0" r="9525" b="0"/>
            <wp:wrapTopAndBottom/>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2771140"/>
                    </a:xfrm>
                    <a:prstGeom prst="rect">
                      <a:avLst/>
                    </a:prstGeom>
                    <a:noFill/>
                  </pic:spPr>
                </pic:pic>
              </a:graphicData>
            </a:graphic>
            <wp14:sizeRelH relativeFrom="page">
              <wp14:pctWidth>0</wp14:pctWidth>
            </wp14:sizeRelH>
            <wp14:sizeRelV relativeFrom="page">
              <wp14:pctHeight>0</wp14:pctHeight>
            </wp14:sizeRelV>
          </wp:anchor>
        </w:drawing>
      </w:r>
      <w:r w:rsidR="00F607C0">
        <w:rPr>
          <w:rFonts w:eastAsia="MS Mincho"/>
          <w:b/>
          <w:lang w:eastAsia="ja-JP"/>
        </w:rPr>
        <w:t>Figure</w:t>
      </w:r>
      <w:r w:rsidR="00F607C0">
        <w:rPr>
          <w:b/>
        </w:rPr>
        <w:t xml:space="preserve"> 0</w:t>
      </w:r>
      <w:r w:rsidR="009C5365">
        <w:rPr>
          <w:b/>
        </w:rPr>
        <w:t xml:space="preserve"> - </w:t>
      </w:r>
      <w:r w:rsidR="00F607C0">
        <w:rPr>
          <w:b/>
        </w:rPr>
        <w:t>Example of parts distribution</w:t>
      </w:r>
    </w:p>
    <w:p w14:paraId="5912A191" w14:textId="77777777" w:rsidR="009C5365" w:rsidRDefault="009C5365">
      <w:pPr>
        <w:spacing w:line="200" w:lineRule="exact"/>
        <w:ind w:left="2268"/>
        <w:rPr>
          <w:b/>
        </w:rPr>
      </w:pPr>
    </w:p>
    <w:p w14:paraId="3ACD1590" w14:textId="77777777" w:rsidR="00F607C0" w:rsidRDefault="00F607C0">
      <w:pPr>
        <w:spacing w:line="200" w:lineRule="exact"/>
        <w:ind w:left="2268"/>
      </w:pPr>
      <w:r>
        <w:rPr>
          <w:b/>
        </w:rPr>
        <w:t>1 – Wiper shaft</w:t>
      </w:r>
    </w:p>
    <w:p w14:paraId="68C0FFA4" w14:textId="77777777" w:rsidR="00F607C0" w:rsidRDefault="00F607C0">
      <w:pPr>
        <w:spacing w:line="200" w:lineRule="exact"/>
        <w:ind w:left="2268"/>
        <w:rPr>
          <w:b/>
        </w:rPr>
      </w:pPr>
      <w:r>
        <w:rPr>
          <w:b/>
        </w:rPr>
        <w:t>1.1 – Protective casing</w:t>
      </w:r>
    </w:p>
    <w:p w14:paraId="4F1C179C" w14:textId="77777777" w:rsidR="00F607C0" w:rsidRDefault="00F607C0">
      <w:pPr>
        <w:spacing w:line="200" w:lineRule="exact"/>
        <w:ind w:left="2268"/>
        <w:rPr>
          <w:b/>
        </w:rPr>
      </w:pPr>
      <w:r>
        <w:rPr>
          <w:b/>
        </w:rPr>
        <w:t>2 – Holder head</w:t>
      </w:r>
    </w:p>
    <w:p w14:paraId="03C29E22" w14:textId="77777777" w:rsidR="00F607C0" w:rsidRDefault="00F607C0">
      <w:pPr>
        <w:spacing w:line="200" w:lineRule="exact"/>
        <w:ind w:left="2268"/>
        <w:rPr>
          <w:b/>
        </w:rPr>
      </w:pPr>
      <w:r>
        <w:rPr>
          <w:b/>
        </w:rPr>
        <w:t>2.1 – Main holder</w:t>
      </w:r>
    </w:p>
    <w:p w14:paraId="5C392563" w14:textId="77777777" w:rsidR="00F607C0" w:rsidRDefault="00F607C0">
      <w:pPr>
        <w:spacing w:line="200" w:lineRule="exact"/>
        <w:ind w:left="2268"/>
        <w:rPr>
          <w:b/>
        </w:rPr>
      </w:pPr>
      <w:r>
        <w:rPr>
          <w:b/>
        </w:rPr>
        <w:t>2.2 – Second holder</w:t>
      </w:r>
    </w:p>
    <w:p w14:paraId="175C3929" w14:textId="77777777" w:rsidR="00F607C0" w:rsidRDefault="00F607C0">
      <w:pPr>
        <w:spacing w:line="200" w:lineRule="exact"/>
        <w:ind w:left="2268"/>
        <w:rPr>
          <w:b/>
        </w:rPr>
      </w:pPr>
      <w:r>
        <w:rPr>
          <w:b/>
        </w:rPr>
        <w:t>3 – Supporting members</w:t>
      </w:r>
    </w:p>
    <w:p w14:paraId="4809867A" w14:textId="77777777" w:rsidR="00F607C0" w:rsidRDefault="00F607C0">
      <w:pPr>
        <w:spacing w:line="200" w:lineRule="exact"/>
        <w:ind w:left="2268"/>
      </w:pPr>
      <w:r>
        <w:rPr>
          <w:b/>
        </w:rPr>
        <w:t>4 – Wiper blades</w:t>
      </w:r>
    </w:p>
    <w:p w14:paraId="3078D315" w14:textId="77777777" w:rsidR="00F607C0" w:rsidRDefault="00F607C0">
      <w:pPr>
        <w:spacing w:line="200" w:lineRule="exact"/>
        <w:ind w:left="2268"/>
      </w:pPr>
      <w:r>
        <w:rPr>
          <w:b/>
        </w:rPr>
        <w:t>5 – Functional hinge</w:t>
      </w:r>
    </w:p>
    <w:p w14:paraId="2646A186" w14:textId="47C76F12" w:rsidR="00F607C0" w:rsidRDefault="00F607C0">
      <w:pPr>
        <w:spacing w:line="200" w:lineRule="exact"/>
        <w:ind w:left="2268"/>
        <w:rPr>
          <w:b/>
        </w:rPr>
      </w:pPr>
      <w:r>
        <w:rPr>
          <w:b/>
        </w:rPr>
        <w:t>6 – Junction between the main and second holder</w:t>
      </w:r>
      <w:r w:rsidR="001D6C5C">
        <w:rPr>
          <w:b/>
        </w:rPr>
        <w:t>"</w:t>
      </w:r>
    </w:p>
    <w:p w14:paraId="48FCEEE3" w14:textId="77777777" w:rsidR="00B104D2" w:rsidRDefault="00B104D2">
      <w:pPr>
        <w:spacing w:line="200" w:lineRule="exact"/>
        <w:ind w:left="2268"/>
      </w:pPr>
    </w:p>
    <w:p w14:paraId="7EAF63CC" w14:textId="77777777" w:rsidR="00F607C0" w:rsidRPr="000B626F" w:rsidRDefault="006F6664" w:rsidP="006F6664">
      <w:pPr>
        <w:keepNext/>
        <w:tabs>
          <w:tab w:val="left" w:pos="2268"/>
        </w:tabs>
        <w:spacing w:after="120" w:line="240" w:lineRule="auto"/>
        <w:ind w:left="2268" w:right="1134" w:hanging="1134"/>
        <w:jc w:val="both"/>
        <w:rPr>
          <w:strike/>
          <w:color w:val="FF0000"/>
        </w:rPr>
      </w:pPr>
      <w:r w:rsidRPr="000B626F">
        <w:rPr>
          <w:i/>
          <w:strike/>
          <w:color w:val="FF0000"/>
        </w:rPr>
        <w:t>Insert new</w:t>
      </w:r>
      <w:r w:rsidR="00F607C0" w:rsidRPr="000B626F">
        <w:rPr>
          <w:i/>
          <w:strike/>
          <w:color w:val="FF0000"/>
        </w:rPr>
        <w:t xml:space="preserve"> paragraphs 12.8</w:t>
      </w:r>
      <w:r w:rsidRPr="000B626F">
        <w:rPr>
          <w:i/>
          <w:strike/>
          <w:color w:val="FF0000"/>
        </w:rPr>
        <w:t>.</w:t>
      </w:r>
      <w:r w:rsidR="00F607C0" w:rsidRPr="000B626F">
        <w:rPr>
          <w:i/>
          <w:strike/>
          <w:color w:val="FF0000"/>
        </w:rPr>
        <w:t xml:space="preserve"> to 12.10</w:t>
      </w:r>
      <w:r w:rsidRPr="000B626F">
        <w:rPr>
          <w:i/>
          <w:strike/>
          <w:color w:val="FF0000"/>
        </w:rPr>
        <w:t>.</w:t>
      </w:r>
      <w:r w:rsidR="00F607C0" w:rsidRPr="000B626F">
        <w:rPr>
          <w:i/>
          <w:strike/>
          <w:color w:val="FF0000"/>
        </w:rPr>
        <w:t>,</w:t>
      </w:r>
      <w:r w:rsidRPr="000B626F">
        <w:rPr>
          <w:i/>
          <w:strike/>
          <w:color w:val="FF0000"/>
        </w:rPr>
        <w:t xml:space="preserve"> </w:t>
      </w:r>
      <w:r w:rsidRPr="000B626F">
        <w:rPr>
          <w:iCs/>
          <w:strike/>
          <w:color w:val="FF0000"/>
        </w:rPr>
        <w:t>to read</w:t>
      </w:r>
      <w:r w:rsidR="00F607C0" w:rsidRPr="000B626F">
        <w:rPr>
          <w:strike/>
          <w:color w:val="FF0000"/>
        </w:rPr>
        <w:t>:</w:t>
      </w:r>
    </w:p>
    <w:p w14:paraId="29948C4F" w14:textId="77777777" w:rsidR="00F607C0" w:rsidRPr="000B626F" w:rsidRDefault="001D6C5C" w:rsidP="006F6664">
      <w:pPr>
        <w:pStyle w:val="HChG"/>
        <w:spacing w:before="0" w:after="120" w:line="240" w:lineRule="auto"/>
        <w:ind w:left="2268"/>
        <w:jc w:val="both"/>
        <w:rPr>
          <w:strike/>
          <w:color w:val="FF0000"/>
          <w:sz w:val="20"/>
        </w:rPr>
      </w:pPr>
      <w:r w:rsidRPr="000B626F">
        <w:rPr>
          <w:bCs/>
          <w:strike/>
          <w:color w:val="FF0000"/>
          <w:sz w:val="20"/>
          <w:lang w:eastAsia="en-US"/>
        </w:rPr>
        <w:t>"</w:t>
      </w:r>
      <w:r w:rsidR="00F607C0" w:rsidRPr="000B626F">
        <w:rPr>
          <w:bCs/>
          <w:strike/>
          <w:color w:val="FF0000"/>
          <w:sz w:val="20"/>
          <w:lang w:eastAsia="en-US"/>
        </w:rPr>
        <w:t>12.8.</w:t>
      </w:r>
      <w:r w:rsidR="00340A6E" w:rsidRPr="000B626F">
        <w:rPr>
          <w:bCs/>
          <w:strike/>
          <w:color w:val="FF0000"/>
          <w:sz w:val="20"/>
          <w:lang w:eastAsia="en-US"/>
        </w:rPr>
        <w:tab/>
      </w:r>
      <w:r w:rsidR="00F607C0" w:rsidRPr="000B626F">
        <w:rPr>
          <w:bCs/>
          <w:strike/>
          <w:color w:val="FF0000"/>
          <w:sz w:val="20"/>
          <w:lang w:eastAsia="en-US"/>
        </w:rPr>
        <w:t>As from the official date of entry into force of the 04 series of amendments, no Contracting Party applying this Regulation shall refuse to grant approval under this Regulation as amended by the 04 series of amendments.</w:t>
      </w:r>
    </w:p>
    <w:p w14:paraId="42D78EA3" w14:textId="77777777" w:rsidR="00F607C0" w:rsidRPr="000B626F" w:rsidRDefault="00F607C0" w:rsidP="006F6664">
      <w:pPr>
        <w:pStyle w:val="BodyText"/>
        <w:spacing w:after="120" w:line="240" w:lineRule="auto"/>
        <w:ind w:left="2268" w:right="1134" w:hanging="1134"/>
        <w:jc w:val="both"/>
        <w:rPr>
          <w:b/>
          <w:bCs/>
          <w:strike/>
          <w:color w:val="FF0000"/>
        </w:rPr>
      </w:pPr>
      <w:bookmarkStart w:id="4" w:name="A0_S12_5_"/>
      <w:bookmarkEnd w:id="4"/>
      <w:r w:rsidRPr="000B626F">
        <w:rPr>
          <w:b/>
          <w:bCs/>
          <w:strike/>
          <w:color w:val="FF0000"/>
        </w:rPr>
        <w:t>12.9.</w:t>
      </w:r>
      <w:r w:rsidR="001D6C5C" w:rsidRPr="000B626F">
        <w:rPr>
          <w:b/>
          <w:bCs/>
          <w:strike/>
          <w:color w:val="FF0000"/>
        </w:rPr>
        <w:tab/>
      </w:r>
      <w:r w:rsidRPr="000B626F">
        <w:rPr>
          <w:b/>
          <w:bCs/>
          <w:strike/>
          <w:color w:val="FF0000"/>
        </w:rPr>
        <w:t>As from 24 months after the date of entry into force of the 04 series of amendments, Contracting Parties applying this Regulation shall grant approvals only if the vehicle type to be approved meets the requirements of this Regulation as amended by the 04 series of amendments.</w:t>
      </w:r>
    </w:p>
    <w:p w14:paraId="6287D82F" w14:textId="77777777" w:rsidR="00F607C0" w:rsidRPr="000B626F" w:rsidRDefault="00F607C0" w:rsidP="006F6664">
      <w:pPr>
        <w:pStyle w:val="BodyText"/>
        <w:spacing w:after="120" w:line="240" w:lineRule="auto"/>
        <w:ind w:left="2268" w:right="1134" w:hanging="1134"/>
        <w:jc w:val="both"/>
        <w:rPr>
          <w:b/>
          <w:bCs/>
          <w:strike/>
          <w:color w:val="FF0000"/>
        </w:rPr>
      </w:pPr>
      <w:bookmarkStart w:id="5" w:name="A0_S12_6_"/>
      <w:bookmarkEnd w:id="5"/>
      <w:r w:rsidRPr="000B626F">
        <w:rPr>
          <w:b/>
          <w:bCs/>
          <w:strike/>
          <w:color w:val="FF0000"/>
        </w:rPr>
        <w:t>12.10.</w:t>
      </w:r>
      <w:r w:rsidR="001D6C5C" w:rsidRPr="000B626F">
        <w:rPr>
          <w:b/>
          <w:bCs/>
          <w:strike/>
          <w:color w:val="FF0000"/>
        </w:rPr>
        <w:tab/>
      </w:r>
      <w:r w:rsidRPr="000B626F">
        <w:rPr>
          <w:b/>
          <w:bCs/>
          <w:strike/>
          <w:color w:val="FF0000"/>
        </w:rPr>
        <w:t>Starting 36 months after the entry into force to the 04 series of amendments to this Regulation, Contracting Parties applying this Regulation may refuse first national registration (first entry into service) of a vehicle which does not meet the requirements of the 04 series of amendments to this Regulation.</w:t>
      </w:r>
      <w:r w:rsidR="001D6C5C" w:rsidRPr="000B626F">
        <w:rPr>
          <w:b/>
          <w:bCs/>
          <w:strike/>
          <w:color w:val="FF0000"/>
        </w:rPr>
        <w:t>"</w:t>
      </w:r>
    </w:p>
    <w:p w14:paraId="107D5C2B" w14:textId="77777777" w:rsidR="00F607C0" w:rsidRDefault="00F607C0" w:rsidP="006F6664">
      <w:pPr>
        <w:pStyle w:val="HChG"/>
      </w:pPr>
      <w:r w:rsidRPr="006F6664">
        <w:tab/>
        <w:t>II.</w:t>
      </w:r>
      <w:r w:rsidRPr="006F6664">
        <w:tab/>
        <w:t>Justification</w:t>
      </w:r>
    </w:p>
    <w:p w14:paraId="753A2142" w14:textId="6EECA454" w:rsidR="000B626F" w:rsidRPr="00B104D2" w:rsidRDefault="000B626F" w:rsidP="000B626F">
      <w:pPr>
        <w:pStyle w:val="ListParagraph"/>
        <w:numPr>
          <w:ilvl w:val="0"/>
          <w:numId w:val="21"/>
        </w:numPr>
        <w:ind w:right="1133"/>
        <w:rPr>
          <w:rFonts w:ascii="Times New Roman" w:hAnsi="Times New Roman"/>
          <w:sz w:val="20"/>
          <w:szCs w:val="20"/>
          <w:lang w:val="en-GB" w:eastAsia="fr-FR"/>
        </w:rPr>
      </w:pPr>
      <w:r w:rsidRPr="00B104D2">
        <w:rPr>
          <w:rFonts w:ascii="Times New Roman" w:hAnsi="Times New Roman"/>
          <w:sz w:val="20"/>
          <w:szCs w:val="20"/>
          <w:lang w:val="en-GB" w:eastAsia="fr-FR"/>
        </w:rPr>
        <w:t>There is</w:t>
      </w:r>
      <w:r w:rsidR="00B104D2" w:rsidRPr="00B104D2">
        <w:rPr>
          <w:rFonts w:ascii="Times New Roman" w:hAnsi="Times New Roman"/>
          <w:sz w:val="20"/>
          <w:szCs w:val="20"/>
          <w:lang w:val="en-GB" w:eastAsia="fr-FR"/>
        </w:rPr>
        <w:t xml:space="preserve"> to date</w:t>
      </w:r>
      <w:r w:rsidRPr="00B104D2">
        <w:rPr>
          <w:rFonts w:ascii="Times New Roman" w:hAnsi="Times New Roman"/>
          <w:sz w:val="20"/>
          <w:szCs w:val="20"/>
          <w:lang w:val="en-GB" w:eastAsia="fr-FR"/>
        </w:rPr>
        <w:t xml:space="preserve"> no evidence or data that would justify a change in requirements of this regulation</w:t>
      </w:r>
    </w:p>
    <w:p w14:paraId="5785CCCB" w14:textId="58BFB52E" w:rsidR="000B626F" w:rsidRPr="00B104D2" w:rsidRDefault="000B626F" w:rsidP="000B626F">
      <w:pPr>
        <w:pStyle w:val="ListParagraph"/>
        <w:numPr>
          <w:ilvl w:val="0"/>
          <w:numId w:val="21"/>
        </w:numPr>
        <w:ind w:right="1133"/>
        <w:rPr>
          <w:rFonts w:ascii="Times New Roman" w:hAnsi="Times New Roman"/>
          <w:sz w:val="20"/>
          <w:szCs w:val="20"/>
          <w:lang w:val="en-GB" w:eastAsia="fr-FR"/>
        </w:rPr>
      </w:pPr>
      <w:r w:rsidRPr="00B104D2">
        <w:rPr>
          <w:rFonts w:ascii="Times New Roman" w:hAnsi="Times New Roman"/>
          <w:sz w:val="20"/>
          <w:szCs w:val="20"/>
          <w:lang w:val="en-GB" w:eastAsia="fr-FR"/>
        </w:rPr>
        <w:t xml:space="preserve">The impact of the proposed amendment by France is huge as it would affect wiper design of over </w:t>
      </w:r>
      <w:r w:rsidR="00B104D2" w:rsidRPr="00B104D2">
        <w:rPr>
          <w:rFonts w:ascii="Times New Roman" w:hAnsi="Times New Roman"/>
          <w:sz w:val="20"/>
          <w:szCs w:val="20"/>
          <w:lang w:val="en-GB" w:eastAsia="fr-FR"/>
        </w:rPr>
        <w:t>several</w:t>
      </w:r>
      <w:r w:rsidRPr="00B104D2">
        <w:rPr>
          <w:rFonts w:ascii="Times New Roman" w:hAnsi="Times New Roman"/>
          <w:sz w:val="20"/>
          <w:szCs w:val="20"/>
          <w:lang w:val="en-GB" w:eastAsia="fr-FR"/>
        </w:rPr>
        <w:t xml:space="preserve"> </w:t>
      </w:r>
      <w:r w:rsidR="00B104D2" w:rsidRPr="00B104D2">
        <w:rPr>
          <w:rFonts w:ascii="Times New Roman" w:hAnsi="Times New Roman"/>
          <w:sz w:val="20"/>
          <w:szCs w:val="20"/>
          <w:lang w:val="en-GB" w:eastAsia="fr-FR"/>
        </w:rPr>
        <w:t>billion</w:t>
      </w:r>
      <w:r w:rsidRPr="00B104D2">
        <w:rPr>
          <w:rFonts w:ascii="Times New Roman" w:hAnsi="Times New Roman"/>
          <w:sz w:val="20"/>
          <w:szCs w:val="20"/>
          <w:lang w:val="en-GB" w:eastAsia="fr-FR"/>
        </w:rPr>
        <w:t xml:space="preserve"> vehicles without any </w:t>
      </w:r>
      <w:r w:rsidR="0004470A" w:rsidRPr="00B104D2">
        <w:rPr>
          <w:rFonts w:ascii="Times New Roman" w:hAnsi="Times New Roman"/>
          <w:sz w:val="20"/>
          <w:szCs w:val="20"/>
          <w:lang w:val="en-GB" w:eastAsia="fr-FR"/>
        </w:rPr>
        <w:t xml:space="preserve">estimated </w:t>
      </w:r>
      <w:r w:rsidRPr="00B104D2">
        <w:rPr>
          <w:rFonts w:ascii="Times New Roman" w:hAnsi="Times New Roman"/>
          <w:sz w:val="20"/>
          <w:szCs w:val="20"/>
          <w:lang w:val="en-GB" w:eastAsia="fr-FR"/>
        </w:rPr>
        <w:t>safety benefit</w:t>
      </w:r>
    </w:p>
    <w:p w14:paraId="01B9C6B5" w14:textId="040D3CBE" w:rsidR="00AF28E5" w:rsidRDefault="00AF28E5" w:rsidP="00AF28E5">
      <w:pPr>
        <w:pStyle w:val="ListParagraph"/>
        <w:ind w:left="1494" w:right="1133"/>
        <w:rPr>
          <w:rFonts w:ascii="Times New Roman" w:hAnsi="Times New Roman"/>
          <w:sz w:val="20"/>
          <w:szCs w:val="20"/>
          <w:lang w:val="en-GB" w:eastAsia="fr-FR"/>
        </w:rPr>
      </w:pPr>
      <w:r w:rsidRPr="00B104D2">
        <w:rPr>
          <w:rFonts w:ascii="Times New Roman" w:hAnsi="Times New Roman"/>
          <w:sz w:val="20"/>
          <w:szCs w:val="20"/>
          <w:lang w:val="en-GB" w:eastAsia="fr-FR"/>
        </w:rPr>
        <w:t xml:space="preserve">(see </w:t>
      </w:r>
      <w:r w:rsidR="00B104D2" w:rsidRPr="00B104D2">
        <w:rPr>
          <w:rFonts w:ascii="Times New Roman" w:hAnsi="Times New Roman"/>
          <w:sz w:val="20"/>
          <w:szCs w:val="20"/>
          <w:lang w:val="en-GB" w:eastAsia="fr-FR"/>
        </w:rPr>
        <w:t xml:space="preserve">explanatory presentation in a separate informal document </w:t>
      </w:r>
      <w:r w:rsidRPr="00B104D2">
        <w:rPr>
          <w:rFonts w:ascii="Times New Roman" w:hAnsi="Times New Roman"/>
          <w:sz w:val="20"/>
          <w:szCs w:val="20"/>
          <w:lang w:val="en-GB" w:eastAsia="fr-FR"/>
        </w:rPr>
        <w:t>for additional information)</w:t>
      </w:r>
    </w:p>
    <w:p w14:paraId="0E14F9B6" w14:textId="77777777" w:rsidR="00222F69" w:rsidRDefault="00222F69" w:rsidP="00222F69">
      <w:pPr>
        <w:pStyle w:val="ListParagraph"/>
        <w:numPr>
          <w:ilvl w:val="0"/>
          <w:numId w:val="21"/>
        </w:numPr>
        <w:ind w:right="1133"/>
        <w:rPr>
          <w:rFonts w:ascii="Times New Roman" w:hAnsi="Times New Roman"/>
          <w:sz w:val="20"/>
          <w:szCs w:val="20"/>
          <w:lang w:val="en-GB" w:eastAsia="fr-FR"/>
        </w:rPr>
      </w:pPr>
      <w:r>
        <w:rPr>
          <w:rFonts w:ascii="Times New Roman" w:hAnsi="Times New Roman"/>
          <w:sz w:val="20"/>
          <w:szCs w:val="20"/>
          <w:lang w:val="en-GB" w:eastAsia="fr-FR"/>
        </w:rPr>
        <w:t>The vehicles and p</w:t>
      </w:r>
      <w:r w:rsidRPr="00222F69">
        <w:rPr>
          <w:rFonts w:ascii="Times New Roman" w:hAnsi="Times New Roman"/>
          <w:sz w:val="20"/>
          <w:szCs w:val="20"/>
          <w:lang w:val="en-GB" w:eastAsia="fr-FR"/>
        </w:rPr>
        <w:t>arts</w:t>
      </w:r>
      <w:r>
        <w:rPr>
          <w:rFonts w:ascii="Times New Roman" w:hAnsi="Times New Roman"/>
          <w:sz w:val="20"/>
          <w:szCs w:val="20"/>
          <w:lang w:val="en-GB" w:eastAsia="fr-FR"/>
        </w:rPr>
        <w:t xml:space="preserve"> approved to UN R26 meet all the requirements of the regulation  and are hence</w:t>
      </w:r>
      <w:r w:rsidRPr="00222F69">
        <w:rPr>
          <w:rFonts w:ascii="Times New Roman" w:hAnsi="Times New Roman"/>
          <w:sz w:val="20"/>
          <w:szCs w:val="20"/>
          <w:lang w:val="en-GB" w:eastAsia="fr-FR"/>
        </w:rPr>
        <w:t xml:space="preserve"> designed to meet paragraph 6.4., </w:t>
      </w:r>
      <w:r>
        <w:rPr>
          <w:rFonts w:ascii="Times New Roman" w:hAnsi="Times New Roman"/>
          <w:sz w:val="20"/>
          <w:szCs w:val="20"/>
          <w:lang w:val="en-GB" w:eastAsia="fr-FR"/>
        </w:rPr>
        <w:t>including complying with</w:t>
      </w:r>
      <w:r w:rsidRPr="00222F69">
        <w:rPr>
          <w:rFonts w:ascii="Times New Roman" w:hAnsi="Times New Roman"/>
          <w:sz w:val="20"/>
          <w:szCs w:val="20"/>
          <w:lang w:val="en-GB" w:eastAsia="fr-FR"/>
        </w:rPr>
        <w:t xml:space="preserve"> </w:t>
      </w:r>
      <w:r>
        <w:rPr>
          <w:rFonts w:ascii="Times New Roman" w:hAnsi="Times New Roman"/>
          <w:sz w:val="20"/>
          <w:szCs w:val="20"/>
          <w:lang w:val="en-GB" w:eastAsia="fr-FR"/>
        </w:rPr>
        <w:t>its</w:t>
      </w:r>
      <w:r w:rsidRPr="00222F69">
        <w:rPr>
          <w:rFonts w:ascii="Times New Roman" w:hAnsi="Times New Roman"/>
          <w:sz w:val="20"/>
          <w:szCs w:val="20"/>
          <w:lang w:val="en-GB" w:eastAsia="fr-FR"/>
        </w:rPr>
        <w:t xml:space="preserve"> last sentence as well “However, these units shall be so made as to have no sharp angles or pointed or cutting parts.” </w:t>
      </w:r>
    </w:p>
    <w:p w14:paraId="6AE0E1D9" w14:textId="5E191D21" w:rsidR="00F607C0" w:rsidRPr="00222F69" w:rsidRDefault="00222F69" w:rsidP="00222F69">
      <w:pPr>
        <w:pStyle w:val="ListParagraph"/>
        <w:numPr>
          <w:ilvl w:val="0"/>
          <w:numId w:val="21"/>
        </w:numPr>
        <w:ind w:right="1133"/>
        <w:rPr>
          <w:lang w:eastAsia="fr-FR"/>
        </w:rPr>
      </w:pPr>
      <w:r>
        <w:rPr>
          <w:rFonts w:ascii="Times New Roman" w:hAnsi="Times New Roman"/>
          <w:sz w:val="20"/>
          <w:szCs w:val="20"/>
          <w:lang w:val="en-GB" w:eastAsia="fr-FR"/>
        </w:rPr>
        <w:lastRenderedPageBreak/>
        <w:t>OICA is concerned that the c</w:t>
      </w:r>
      <w:r w:rsidRPr="00222F69">
        <w:rPr>
          <w:rFonts w:ascii="Times New Roman" w:hAnsi="Times New Roman"/>
          <w:sz w:val="20"/>
          <w:szCs w:val="20"/>
          <w:lang w:val="en-GB" w:eastAsia="fr-FR"/>
        </w:rPr>
        <w:t>hange introduced</w:t>
      </w:r>
      <w:r>
        <w:rPr>
          <w:rFonts w:ascii="Times New Roman" w:hAnsi="Times New Roman"/>
          <w:sz w:val="20"/>
          <w:szCs w:val="20"/>
          <w:lang w:val="en-GB" w:eastAsia="fr-FR"/>
        </w:rPr>
        <w:t xml:space="preserve"> by France</w:t>
      </w:r>
      <w:r w:rsidRPr="00222F69">
        <w:rPr>
          <w:rFonts w:ascii="Times New Roman" w:hAnsi="Times New Roman"/>
          <w:sz w:val="20"/>
          <w:szCs w:val="20"/>
          <w:lang w:val="en-GB" w:eastAsia="fr-FR"/>
        </w:rPr>
        <w:t xml:space="preserve"> for clarity increase</w:t>
      </w:r>
      <w:r>
        <w:rPr>
          <w:rFonts w:ascii="Times New Roman" w:hAnsi="Times New Roman"/>
          <w:sz w:val="20"/>
          <w:szCs w:val="20"/>
          <w:lang w:val="en-GB" w:eastAsia="fr-FR"/>
        </w:rPr>
        <w:t>s</w:t>
      </w:r>
      <w:bookmarkStart w:id="6" w:name="_GoBack"/>
      <w:bookmarkEnd w:id="6"/>
      <w:r w:rsidRPr="00222F69">
        <w:rPr>
          <w:rFonts w:ascii="Times New Roman" w:hAnsi="Times New Roman"/>
          <w:sz w:val="20"/>
          <w:szCs w:val="20"/>
          <w:lang w:val="en-GB" w:eastAsia="fr-FR"/>
        </w:rPr>
        <w:t xml:space="preserve"> the stringency of the </w:t>
      </w:r>
      <w:r>
        <w:rPr>
          <w:rFonts w:ascii="Times New Roman" w:hAnsi="Times New Roman"/>
          <w:sz w:val="20"/>
          <w:szCs w:val="20"/>
          <w:lang w:val="en-GB" w:eastAsia="fr-FR"/>
        </w:rPr>
        <w:t>regulation.</w:t>
      </w:r>
    </w:p>
    <w:sectPr w:rsidR="00F607C0" w:rsidRPr="00222F69" w:rsidSect="003E30D5">
      <w:headerReference w:type="even" r:id="rId14"/>
      <w:headerReference w:type="default" r:id="rId15"/>
      <w:footerReference w:type="even" r:id="rId16"/>
      <w:footerReference w:type="default" r:id="rId17"/>
      <w:headerReference w:type="first" r:id="rId18"/>
      <w:footnotePr>
        <w:numFmt w:val="chicago"/>
      </w:footnotePr>
      <w:pgSz w:w="11906" w:h="16838" w:code="9"/>
      <w:pgMar w:top="1701" w:right="1134" w:bottom="993" w:left="1134" w:header="1134" w:footer="474"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46C9" w14:textId="77777777" w:rsidR="00AF28E5" w:rsidRDefault="00AF28E5" w:rsidP="00203C11">
      <w:pPr>
        <w:spacing w:line="240" w:lineRule="auto"/>
      </w:pPr>
      <w:r>
        <w:separator/>
      </w:r>
    </w:p>
  </w:endnote>
  <w:endnote w:type="continuationSeparator" w:id="0">
    <w:p w14:paraId="7EA79047" w14:textId="77777777" w:rsidR="00AF28E5" w:rsidRDefault="00AF28E5" w:rsidP="0020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7312" w14:textId="2A151548" w:rsidR="00AF28E5" w:rsidRDefault="00AF28E5" w:rsidP="001B5B00">
    <w:pPr>
      <w:pStyle w:val="Footer"/>
    </w:pPr>
    <w:r w:rsidRPr="008E0A25">
      <w:rPr>
        <w:b/>
        <w:sz w:val="18"/>
      </w:rPr>
      <w:fldChar w:fldCharType="begin"/>
    </w:r>
    <w:r w:rsidRPr="008E0A25">
      <w:rPr>
        <w:b/>
        <w:sz w:val="18"/>
      </w:rPr>
      <w:instrText xml:space="preserve"> PAGE  \* MERGEFORMAT </w:instrText>
    </w:r>
    <w:r w:rsidRPr="008E0A25">
      <w:rPr>
        <w:b/>
        <w:sz w:val="18"/>
      </w:rPr>
      <w:fldChar w:fldCharType="separate"/>
    </w:r>
    <w:r w:rsidR="0004470A">
      <w:rPr>
        <w:b/>
        <w:noProof/>
        <w:sz w:val="18"/>
      </w:rPr>
      <w:t>2</w:t>
    </w:r>
    <w:r w:rsidRPr="008E0A25">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239135"/>
      <w:docPartObj>
        <w:docPartGallery w:val="Page Numbers (Bottom of Page)"/>
        <w:docPartUnique/>
      </w:docPartObj>
    </w:sdtPr>
    <w:sdtEndPr>
      <w:rPr>
        <w:noProof/>
      </w:rPr>
    </w:sdtEndPr>
    <w:sdtContent>
      <w:p w14:paraId="431FCFAD" w14:textId="396EAECE" w:rsidR="00AF28E5" w:rsidRDefault="00AF28E5" w:rsidP="00785AC2">
        <w:pPr>
          <w:pStyle w:val="Footer"/>
          <w:jc w:val="right"/>
        </w:pPr>
        <w:r w:rsidRPr="008E0A25">
          <w:rPr>
            <w:b/>
            <w:sz w:val="18"/>
          </w:rPr>
          <w:fldChar w:fldCharType="begin"/>
        </w:r>
        <w:r w:rsidRPr="008E0A25">
          <w:rPr>
            <w:b/>
            <w:sz w:val="18"/>
          </w:rPr>
          <w:instrText xml:space="preserve"> PAGE  \* MERGEFORMAT </w:instrText>
        </w:r>
        <w:r w:rsidRPr="008E0A25">
          <w:rPr>
            <w:b/>
            <w:sz w:val="18"/>
          </w:rPr>
          <w:fldChar w:fldCharType="separate"/>
        </w:r>
        <w:r w:rsidR="00603072">
          <w:rPr>
            <w:b/>
            <w:noProof/>
            <w:sz w:val="18"/>
          </w:rPr>
          <w:t>3</w:t>
        </w:r>
        <w:r w:rsidRPr="008E0A25">
          <w:rPr>
            <w:b/>
            <w:sz w:val="18"/>
          </w:rPr>
          <w:fldChar w:fldCharType="end"/>
        </w:r>
      </w:p>
    </w:sdtContent>
  </w:sdt>
  <w:p w14:paraId="366EF39E" w14:textId="77777777" w:rsidR="00AF28E5" w:rsidRDefault="00AF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B895" w14:textId="77777777" w:rsidR="00AF28E5" w:rsidRPr="00E378AC" w:rsidRDefault="00AF28E5" w:rsidP="00E378AC">
      <w:pPr>
        <w:tabs>
          <w:tab w:val="right" w:pos="2155"/>
        </w:tabs>
        <w:spacing w:after="80"/>
        <w:ind w:left="680"/>
        <w:rPr>
          <w:u w:val="single"/>
        </w:rPr>
      </w:pPr>
      <w:r>
        <w:rPr>
          <w:u w:val="single"/>
        </w:rPr>
        <w:tab/>
      </w:r>
    </w:p>
  </w:footnote>
  <w:footnote w:type="continuationSeparator" w:id="0">
    <w:p w14:paraId="1DBD58AA" w14:textId="77777777" w:rsidR="00AF28E5" w:rsidRDefault="00AF28E5">
      <w:r>
        <w:continuationSeparator/>
      </w:r>
    </w:p>
  </w:footnote>
  <w:footnote w:id="1">
    <w:p w14:paraId="0D0B234D" w14:textId="38F0189F" w:rsidR="009B5037" w:rsidRPr="00E8137B" w:rsidRDefault="009B5037" w:rsidP="003E30D5">
      <w:pPr>
        <w:pStyle w:val="FootnoteText"/>
        <w:tabs>
          <w:tab w:val="right" w:pos="1021"/>
        </w:tabs>
        <w:spacing w:line="220" w:lineRule="exact"/>
        <w:ind w:right="1134"/>
        <w:rPr>
          <w:sz w:val="16"/>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77DE" w14:textId="13DFD837" w:rsidR="00AF28E5" w:rsidRPr="00B104D2" w:rsidRDefault="00AF28E5" w:rsidP="00B104D2">
    <w:pPr>
      <w:pStyle w:val="Header"/>
      <w:pBdr>
        <w:bottom w:val="single" w:sz="4" w:space="3" w:color="00000A"/>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8E0D" w14:textId="0C15AA59" w:rsidR="00AF28E5" w:rsidRDefault="00AF28E5" w:rsidP="00340A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134" w:tblpY="284"/>
      <w:tblOverlap w:val="never"/>
      <w:tblW w:w="9493" w:type="dxa"/>
      <w:tblLayout w:type="fixed"/>
      <w:tblCellMar>
        <w:left w:w="0" w:type="dxa"/>
        <w:right w:w="0" w:type="dxa"/>
      </w:tblCellMar>
      <w:tblLook w:val="01E0" w:firstRow="1" w:lastRow="1" w:firstColumn="1" w:lastColumn="1" w:noHBand="0" w:noVBand="0"/>
    </w:tblPr>
    <w:tblGrid>
      <w:gridCol w:w="4746"/>
      <w:gridCol w:w="4747"/>
    </w:tblGrid>
    <w:tr w:rsidR="00B104D2" w:rsidRPr="009B5037" w14:paraId="5482CC9A" w14:textId="77777777" w:rsidTr="003E30D5">
      <w:trPr>
        <w:cantSplit/>
        <w:trHeight w:val="573"/>
      </w:trPr>
      <w:tc>
        <w:tcPr>
          <w:tcW w:w="4746" w:type="dxa"/>
          <w:vAlign w:val="bottom"/>
        </w:tcPr>
        <w:p w14:paraId="3345A6F3" w14:textId="77777777" w:rsidR="00B104D2" w:rsidRPr="009B5037" w:rsidRDefault="00B104D2" w:rsidP="00B104D2">
          <w:pPr>
            <w:rPr>
              <w:sz w:val="22"/>
              <w:szCs w:val="22"/>
            </w:rPr>
          </w:pPr>
          <w:r>
            <w:rPr>
              <w:sz w:val="22"/>
              <w:szCs w:val="22"/>
            </w:rPr>
            <w:t>Submitted by the expert of OICA</w:t>
          </w:r>
        </w:p>
      </w:tc>
      <w:tc>
        <w:tcPr>
          <w:tcW w:w="4747" w:type="dxa"/>
          <w:vAlign w:val="bottom"/>
        </w:tcPr>
        <w:p w14:paraId="01844295" w14:textId="77777777" w:rsidR="00B104D2" w:rsidRPr="003E30D5" w:rsidRDefault="003E30D5" w:rsidP="00B104D2">
          <w:pPr>
            <w:jc w:val="right"/>
            <w:rPr>
              <w:b/>
              <w:bCs/>
              <w:sz w:val="22"/>
              <w:szCs w:val="22"/>
            </w:rPr>
          </w:pPr>
          <w:r w:rsidRPr="003E30D5">
            <w:rPr>
              <w:sz w:val="22"/>
              <w:szCs w:val="22"/>
              <w:u w:val="single"/>
            </w:rPr>
            <w:t xml:space="preserve">Informal document </w:t>
          </w:r>
          <w:r w:rsidR="00B104D2" w:rsidRPr="003E30D5">
            <w:rPr>
              <w:b/>
              <w:bCs/>
              <w:sz w:val="22"/>
              <w:szCs w:val="22"/>
            </w:rPr>
            <w:t>GRSG-117-</w:t>
          </w:r>
          <w:r w:rsidRPr="003E30D5">
            <w:rPr>
              <w:b/>
              <w:bCs/>
              <w:sz w:val="22"/>
              <w:szCs w:val="22"/>
            </w:rPr>
            <w:t>44</w:t>
          </w:r>
        </w:p>
        <w:p w14:paraId="477D26C7" w14:textId="77777777" w:rsidR="003E30D5" w:rsidRDefault="003E30D5" w:rsidP="00B104D2">
          <w:pPr>
            <w:jc w:val="right"/>
            <w:rPr>
              <w:sz w:val="22"/>
              <w:szCs w:val="22"/>
            </w:rPr>
          </w:pPr>
          <w:r>
            <w:rPr>
              <w:sz w:val="22"/>
              <w:szCs w:val="22"/>
            </w:rPr>
            <w:t>117</w:t>
          </w:r>
          <w:r w:rsidRPr="003E30D5">
            <w:rPr>
              <w:sz w:val="22"/>
              <w:szCs w:val="22"/>
              <w:vertAlign w:val="superscript"/>
            </w:rPr>
            <w:t>th</w:t>
          </w:r>
          <w:r>
            <w:rPr>
              <w:sz w:val="22"/>
              <w:szCs w:val="22"/>
            </w:rPr>
            <w:t xml:space="preserve"> GRSG, 8-11 October 2019</w:t>
          </w:r>
        </w:p>
        <w:p w14:paraId="12229A36" w14:textId="78195BFA" w:rsidR="003E30D5" w:rsidRPr="009B5037" w:rsidRDefault="003E30D5" w:rsidP="00B104D2">
          <w:pPr>
            <w:jc w:val="right"/>
            <w:rPr>
              <w:sz w:val="22"/>
              <w:szCs w:val="22"/>
            </w:rPr>
          </w:pPr>
          <w:r>
            <w:rPr>
              <w:sz w:val="22"/>
              <w:szCs w:val="22"/>
            </w:rPr>
            <w:t>Agenda item 3</w:t>
          </w:r>
        </w:p>
      </w:tc>
    </w:tr>
  </w:tbl>
  <w:p w14:paraId="3DB0E0F6" w14:textId="77777777" w:rsidR="00B104D2" w:rsidRDefault="00B104D2" w:rsidP="003E30D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125EB8"/>
    <w:multiLevelType w:val="hybridMultilevel"/>
    <w:tmpl w:val="00B6A670"/>
    <w:lvl w:ilvl="0" w:tplc="826ABC4E">
      <w:start w:val="1"/>
      <w:numFmt w:val="decimal"/>
      <w:lvlText w:val="%1."/>
      <w:lvlJc w:val="left"/>
      <w:pPr>
        <w:ind w:left="1494" w:hanging="360"/>
      </w:pPr>
      <w:rPr>
        <w:rFonts w:ascii="Times New Roman" w:hAnsi="Times New Roman" w:cs="Times New Roman" w:hint="default"/>
        <w:color w:val="auto"/>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characterSpacingControl w:val="doNotCompress"/>
  <w:hdrShapeDefaults>
    <o:shapedefaults v:ext="edit" spidmax="3072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4470A"/>
    <w:rsid w:val="0005715A"/>
    <w:rsid w:val="000B626F"/>
    <w:rsid w:val="000C75E6"/>
    <w:rsid w:val="001B5B00"/>
    <w:rsid w:val="001D6C5C"/>
    <w:rsid w:val="00203C11"/>
    <w:rsid w:val="00222D9F"/>
    <w:rsid w:val="00222F69"/>
    <w:rsid w:val="00255851"/>
    <w:rsid w:val="00326F61"/>
    <w:rsid w:val="00340A6E"/>
    <w:rsid w:val="00351879"/>
    <w:rsid w:val="003E30D5"/>
    <w:rsid w:val="00411DA6"/>
    <w:rsid w:val="00416C08"/>
    <w:rsid w:val="00461D8F"/>
    <w:rsid w:val="00592DED"/>
    <w:rsid w:val="005B3E3F"/>
    <w:rsid w:val="00603072"/>
    <w:rsid w:val="0069784D"/>
    <w:rsid w:val="006F6664"/>
    <w:rsid w:val="0076698E"/>
    <w:rsid w:val="00785AC2"/>
    <w:rsid w:val="008058D9"/>
    <w:rsid w:val="0082103C"/>
    <w:rsid w:val="00926B71"/>
    <w:rsid w:val="00956EF7"/>
    <w:rsid w:val="0097132E"/>
    <w:rsid w:val="009B5037"/>
    <w:rsid w:val="009C5365"/>
    <w:rsid w:val="009D0DA6"/>
    <w:rsid w:val="00A40962"/>
    <w:rsid w:val="00AF28E5"/>
    <w:rsid w:val="00B104D2"/>
    <w:rsid w:val="00BA2AF9"/>
    <w:rsid w:val="00BE7A0C"/>
    <w:rsid w:val="00CD29FA"/>
    <w:rsid w:val="00D55DBE"/>
    <w:rsid w:val="00D87F6B"/>
    <w:rsid w:val="00D9262A"/>
    <w:rsid w:val="00E378AC"/>
    <w:rsid w:val="00E8137B"/>
    <w:rsid w:val="00ED2A2A"/>
    <w:rsid w:val="00F607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1"/>
    <o:shapelayout v:ext="edit">
      <o:idmap v:ext="edit" data="1"/>
    </o:shapelayout>
  </w:shapeDefaults>
  <w:decimalSymbol w:val="."/>
  <w:listSeparator w:val=","/>
  <w14:docId w14:val="550AD080"/>
  <w15:docId w15:val="{93C7558B-0B6E-4CC4-9549-6B63E282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uiPriority w:val="99"/>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uiPriority w:val="99"/>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uiPriority w:val="99"/>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uiPriority w:val="9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99"/>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ceonline.utac.com/fr/document/show/document_id/4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ceonline.utac.com/fr/document/show/document_id/402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018D4E3DF854985FF4A4B78CF06DA" ma:contentTypeVersion="8" ma:contentTypeDescription="Create a new document." ma:contentTypeScope="" ma:versionID="5e5114f2d234c312317148d9832fc457">
  <xsd:schema xmlns:xsd="http://www.w3.org/2001/XMLSchema" xmlns:xs="http://www.w3.org/2001/XMLSchema" xmlns:p="http://schemas.microsoft.com/office/2006/metadata/properties" xmlns:ns3="4dcd211d-1900-41d1-ab03-b30c579fb8de" targetNamespace="http://schemas.microsoft.com/office/2006/metadata/properties" ma:root="true" ma:fieldsID="e92ffc35b0f3be34f4bdf64f0c1db1c5" ns3:_="">
    <xsd:import namespace="4dcd211d-1900-41d1-ab03-b30c579fb8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d211d-1900-41d1-ab03-b30c579fb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4000-6AE7-4793-9595-22ACF97E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d211d-1900-41d1-ab03-b30c579fb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D722D-2A44-41F4-8231-FA8044AB5D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cd211d-1900-41d1-ab03-b30c579fb8de"/>
    <ds:schemaRef ds:uri="http://www.w3.org/XML/1998/namespace"/>
    <ds:schemaRef ds:uri="http://purl.org/dc/dcmitype/"/>
  </ds:schemaRefs>
</ds:datastoreItem>
</file>

<file path=customXml/itemProps3.xml><?xml version="1.0" encoding="utf-8"?>
<ds:datastoreItem xmlns:ds="http://schemas.openxmlformats.org/officeDocument/2006/customXml" ds:itemID="{A854729D-FC2B-424B-A45A-008CFDF6556E}">
  <ds:schemaRefs>
    <ds:schemaRef ds:uri="http://schemas.microsoft.com/sharepoint/v3/contenttype/forms"/>
  </ds:schemaRefs>
</ds:datastoreItem>
</file>

<file path=customXml/itemProps4.xml><?xml version="1.0" encoding="utf-8"?>
<ds:datastoreItem xmlns:ds="http://schemas.openxmlformats.org/officeDocument/2006/customXml" ds:itemID="{02DF9B11-AFD3-4ACB-B6AE-435E55C1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616</Words>
  <Characters>3228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ECE/TRANS/WP.29/GRSG/2019/34</vt:lpstr>
      <vt:lpstr>ECE/TRANS/WP.29/GRSG/2019/34</vt:lpstr>
    </vt:vector>
  </TitlesOfParts>
  <Company>ECE-ISU</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ECE/TRANS/WP.29/GRSG/2019/34</dc:title>
  <dc:subject>1912366</dc:subject>
  <dc:creator>Generic Desk Anglais</dc:creator>
  <cp:keywords/>
  <dc:description/>
  <cp:lastModifiedBy>Walter Nissler</cp:lastModifiedBy>
  <cp:revision>5</cp:revision>
  <cp:lastPrinted>2019-07-19T11:29:00Z</cp:lastPrinted>
  <dcterms:created xsi:type="dcterms:W3CDTF">2019-10-03T13:15:00Z</dcterms:created>
  <dcterms:modified xsi:type="dcterms:W3CDTF">2019-10-08T09:23:00Z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0x010100AC2018D4E3DF854985FF4A4B78CF06DA</vt:lpwstr>
  </property>
</Properties>
</file>