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77A67F9F" w14:textId="77777777" w:rsidTr="00B20551">
        <w:trPr>
          <w:cantSplit/>
          <w:trHeight w:hRule="exact" w:val="851"/>
        </w:trPr>
        <w:tc>
          <w:tcPr>
            <w:tcW w:w="1276" w:type="dxa"/>
            <w:tcBorders>
              <w:bottom w:val="single" w:sz="4" w:space="0" w:color="auto"/>
            </w:tcBorders>
            <w:vAlign w:val="bottom"/>
          </w:tcPr>
          <w:p w14:paraId="384FAE8C" w14:textId="77777777" w:rsidR="009E6CB7" w:rsidRDefault="009E6CB7" w:rsidP="00B20551">
            <w:pPr>
              <w:spacing w:after="80"/>
            </w:pPr>
          </w:p>
        </w:tc>
        <w:tc>
          <w:tcPr>
            <w:tcW w:w="2268" w:type="dxa"/>
            <w:tcBorders>
              <w:bottom w:val="single" w:sz="4" w:space="0" w:color="auto"/>
            </w:tcBorders>
            <w:vAlign w:val="bottom"/>
          </w:tcPr>
          <w:p w14:paraId="63E81377"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93F9791" w14:textId="3E0552F7" w:rsidR="009E6CB7" w:rsidRPr="00D47EEA" w:rsidRDefault="00DD4B59" w:rsidP="00DD4B59">
            <w:pPr>
              <w:jc w:val="right"/>
            </w:pPr>
            <w:r w:rsidRPr="00DD4B59">
              <w:rPr>
                <w:sz w:val="40"/>
              </w:rPr>
              <w:t>ECE</w:t>
            </w:r>
            <w:r>
              <w:t>/TRANS/WP.29/GRSP/2026/3</w:t>
            </w:r>
          </w:p>
        </w:tc>
      </w:tr>
      <w:tr w:rsidR="009E6CB7" w14:paraId="57EEBFB0" w14:textId="77777777" w:rsidTr="00B20551">
        <w:trPr>
          <w:cantSplit/>
          <w:trHeight w:hRule="exact" w:val="2835"/>
        </w:trPr>
        <w:tc>
          <w:tcPr>
            <w:tcW w:w="1276" w:type="dxa"/>
            <w:tcBorders>
              <w:top w:val="single" w:sz="4" w:space="0" w:color="auto"/>
              <w:bottom w:val="single" w:sz="12" w:space="0" w:color="auto"/>
            </w:tcBorders>
          </w:tcPr>
          <w:p w14:paraId="497AF0D2" w14:textId="77777777" w:rsidR="009E6CB7" w:rsidRDefault="00686A48" w:rsidP="00B20551">
            <w:pPr>
              <w:spacing w:before="120"/>
            </w:pPr>
            <w:r>
              <w:rPr>
                <w:noProof/>
                <w:lang w:val="fr-CH" w:eastAsia="fr-CH"/>
              </w:rPr>
              <w:drawing>
                <wp:inline distT="0" distB="0" distL="0" distR="0" wp14:anchorId="1A5164B7" wp14:editId="3F918CA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C757E16"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484AF088" w14:textId="77777777" w:rsidR="009E6CB7" w:rsidRDefault="00DD4B59" w:rsidP="00DD4B59">
            <w:pPr>
              <w:spacing w:before="240" w:line="240" w:lineRule="exact"/>
            </w:pPr>
            <w:r>
              <w:t>Distr.: General</w:t>
            </w:r>
          </w:p>
          <w:p w14:paraId="1D05289C" w14:textId="4E17B8E2" w:rsidR="00DD4B59" w:rsidRDefault="00EA5778" w:rsidP="00DD4B59">
            <w:pPr>
              <w:spacing w:line="240" w:lineRule="exact"/>
            </w:pPr>
            <w:r>
              <w:t>19</w:t>
            </w:r>
            <w:r w:rsidR="00DD4B59">
              <w:t xml:space="preserve"> March 2026</w:t>
            </w:r>
          </w:p>
          <w:p w14:paraId="433E3E05" w14:textId="77777777" w:rsidR="00DD4B59" w:rsidRDefault="00DD4B59" w:rsidP="00DD4B59">
            <w:pPr>
              <w:spacing w:line="240" w:lineRule="exact"/>
            </w:pPr>
          </w:p>
          <w:p w14:paraId="1272C4A6" w14:textId="45DE0BF3" w:rsidR="00DD4B59" w:rsidRDefault="00DD4B59" w:rsidP="00DD4B59">
            <w:pPr>
              <w:spacing w:line="240" w:lineRule="exact"/>
            </w:pPr>
            <w:r>
              <w:t>Original: English</w:t>
            </w:r>
          </w:p>
        </w:tc>
      </w:tr>
    </w:tbl>
    <w:p w14:paraId="1F258E52" w14:textId="77777777" w:rsidR="000B1272" w:rsidRPr="00371D53" w:rsidRDefault="000B1272" w:rsidP="000B1272">
      <w:pPr>
        <w:spacing w:before="120"/>
        <w:rPr>
          <w:b/>
          <w:sz w:val="28"/>
          <w:szCs w:val="28"/>
        </w:rPr>
      </w:pPr>
      <w:r w:rsidRPr="00371D53">
        <w:rPr>
          <w:b/>
          <w:sz w:val="28"/>
          <w:szCs w:val="28"/>
        </w:rPr>
        <w:t>Economic Commission for Europe</w:t>
      </w:r>
    </w:p>
    <w:p w14:paraId="7ED192F6" w14:textId="77777777" w:rsidR="000B1272" w:rsidRPr="00371D53" w:rsidRDefault="000B1272" w:rsidP="000B1272">
      <w:pPr>
        <w:spacing w:before="120"/>
        <w:rPr>
          <w:sz w:val="28"/>
          <w:szCs w:val="28"/>
        </w:rPr>
      </w:pPr>
      <w:r w:rsidRPr="00371D53">
        <w:rPr>
          <w:sz w:val="28"/>
          <w:szCs w:val="28"/>
        </w:rPr>
        <w:t>Inland Transport Committee</w:t>
      </w:r>
    </w:p>
    <w:p w14:paraId="48FFE9E4" w14:textId="77777777" w:rsidR="000B1272" w:rsidRPr="00371D53" w:rsidRDefault="000B1272" w:rsidP="000B1272">
      <w:pPr>
        <w:spacing w:before="120"/>
        <w:rPr>
          <w:b/>
          <w:sz w:val="24"/>
          <w:szCs w:val="24"/>
        </w:rPr>
      </w:pPr>
      <w:r w:rsidRPr="00371D53">
        <w:rPr>
          <w:b/>
          <w:sz w:val="24"/>
          <w:szCs w:val="24"/>
        </w:rPr>
        <w:t>World Forum for Harmonization of Vehicle Regulations</w:t>
      </w:r>
    </w:p>
    <w:p w14:paraId="1CBCB9DB" w14:textId="77777777" w:rsidR="000B1272" w:rsidRPr="00371D53" w:rsidRDefault="000B1272" w:rsidP="000B1272">
      <w:pPr>
        <w:spacing w:before="120" w:after="120"/>
        <w:rPr>
          <w:b/>
          <w:bCs/>
        </w:rPr>
      </w:pPr>
      <w:r w:rsidRPr="00371D53">
        <w:rPr>
          <w:b/>
          <w:bCs/>
        </w:rPr>
        <w:t>Working Party on Passive Safety</w:t>
      </w:r>
    </w:p>
    <w:p w14:paraId="0F32BADD" w14:textId="77777777" w:rsidR="000B1272" w:rsidRPr="00DA76D1" w:rsidRDefault="000B1272" w:rsidP="000B1272">
      <w:pPr>
        <w:rPr>
          <w:b/>
        </w:rPr>
      </w:pPr>
      <w:r w:rsidRPr="00DA76D1">
        <w:rPr>
          <w:b/>
        </w:rPr>
        <w:t>Seventy-</w:t>
      </w:r>
      <w:r>
        <w:rPr>
          <w:b/>
        </w:rPr>
        <w:t>ninth</w:t>
      </w:r>
      <w:r w:rsidRPr="00DA76D1">
        <w:rPr>
          <w:b/>
        </w:rPr>
        <w:t xml:space="preserve"> session </w:t>
      </w:r>
    </w:p>
    <w:p w14:paraId="28375B85" w14:textId="77777777" w:rsidR="000B1272" w:rsidRPr="00DA76D1" w:rsidRDefault="000B1272" w:rsidP="000B1272">
      <w:pPr>
        <w:rPr>
          <w:bCs/>
        </w:rPr>
      </w:pPr>
      <w:r w:rsidRPr="00DA76D1">
        <w:rPr>
          <w:bCs/>
        </w:rPr>
        <w:t xml:space="preserve">Geneva, </w:t>
      </w:r>
      <w:r>
        <w:rPr>
          <w:bCs/>
        </w:rPr>
        <w:t>1</w:t>
      </w:r>
      <w:r w:rsidRPr="00DA76D1">
        <w:rPr>
          <w:bCs/>
        </w:rPr>
        <w:t>–</w:t>
      </w:r>
      <w:r>
        <w:rPr>
          <w:bCs/>
        </w:rPr>
        <w:t>5</w:t>
      </w:r>
      <w:r w:rsidRPr="00DA76D1">
        <w:rPr>
          <w:bCs/>
        </w:rPr>
        <w:t xml:space="preserve"> </w:t>
      </w:r>
      <w:r>
        <w:rPr>
          <w:bCs/>
        </w:rPr>
        <w:t xml:space="preserve">June </w:t>
      </w:r>
      <w:r w:rsidRPr="00DA76D1">
        <w:rPr>
          <w:bCs/>
        </w:rPr>
        <w:t>202</w:t>
      </w:r>
      <w:r>
        <w:rPr>
          <w:bCs/>
        </w:rPr>
        <w:t>6</w:t>
      </w:r>
    </w:p>
    <w:p w14:paraId="6EBECFBC" w14:textId="738DD433" w:rsidR="000B1272" w:rsidRPr="00371D53" w:rsidRDefault="000B1272" w:rsidP="000B1272">
      <w:pPr>
        <w:rPr>
          <w:bCs/>
        </w:rPr>
      </w:pPr>
      <w:r w:rsidRPr="00371D53">
        <w:rPr>
          <w:bCs/>
        </w:rPr>
        <w:t xml:space="preserve">Item </w:t>
      </w:r>
      <w:r w:rsidR="00600D27">
        <w:rPr>
          <w:bCs/>
        </w:rPr>
        <w:t>4</w:t>
      </w:r>
      <w:r w:rsidRPr="00371D53">
        <w:rPr>
          <w:bCs/>
        </w:rPr>
        <w:t xml:space="preserve"> of the provisional agenda</w:t>
      </w:r>
    </w:p>
    <w:p w14:paraId="29345802" w14:textId="7666C702" w:rsidR="000B1272" w:rsidRPr="00371D53" w:rsidRDefault="00600D27" w:rsidP="000B1272">
      <w:pPr>
        <w:rPr>
          <w:b/>
        </w:rPr>
      </w:pPr>
      <w:r w:rsidRPr="00600D27">
        <w:rPr>
          <w:b/>
        </w:rPr>
        <w:t>UN Global Technical Regulation No. 20 (Electric vehicle safety)</w:t>
      </w:r>
    </w:p>
    <w:p w14:paraId="5821102E" w14:textId="6D249C6E" w:rsidR="000B1272" w:rsidRPr="004D50F4" w:rsidRDefault="000B1272" w:rsidP="000B1272">
      <w:pPr>
        <w:pStyle w:val="HChG"/>
      </w:pPr>
      <w:r>
        <w:tab/>
      </w:r>
      <w:r>
        <w:tab/>
      </w:r>
      <w:r w:rsidRPr="004D50F4">
        <w:t xml:space="preserve">Proposal for </w:t>
      </w:r>
      <w:r w:rsidR="005A0320">
        <w:t>a f</w:t>
      </w:r>
      <w:r w:rsidR="005A0320" w:rsidRPr="005A0320">
        <w:t xml:space="preserve">inal </w:t>
      </w:r>
      <w:r w:rsidR="005A0320">
        <w:t>s</w:t>
      </w:r>
      <w:r w:rsidR="005A0320" w:rsidRPr="005A0320">
        <w:t xml:space="preserve">tatus </w:t>
      </w:r>
      <w:r w:rsidR="005A0320">
        <w:t>r</w:t>
      </w:r>
      <w:r w:rsidR="005A0320" w:rsidRPr="005A0320">
        <w:t xml:space="preserve">eport on the development of </w:t>
      </w:r>
      <w:r w:rsidR="005A0320">
        <w:t>a</w:t>
      </w:r>
      <w:r w:rsidR="005A0320" w:rsidRPr="005A0320">
        <w:t xml:space="preserve">mendment 1 to </w:t>
      </w:r>
      <w:r w:rsidR="005A0320">
        <w:t xml:space="preserve">UN </w:t>
      </w:r>
      <w:r w:rsidR="005A0320" w:rsidRPr="005A0320">
        <w:t xml:space="preserve">Global Technical Regulation No. 20 </w:t>
      </w:r>
      <w:r w:rsidR="008E0B21">
        <w:t>(</w:t>
      </w:r>
      <w:r w:rsidR="005A0320" w:rsidRPr="005A0320">
        <w:t xml:space="preserve">Electric </w:t>
      </w:r>
      <w:r w:rsidR="00B00540">
        <w:t>v</w:t>
      </w:r>
      <w:r w:rsidR="005A0320" w:rsidRPr="005A0320">
        <w:t xml:space="preserve">ehicle </w:t>
      </w:r>
      <w:r w:rsidR="00B00540">
        <w:t>s</w:t>
      </w:r>
      <w:r w:rsidR="005A0320" w:rsidRPr="005A0320">
        <w:t>afety)</w:t>
      </w:r>
    </w:p>
    <w:p w14:paraId="07768B2F" w14:textId="35130410" w:rsidR="000B1272" w:rsidRPr="004D50F4" w:rsidRDefault="000B1272" w:rsidP="000B1272">
      <w:pPr>
        <w:pStyle w:val="H1G"/>
        <w:rPr>
          <w:sz w:val="20"/>
        </w:rPr>
      </w:pPr>
      <w:r w:rsidRPr="004D50F4">
        <w:tab/>
      </w:r>
      <w:r w:rsidRPr="004D50F4">
        <w:tab/>
        <w:t xml:space="preserve">Submitted by </w:t>
      </w:r>
      <w:r w:rsidR="00337F99">
        <w:t xml:space="preserve">the </w:t>
      </w:r>
      <w:r w:rsidR="008E0B21">
        <w:t xml:space="preserve">expert from the European Commission on behalf of the </w:t>
      </w:r>
      <w:r w:rsidR="009260E7" w:rsidRPr="009260E7">
        <w:t>Informal Working Group on Electric Vehicle Safety (IWG-EVS)</w:t>
      </w:r>
      <w:r w:rsidRPr="004D50F4">
        <w:rPr>
          <w:spacing w:val="-4"/>
        </w:rPr>
        <w:t xml:space="preserve"> </w:t>
      </w:r>
      <w:r w:rsidRPr="004D50F4">
        <w:rPr>
          <w:rStyle w:val="FootnoteReference"/>
          <w:sz w:val="20"/>
          <w:vertAlign w:val="baseline"/>
        </w:rPr>
        <w:footnoteReference w:customMarkFollows="1" w:id="2"/>
        <w:t>*</w:t>
      </w:r>
    </w:p>
    <w:p w14:paraId="2CB79F5A" w14:textId="29F25CA4" w:rsidR="00D310C4" w:rsidRPr="006956AB" w:rsidRDefault="00D310C4" w:rsidP="00D310C4">
      <w:pPr>
        <w:pStyle w:val="SingleTxtG"/>
        <w:rPr>
          <w:lang w:eastAsia="nl-BE"/>
        </w:rPr>
      </w:pPr>
      <w:r w:rsidRPr="006956AB">
        <w:rPr>
          <w:lang w:eastAsia="nl-BE"/>
        </w:rPr>
        <w:t>1.</w:t>
      </w:r>
      <w:r w:rsidRPr="006956AB">
        <w:rPr>
          <w:lang w:eastAsia="nl-BE"/>
        </w:rPr>
        <w:tab/>
        <w:t xml:space="preserve">The </w:t>
      </w:r>
      <w:r w:rsidR="00601D64" w:rsidRPr="00601D64">
        <w:rPr>
          <w:lang w:eastAsia="nl-BE"/>
        </w:rPr>
        <w:t>Global Technical Regulation on the Electric Vehicle Safety (EVS)</w:t>
      </w:r>
      <w:r w:rsidRPr="006956AB">
        <w:rPr>
          <w:lang w:eastAsia="nl-BE"/>
        </w:rPr>
        <w:t xml:space="preserve"> is </w:t>
      </w:r>
      <w:r w:rsidR="005856A5">
        <w:rPr>
          <w:lang w:eastAsia="nl-BE"/>
        </w:rPr>
        <w:t>the</w:t>
      </w:r>
      <w:r w:rsidRPr="006956AB">
        <w:rPr>
          <w:lang w:eastAsia="nl-BE"/>
        </w:rPr>
        <w:t xml:space="preserve"> result of numerous meetings and the excellent cooperation between the governments of Canada, China, Japan, Republic of Korea, the United States of America, and the European Union including standards organizations, testing authorities and industry experts. In 2012, the World Forum for Harmonization of Vehicle Regulations (WP.29) and the Executive Committee of the 1998 Agreement (AC.3), adopted a joint proposal by China, the European Union, Japan and the United States of America to establish two Informal Working Groups (IWG) to address the safety and environmental issues associated with electric vehicles. </w:t>
      </w:r>
    </w:p>
    <w:p w14:paraId="1B6911D2" w14:textId="46D3E75D" w:rsidR="00D310C4" w:rsidRPr="006956AB" w:rsidRDefault="00D310C4" w:rsidP="00D310C4">
      <w:pPr>
        <w:pStyle w:val="SingleTxtG"/>
        <w:rPr>
          <w:lang w:eastAsia="nl-BE"/>
        </w:rPr>
      </w:pPr>
      <w:r w:rsidRPr="006956AB">
        <w:rPr>
          <w:lang w:eastAsia="nl-BE"/>
        </w:rPr>
        <w:t>2.</w:t>
      </w:r>
      <w:r w:rsidRPr="006956AB">
        <w:rPr>
          <w:lang w:eastAsia="nl-BE"/>
        </w:rPr>
        <w:tab/>
        <w:t xml:space="preserve">The objective of the two </w:t>
      </w:r>
      <w:r w:rsidR="00FA113F">
        <w:rPr>
          <w:lang w:eastAsia="nl-BE"/>
        </w:rPr>
        <w:t xml:space="preserve">formed </w:t>
      </w:r>
      <w:r w:rsidRPr="006956AB">
        <w:rPr>
          <w:lang w:eastAsia="nl-BE"/>
        </w:rPr>
        <w:t xml:space="preserve">working groups </w:t>
      </w:r>
      <w:r w:rsidR="00930A7C" w:rsidRPr="00930A7C">
        <w:rPr>
          <w:lang w:eastAsia="nl-BE"/>
        </w:rPr>
        <w:t>– on electric vehicle safety (IWG</w:t>
      </w:r>
      <w:r w:rsidR="00930A7C">
        <w:rPr>
          <w:lang w:eastAsia="nl-BE"/>
        </w:rPr>
        <w:t>-</w:t>
      </w:r>
      <w:r w:rsidR="00930A7C" w:rsidRPr="00930A7C">
        <w:rPr>
          <w:lang w:eastAsia="nl-BE"/>
        </w:rPr>
        <w:t xml:space="preserve">EVS) and </w:t>
      </w:r>
      <w:r w:rsidR="00930A7C">
        <w:rPr>
          <w:lang w:eastAsia="nl-BE"/>
        </w:rPr>
        <w:t xml:space="preserve">on </w:t>
      </w:r>
      <w:r w:rsidR="00930A7C" w:rsidRPr="00930A7C">
        <w:rPr>
          <w:lang w:eastAsia="nl-BE"/>
        </w:rPr>
        <w:t>electric vehicles and the environment (IWG</w:t>
      </w:r>
      <w:r w:rsidR="00930A7C">
        <w:rPr>
          <w:lang w:eastAsia="nl-BE"/>
        </w:rPr>
        <w:t>-</w:t>
      </w:r>
      <w:r w:rsidR="00930A7C" w:rsidRPr="00930A7C">
        <w:rPr>
          <w:lang w:eastAsia="nl-BE"/>
        </w:rPr>
        <w:t>EVE) –</w:t>
      </w:r>
      <w:r w:rsidR="00930A7C">
        <w:rPr>
          <w:lang w:eastAsia="nl-BE"/>
        </w:rPr>
        <w:t xml:space="preserve"> </w:t>
      </w:r>
      <w:r w:rsidRPr="006956AB">
        <w:rPr>
          <w:lang w:eastAsia="nl-BE"/>
        </w:rPr>
        <w:t xml:space="preserve">was to seek regulatory convergence on the global scale via the work in the framework of the 1998 Agreement. </w:t>
      </w:r>
      <w:r w:rsidR="00CD6586">
        <w:rPr>
          <w:lang w:eastAsia="nl-BE"/>
        </w:rPr>
        <w:t>IWG-EVS</w:t>
      </w:r>
      <w:r w:rsidRPr="006956AB">
        <w:rPr>
          <w:lang w:eastAsia="nl-BE"/>
        </w:rPr>
        <w:t xml:space="preserve"> was established to develop provisions to address the safety of electric vehicles during in-use and post-crash of electric vehicles using science-based, data driven and performance-based approach. </w:t>
      </w:r>
      <w:r w:rsidR="00CD6586">
        <w:rPr>
          <w:lang w:eastAsia="nl-BE"/>
        </w:rPr>
        <w:t>IWG-EVS</w:t>
      </w:r>
      <w:r w:rsidRPr="006956AB">
        <w:rPr>
          <w:lang w:eastAsia="nl-BE"/>
        </w:rPr>
        <w:t xml:space="preserve"> conducted numerous meetings and necessary research and testing to complete the first phase of the efforts which resulted in the adoption of UN </w:t>
      </w:r>
      <w:r w:rsidR="00F90062" w:rsidRPr="005A0320">
        <w:t>Global Technical Regulation</w:t>
      </w:r>
      <w:r w:rsidR="00F90062" w:rsidRPr="006956AB">
        <w:rPr>
          <w:lang w:eastAsia="nl-BE"/>
        </w:rPr>
        <w:t xml:space="preserve"> </w:t>
      </w:r>
      <w:r w:rsidR="00F90062">
        <w:rPr>
          <w:lang w:eastAsia="nl-BE"/>
        </w:rPr>
        <w:t>(</w:t>
      </w:r>
      <w:r w:rsidRPr="006956AB">
        <w:rPr>
          <w:lang w:eastAsia="nl-BE"/>
        </w:rPr>
        <w:t>GTR</w:t>
      </w:r>
      <w:r w:rsidR="00F90062">
        <w:rPr>
          <w:lang w:eastAsia="nl-BE"/>
        </w:rPr>
        <w:t>)</w:t>
      </w:r>
      <w:r w:rsidRPr="006956AB">
        <w:rPr>
          <w:lang w:eastAsia="nl-BE"/>
        </w:rPr>
        <w:t xml:space="preserve"> No. 20.</w:t>
      </w:r>
    </w:p>
    <w:p w14:paraId="28DD5BC4" w14:textId="11343021" w:rsidR="00D310C4" w:rsidRPr="006956AB" w:rsidRDefault="00D310C4" w:rsidP="00D310C4">
      <w:pPr>
        <w:pStyle w:val="SingleTxtG"/>
        <w:rPr>
          <w:lang w:eastAsia="nl-BE"/>
        </w:rPr>
      </w:pPr>
      <w:r w:rsidRPr="006956AB">
        <w:rPr>
          <w:lang w:eastAsia="nl-BE"/>
        </w:rPr>
        <w:t>3.</w:t>
      </w:r>
      <w:r w:rsidRPr="006956AB">
        <w:rPr>
          <w:lang w:eastAsia="nl-BE"/>
        </w:rPr>
        <w:tab/>
        <w:t>In November 2017, the Executive Committee of the 1998 Agreement (AC.3) endorsed the Authorization to develop Phase 2 of UN GTR</w:t>
      </w:r>
      <w:r>
        <w:rPr>
          <w:lang w:eastAsia="nl-BE"/>
        </w:rPr>
        <w:t xml:space="preserve"> </w:t>
      </w:r>
      <w:r w:rsidRPr="006956AB">
        <w:rPr>
          <w:lang w:eastAsia="nl-BE"/>
        </w:rPr>
        <w:t xml:space="preserve">No.20 (ECE/TRANS/WP.29/AC.3/50) submitted by the representatives of China, Japan, the United States of America and the </w:t>
      </w:r>
      <w:r w:rsidRPr="006956AB">
        <w:rPr>
          <w:lang w:eastAsia="nl-BE"/>
        </w:rPr>
        <w:lastRenderedPageBreak/>
        <w:t xml:space="preserve">European Union. During Phase 2, the mandate of </w:t>
      </w:r>
      <w:r w:rsidR="009E3745">
        <w:rPr>
          <w:lang w:eastAsia="nl-BE"/>
        </w:rPr>
        <w:t>IWG-EVS</w:t>
      </w:r>
      <w:r w:rsidRPr="006956AB">
        <w:rPr>
          <w:lang w:eastAsia="nl-BE"/>
        </w:rPr>
        <w:t xml:space="preserve"> </w:t>
      </w:r>
      <w:r w:rsidR="009E3745">
        <w:rPr>
          <w:lang w:eastAsia="nl-BE"/>
        </w:rPr>
        <w:t>was</w:t>
      </w:r>
      <w:r w:rsidRPr="006956AB">
        <w:rPr>
          <w:lang w:eastAsia="nl-BE"/>
        </w:rPr>
        <w:t xml:space="preserve"> extended several times, namely in November 2021, November 2022, March 2024 and March 2025.</w:t>
      </w:r>
    </w:p>
    <w:p w14:paraId="4F1623B4" w14:textId="77777777" w:rsidR="00D310C4" w:rsidRPr="006956AB" w:rsidRDefault="00D310C4" w:rsidP="00D310C4">
      <w:pPr>
        <w:pStyle w:val="SingleTxtG"/>
        <w:rPr>
          <w:lang w:eastAsia="nl-BE"/>
        </w:rPr>
      </w:pPr>
      <w:r w:rsidRPr="006956AB">
        <w:rPr>
          <w:lang w:eastAsia="nl-BE"/>
        </w:rPr>
        <w:t>4.</w:t>
      </w:r>
      <w:r w:rsidRPr="006956AB">
        <w:rPr>
          <w:lang w:eastAsia="nl-BE"/>
        </w:rPr>
        <w:tab/>
        <w:t>The following topics were listed as the scope of work in Phase 2:</w:t>
      </w:r>
    </w:p>
    <w:p w14:paraId="1F647E65" w14:textId="77777777" w:rsidR="00D310C4" w:rsidRPr="006956AB" w:rsidRDefault="00D310C4" w:rsidP="00E37A70">
      <w:pPr>
        <w:pStyle w:val="SingleTxtG"/>
        <w:tabs>
          <w:tab w:val="clear" w:pos="1701"/>
          <w:tab w:val="clear" w:pos="2268"/>
          <w:tab w:val="clear" w:pos="2835"/>
        </w:tabs>
        <w:ind w:left="2268" w:hanging="567"/>
        <w:rPr>
          <w:lang w:eastAsia="nl-BE"/>
        </w:rPr>
      </w:pPr>
      <w:r w:rsidRPr="006956AB">
        <w:rPr>
          <w:lang w:eastAsia="nl-BE"/>
        </w:rPr>
        <w:t>(a)</w:t>
      </w:r>
      <w:r w:rsidRPr="006956AB">
        <w:rPr>
          <w:lang w:eastAsia="nl-BE"/>
        </w:rPr>
        <w:tab/>
        <w:t>Water immersion test;</w:t>
      </w:r>
    </w:p>
    <w:p w14:paraId="6D519F89" w14:textId="77777777" w:rsidR="00D310C4" w:rsidRPr="006956AB" w:rsidRDefault="00D310C4" w:rsidP="00E37A70">
      <w:pPr>
        <w:pStyle w:val="SingleTxtG"/>
        <w:tabs>
          <w:tab w:val="clear" w:pos="1701"/>
          <w:tab w:val="clear" w:pos="2268"/>
          <w:tab w:val="clear" w:pos="2835"/>
        </w:tabs>
        <w:ind w:left="2268" w:hanging="567"/>
        <w:rPr>
          <w:lang w:eastAsia="nl-BE"/>
        </w:rPr>
      </w:pPr>
      <w:r w:rsidRPr="006956AB">
        <w:rPr>
          <w:lang w:eastAsia="nl-BE"/>
        </w:rPr>
        <w:t>(b)</w:t>
      </w:r>
      <w:r w:rsidRPr="006956AB">
        <w:rPr>
          <w:lang w:eastAsia="nl-BE"/>
        </w:rPr>
        <w:tab/>
        <w:t>Long-term fire resistance test;</w:t>
      </w:r>
    </w:p>
    <w:p w14:paraId="6F624979" w14:textId="77777777" w:rsidR="00D310C4" w:rsidRPr="006956AB" w:rsidRDefault="00D310C4" w:rsidP="00E37A70">
      <w:pPr>
        <w:pStyle w:val="SingleTxtG"/>
        <w:tabs>
          <w:tab w:val="clear" w:pos="1701"/>
          <w:tab w:val="clear" w:pos="2268"/>
          <w:tab w:val="clear" w:pos="2835"/>
        </w:tabs>
        <w:ind w:left="2268" w:hanging="567"/>
        <w:rPr>
          <w:lang w:eastAsia="nl-BE"/>
        </w:rPr>
      </w:pPr>
      <w:r w:rsidRPr="006956AB">
        <w:rPr>
          <w:lang w:eastAsia="nl-BE"/>
        </w:rPr>
        <w:t>(c)</w:t>
      </w:r>
      <w:r w:rsidRPr="006956AB">
        <w:rPr>
          <w:lang w:eastAsia="nl-BE"/>
        </w:rPr>
        <w:tab/>
        <w:t>Rechargeable Electrical Energy Storage System (REESS) rotation test;</w:t>
      </w:r>
    </w:p>
    <w:p w14:paraId="28A986CB" w14:textId="77777777" w:rsidR="00D310C4" w:rsidRPr="006956AB" w:rsidRDefault="00D310C4" w:rsidP="00E37A70">
      <w:pPr>
        <w:pStyle w:val="SingleTxtG"/>
        <w:tabs>
          <w:tab w:val="clear" w:pos="1701"/>
          <w:tab w:val="clear" w:pos="2268"/>
          <w:tab w:val="clear" w:pos="2835"/>
        </w:tabs>
        <w:ind w:left="2268" w:hanging="567"/>
        <w:rPr>
          <w:lang w:eastAsia="nl-BE"/>
        </w:rPr>
      </w:pPr>
      <w:r w:rsidRPr="006956AB">
        <w:rPr>
          <w:lang w:eastAsia="nl-BE"/>
        </w:rPr>
        <w:t>(d)</w:t>
      </w:r>
      <w:r w:rsidRPr="006956AB">
        <w:rPr>
          <w:lang w:eastAsia="nl-BE"/>
        </w:rPr>
        <w:tab/>
        <w:t>REESS vibration profile;</w:t>
      </w:r>
    </w:p>
    <w:p w14:paraId="0AA4D983" w14:textId="77777777" w:rsidR="00D310C4" w:rsidRPr="006956AB" w:rsidRDefault="00D310C4" w:rsidP="00E37A70">
      <w:pPr>
        <w:pStyle w:val="SingleTxtG"/>
        <w:tabs>
          <w:tab w:val="clear" w:pos="1701"/>
          <w:tab w:val="clear" w:pos="2268"/>
          <w:tab w:val="clear" w:pos="2835"/>
        </w:tabs>
        <w:ind w:left="2268" w:hanging="567"/>
        <w:rPr>
          <w:lang w:eastAsia="nl-BE"/>
        </w:rPr>
      </w:pPr>
      <w:r w:rsidRPr="006956AB">
        <w:rPr>
          <w:lang w:eastAsia="nl-BE"/>
        </w:rPr>
        <w:t>(e)</w:t>
      </w:r>
      <w:r w:rsidRPr="006956AB">
        <w:rPr>
          <w:lang w:eastAsia="nl-BE"/>
        </w:rPr>
        <w:tab/>
        <w:t>Flammability, toxicity and corrosiveness of vented gas (i.e. quantification of venting for tests addressing safety of REESS post-crash, potential risk of "toxic gases" from non-aqueous electrolyte);</w:t>
      </w:r>
    </w:p>
    <w:p w14:paraId="7139402B" w14:textId="77777777" w:rsidR="00D310C4" w:rsidRPr="006956AB" w:rsidRDefault="00D310C4" w:rsidP="00E37A70">
      <w:pPr>
        <w:pStyle w:val="SingleTxtG"/>
        <w:tabs>
          <w:tab w:val="clear" w:pos="1701"/>
          <w:tab w:val="clear" w:pos="2268"/>
          <w:tab w:val="clear" w:pos="2835"/>
        </w:tabs>
        <w:ind w:left="2268" w:hanging="567"/>
        <w:rPr>
          <w:lang w:eastAsia="nl-BE"/>
        </w:rPr>
      </w:pPr>
      <w:r w:rsidRPr="006956AB">
        <w:rPr>
          <w:lang w:eastAsia="nl-BE"/>
        </w:rPr>
        <w:t>(f)</w:t>
      </w:r>
      <w:r w:rsidRPr="006956AB">
        <w:rPr>
          <w:lang w:eastAsia="nl-BE"/>
        </w:rPr>
        <w:tab/>
        <w:t>Thermal propagation and methods of initiation in the battery system;</w:t>
      </w:r>
    </w:p>
    <w:p w14:paraId="3C5F99B2" w14:textId="77777777" w:rsidR="00D310C4" w:rsidRPr="006956AB" w:rsidRDefault="00D310C4" w:rsidP="00E37A70">
      <w:pPr>
        <w:pStyle w:val="SingleTxtG"/>
        <w:tabs>
          <w:tab w:val="clear" w:pos="1701"/>
          <w:tab w:val="clear" w:pos="2268"/>
          <w:tab w:val="clear" w:pos="2835"/>
        </w:tabs>
        <w:ind w:left="2268" w:hanging="567"/>
        <w:rPr>
          <w:lang w:eastAsia="nl-BE"/>
        </w:rPr>
      </w:pPr>
      <w:r w:rsidRPr="006956AB">
        <w:rPr>
          <w:lang w:eastAsia="nl-BE"/>
        </w:rPr>
        <w:t>(g)</w:t>
      </w:r>
      <w:r w:rsidRPr="006956AB">
        <w:rPr>
          <w:lang w:eastAsia="nl-BE"/>
        </w:rPr>
        <w:tab/>
        <w:t xml:space="preserve">Post-crash REESS safety assessment and stabilization procedures; </w:t>
      </w:r>
    </w:p>
    <w:p w14:paraId="3A98270B" w14:textId="664641FB" w:rsidR="00D310C4" w:rsidRPr="006956AB" w:rsidRDefault="00D310C4" w:rsidP="00E37A70">
      <w:pPr>
        <w:pStyle w:val="SingleTxtG"/>
        <w:tabs>
          <w:tab w:val="clear" w:pos="1701"/>
          <w:tab w:val="clear" w:pos="2268"/>
          <w:tab w:val="clear" w:pos="2835"/>
        </w:tabs>
        <w:ind w:left="2268" w:hanging="567"/>
        <w:rPr>
          <w:lang w:eastAsia="nl-BE"/>
        </w:rPr>
      </w:pPr>
      <w:r w:rsidRPr="006956AB">
        <w:rPr>
          <w:lang w:eastAsia="nl-BE"/>
        </w:rPr>
        <w:t>(h)</w:t>
      </w:r>
      <w:r w:rsidRPr="006956AB">
        <w:rPr>
          <w:lang w:eastAsia="nl-BE"/>
        </w:rPr>
        <w:tab/>
        <w:t>Light electric vehicles (e.g. categories L</w:t>
      </w:r>
      <w:r w:rsidRPr="00DB5732">
        <w:rPr>
          <w:vertAlign w:val="subscript"/>
          <w:lang w:eastAsia="nl-BE"/>
        </w:rPr>
        <w:t>6</w:t>
      </w:r>
      <w:r w:rsidRPr="006956AB">
        <w:rPr>
          <w:lang w:eastAsia="nl-BE"/>
        </w:rPr>
        <w:t xml:space="preserve"> and L</w:t>
      </w:r>
      <w:r w:rsidRPr="00DB5732">
        <w:rPr>
          <w:vertAlign w:val="subscript"/>
          <w:lang w:eastAsia="nl-BE"/>
        </w:rPr>
        <w:t>7</w:t>
      </w:r>
      <w:r w:rsidR="00DF32C7">
        <w:rPr>
          <w:rStyle w:val="FootnoteReference"/>
          <w:lang w:eastAsia="nl-BE"/>
        </w:rPr>
        <w:footnoteReference w:id="3"/>
      </w:r>
      <w:r w:rsidRPr="006956AB">
        <w:rPr>
          <w:lang w:eastAsia="nl-BE"/>
        </w:rPr>
        <w:t>, low speed vehicles);</w:t>
      </w:r>
    </w:p>
    <w:p w14:paraId="7A1EA19E" w14:textId="1B77CEEC" w:rsidR="00D310C4" w:rsidRPr="006956AB" w:rsidRDefault="00D310C4" w:rsidP="00E37A70">
      <w:pPr>
        <w:pStyle w:val="SingleTxtG"/>
        <w:tabs>
          <w:tab w:val="clear" w:pos="1701"/>
          <w:tab w:val="clear" w:pos="2268"/>
          <w:tab w:val="clear" w:pos="2835"/>
        </w:tabs>
        <w:ind w:left="2268" w:hanging="567"/>
        <w:rPr>
          <w:lang w:eastAsia="nl-BE"/>
        </w:rPr>
      </w:pPr>
      <w:r w:rsidRPr="006956AB">
        <w:rPr>
          <w:lang w:eastAsia="nl-BE"/>
        </w:rPr>
        <w:t>(i)</w:t>
      </w:r>
      <w:r w:rsidRPr="006956AB">
        <w:rPr>
          <w:lang w:eastAsia="nl-BE"/>
        </w:rPr>
        <w:tab/>
        <w:t xml:space="preserve">Protection during Alternating Current and Direct Current charging and feeding process; </w:t>
      </w:r>
      <w:r w:rsidR="00A86CB8">
        <w:rPr>
          <w:lang w:eastAsia="nl-BE"/>
        </w:rPr>
        <w:t>and</w:t>
      </w:r>
    </w:p>
    <w:p w14:paraId="042B1553" w14:textId="77777777" w:rsidR="00D310C4" w:rsidRPr="00BF0CC5" w:rsidRDefault="00D310C4" w:rsidP="00E37A70">
      <w:pPr>
        <w:pStyle w:val="SingleTxtG"/>
        <w:tabs>
          <w:tab w:val="clear" w:pos="1701"/>
          <w:tab w:val="clear" w:pos="2268"/>
          <w:tab w:val="clear" w:pos="2835"/>
        </w:tabs>
        <w:ind w:left="2268" w:hanging="567"/>
        <w:rPr>
          <w:lang w:eastAsia="nl-BE"/>
        </w:rPr>
      </w:pPr>
      <w:r w:rsidRPr="00BF0CC5">
        <w:rPr>
          <w:lang w:eastAsia="nl-BE"/>
        </w:rPr>
        <w:t>(j)</w:t>
      </w:r>
      <w:r w:rsidRPr="00BF0CC5">
        <w:rPr>
          <w:lang w:eastAsia="nl-BE"/>
        </w:rPr>
        <w:tab/>
        <w:t>Overcurrent requirements plus tests (component based).</w:t>
      </w:r>
    </w:p>
    <w:p w14:paraId="03DDCC6D" w14:textId="366BE330" w:rsidR="00D310C4" w:rsidRPr="00BF0CC5" w:rsidRDefault="00D310C4" w:rsidP="00D310C4">
      <w:pPr>
        <w:pStyle w:val="SingleTxtG"/>
        <w:rPr>
          <w:lang w:eastAsia="ja-JP"/>
        </w:rPr>
      </w:pPr>
      <w:r w:rsidRPr="00BF0CC5">
        <w:rPr>
          <w:lang w:eastAsia="nl-BE"/>
        </w:rPr>
        <w:t>5.</w:t>
      </w:r>
      <w:r w:rsidRPr="00BF0CC5">
        <w:rPr>
          <w:lang w:eastAsia="nl-BE"/>
        </w:rPr>
        <w:tab/>
      </w:r>
      <w:r w:rsidRPr="00BF0CC5">
        <w:rPr>
          <w:lang w:eastAsia="ja-JP"/>
        </w:rPr>
        <w:t>As a result of extensive discussions on these topics, the informal working group agreed to maintain existing contents of the regulatory text of UN GTR No.</w:t>
      </w:r>
      <w:r w:rsidR="00020C0F">
        <w:rPr>
          <w:lang w:eastAsia="ja-JP"/>
        </w:rPr>
        <w:t xml:space="preserve"> </w:t>
      </w:r>
      <w:r w:rsidRPr="00BF0CC5">
        <w:rPr>
          <w:lang w:eastAsia="ja-JP"/>
        </w:rPr>
        <w:t xml:space="preserve">20, except for thermal propagation. The </w:t>
      </w:r>
      <w:r>
        <w:rPr>
          <w:lang w:eastAsia="ja-JP"/>
        </w:rPr>
        <w:t>“</w:t>
      </w:r>
      <w:r w:rsidRPr="00BF0CC5">
        <w:rPr>
          <w:lang w:eastAsia="ja-JP"/>
        </w:rPr>
        <w:t>Statement of technical rationale and justification</w:t>
      </w:r>
      <w:r>
        <w:rPr>
          <w:lang w:eastAsia="ja-JP"/>
        </w:rPr>
        <w:t xml:space="preserve">” section of </w:t>
      </w:r>
      <w:r w:rsidRPr="00BF0CC5">
        <w:rPr>
          <w:lang w:eastAsia="ja-JP"/>
        </w:rPr>
        <w:t xml:space="preserve">Amendment 1 to UN GTR </w:t>
      </w:r>
      <w:r w:rsidRPr="00BF0CC5">
        <w:rPr>
          <w:lang w:eastAsia="nl-BE"/>
        </w:rPr>
        <w:t xml:space="preserve">No. 20 </w:t>
      </w:r>
      <w:r w:rsidRPr="00BF0CC5">
        <w:rPr>
          <w:lang w:eastAsia="ja-JP"/>
        </w:rPr>
        <w:t xml:space="preserve">provides a concise account of discussions and conclusions for each of these topics </w:t>
      </w:r>
      <w:r>
        <w:rPr>
          <w:lang w:eastAsia="ja-JP"/>
        </w:rPr>
        <w:t>considered during</w:t>
      </w:r>
      <w:r w:rsidRPr="00BF0CC5">
        <w:rPr>
          <w:lang w:eastAsia="ja-JP"/>
        </w:rPr>
        <w:t xml:space="preserve"> Phase 2.</w:t>
      </w:r>
    </w:p>
    <w:p w14:paraId="6EF818B5" w14:textId="2F39E707" w:rsidR="00D310C4" w:rsidRPr="006956AB" w:rsidRDefault="00D310C4" w:rsidP="00D310C4">
      <w:pPr>
        <w:pStyle w:val="SingleTxtG"/>
        <w:rPr>
          <w:lang w:eastAsia="nl-BE"/>
        </w:rPr>
      </w:pPr>
      <w:r>
        <w:rPr>
          <w:lang w:eastAsia="nl-BE"/>
        </w:rPr>
        <w:t>6.</w:t>
      </w:r>
      <w:r>
        <w:rPr>
          <w:lang w:eastAsia="nl-BE"/>
        </w:rPr>
        <w:tab/>
      </w:r>
      <w:r w:rsidRPr="006956AB">
        <w:rPr>
          <w:lang w:eastAsia="nl-BE"/>
        </w:rPr>
        <w:t xml:space="preserve">Phase 2 efforts and discussions focused primarily on single-cell thermal runaway and propagation due to an internal short-circuit. Canada, China, France, Germany, Japan, Republic of Korea, Netherland (the Kingdom of), the United Kingdom of Great Britain and Northern Ireland, the United States of America, the European Union and OICA shared progress in thermal propagation research and field data. In October 2021, the informal working group established the thermal propagation task force, led by China, Japan, and Canada, and a thermal propagation documentation sub-group, led by the </w:t>
      </w:r>
      <w:r w:rsidR="004F2078" w:rsidRPr="006956AB">
        <w:rPr>
          <w:lang w:eastAsia="nl-BE"/>
        </w:rPr>
        <w:t>United States of America</w:t>
      </w:r>
      <w:r w:rsidRPr="006956AB">
        <w:rPr>
          <w:lang w:eastAsia="nl-BE"/>
        </w:rPr>
        <w:t>. Between 2023 and 2024, the work of the Ad-hoc Special Interest Group on model regulation regarding the safety of electric vehicles with a focus on a thermal propagation test method, also laid an important foundation for the development of Phase 2 of the regulation.</w:t>
      </w:r>
    </w:p>
    <w:p w14:paraId="3ED8D0EA" w14:textId="38685B89" w:rsidR="00D310C4" w:rsidRPr="006956AB" w:rsidRDefault="00D310C4" w:rsidP="00D310C4">
      <w:pPr>
        <w:pStyle w:val="SingleTxtG"/>
        <w:rPr>
          <w:lang w:eastAsia="nl-BE"/>
        </w:rPr>
      </w:pPr>
      <w:r>
        <w:rPr>
          <w:lang w:eastAsia="nl-BE"/>
        </w:rPr>
        <w:t>7</w:t>
      </w:r>
      <w:r w:rsidRPr="006956AB">
        <w:rPr>
          <w:lang w:eastAsia="nl-BE"/>
        </w:rPr>
        <w:t>.</w:t>
      </w:r>
      <w:r w:rsidRPr="006956AB">
        <w:rPr>
          <w:lang w:eastAsia="nl-BE"/>
        </w:rPr>
        <w:tab/>
        <w:t xml:space="preserve">Since several Contracting Parties </w:t>
      </w:r>
      <w:r w:rsidR="00D6095E">
        <w:rPr>
          <w:lang w:eastAsia="nl-BE"/>
        </w:rPr>
        <w:t xml:space="preserve">had </w:t>
      </w:r>
      <w:r w:rsidRPr="006956AB">
        <w:rPr>
          <w:lang w:eastAsia="nl-BE"/>
        </w:rPr>
        <w:t xml:space="preserve">already adopted national requirements on thermal propagation, the IWG agreed to formulate Phase 2 regulatory </w:t>
      </w:r>
      <w:r w:rsidRPr="00F845CF">
        <w:rPr>
          <w:lang w:eastAsia="nl-BE"/>
        </w:rPr>
        <w:t xml:space="preserve">text </w:t>
      </w:r>
      <w:r w:rsidRPr="006956AB">
        <w:rPr>
          <w:lang w:eastAsia="nl-BE"/>
        </w:rPr>
        <w:t>by capturing the minimum common elements between Contracting Party positions and approaches, and in a manner that would not require any changes to the recently published regulatory documents.</w:t>
      </w:r>
    </w:p>
    <w:p w14:paraId="1ED36FE9" w14:textId="3599FF3F" w:rsidR="00D310C4" w:rsidRPr="006956AB" w:rsidRDefault="00D310C4" w:rsidP="00D310C4">
      <w:pPr>
        <w:pStyle w:val="SingleTxtG"/>
        <w:rPr>
          <w:lang w:eastAsia="nl-BE"/>
        </w:rPr>
      </w:pPr>
      <w:r>
        <w:rPr>
          <w:lang w:eastAsia="nl-BE"/>
        </w:rPr>
        <w:t>8</w:t>
      </w:r>
      <w:r w:rsidRPr="006956AB">
        <w:rPr>
          <w:lang w:eastAsia="nl-BE"/>
        </w:rPr>
        <w:t>.</w:t>
      </w:r>
      <w:r w:rsidRPr="006956AB">
        <w:rPr>
          <w:lang w:eastAsia="nl-BE"/>
        </w:rPr>
        <w:tab/>
        <w:t>As a result, two compliance paths were further developed by the IWG over the course of Phase 2. The first safety path was a physical test of vehicles or REESS and the second safety path was the risk management approach. For Contracting Parties electing to incorporate the test approach in their respective jurisdictions, there are 5 initiation methods. For Contracting Parties electing to pursue a risk management approach (RMA), the intent was to (</w:t>
      </w:r>
      <w:r w:rsidR="00643611">
        <w:rPr>
          <w:lang w:eastAsia="nl-BE"/>
        </w:rPr>
        <w:t>a</w:t>
      </w:r>
      <w:r w:rsidRPr="006956AB">
        <w:rPr>
          <w:lang w:eastAsia="nl-BE"/>
        </w:rPr>
        <w:t>) document the known risk to vehicle occupants caused by thermal propagation which is triggered by an internal short-circuit leading to single cell thermal runaway, and (</w:t>
      </w:r>
      <w:r w:rsidR="00643611">
        <w:rPr>
          <w:lang w:eastAsia="nl-BE"/>
        </w:rPr>
        <w:t>b</w:t>
      </w:r>
      <w:r w:rsidRPr="006956AB">
        <w:rPr>
          <w:lang w:eastAsia="nl-BE"/>
        </w:rPr>
        <w:t>) document the reduction of risk resulting from implementation of the identified risk mitigation functions or characteristics at the cell, REESS, or vehicle level.</w:t>
      </w:r>
    </w:p>
    <w:p w14:paraId="3078FB63" w14:textId="63C7B302" w:rsidR="00D310C4" w:rsidRPr="003258B5" w:rsidRDefault="00D310C4" w:rsidP="00D310C4">
      <w:pPr>
        <w:pStyle w:val="SingleTxtG"/>
      </w:pPr>
      <w:r>
        <w:rPr>
          <w:lang w:eastAsia="nl-BE"/>
        </w:rPr>
        <w:t>9</w:t>
      </w:r>
      <w:r w:rsidRPr="0051352C">
        <w:rPr>
          <w:lang w:eastAsia="nl-BE"/>
        </w:rPr>
        <w:t>.</w:t>
      </w:r>
      <w:r w:rsidRPr="0051352C">
        <w:rPr>
          <w:lang w:eastAsia="nl-BE"/>
        </w:rPr>
        <w:tab/>
      </w:r>
      <w:r w:rsidRPr="003258B5">
        <w:rPr>
          <w:lang w:eastAsia="nl-BE"/>
        </w:rPr>
        <w:t xml:space="preserve">While </w:t>
      </w:r>
      <w:r w:rsidR="00BC439D">
        <w:rPr>
          <w:lang w:eastAsia="nl-BE"/>
        </w:rPr>
        <w:t>a</w:t>
      </w:r>
      <w:r w:rsidRPr="003258B5">
        <w:rPr>
          <w:lang w:eastAsia="nl-BE"/>
        </w:rPr>
        <w:t xml:space="preserve">mendment 1 to UN GTR No. 20 complements the original UN GTR No. 20 with important safety provisions, electric vehicle technologies continue to evolve including new lithium-ion chemistries, new chemistry families, new or enhanced battery diagnostic </w:t>
      </w:r>
      <w:r w:rsidRPr="003258B5">
        <w:rPr>
          <w:lang w:eastAsia="nl-BE"/>
        </w:rPr>
        <w:lastRenderedPageBreak/>
        <w:t>capabilities,</w:t>
      </w:r>
      <w:r w:rsidR="007B1D70">
        <w:rPr>
          <w:lang w:eastAsia="nl-BE"/>
        </w:rPr>
        <w:t xml:space="preserve"> and</w:t>
      </w:r>
      <w:r w:rsidRPr="003258B5">
        <w:rPr>
          <w:lang w:eastAsia="nl-BE"/>
        </w:rPr>
        <w:t xml:space="preserve"> higher power, energy and/or voltage system designs, and these developments need to be further researched and tested. Areas related to electric vehicles safety such as</w:t>
      </w:r>
      <w:r w:rsidRPr="003258B5">
        <w:t>:</w:t>
      </w:r>
    </w:p>
    <w:p w14:paraId="2C50D238" w14:textId="57A3F76A" w:rsidR="00D310C4" w:rsidRPr="003258B5" w:rsidRDefault="00D310C4" w:rsidP="00462238">
      <w:pPr>
        <w:pStyle w:val="SingleTxtG"/>
        <w:tabs>
          <w:tab w:val="clear" w:pos="1701"/>
          <w:tab w:val="clear" w:pos="2268"/>
          <w:tab w:val="clear" w:pos="2835"/>
        </w:tabs>
        <w:ind w:left="2268" w:hanging="567"/>
        <w:rPr>
          <w:lang w:eastAsia="nl-BE"/>
        </w:rPr>
      </w:pPr>
      <w:r w:rsidRPr="003258B5">
        <w:rPr>
          <w:lang w:eastAsia="nl-BE"/>
        </w:rPr>
        <w:t>(a)</w:t>
      </w:r>
      <w:r w:rsidRPr="003258B5">
        <w:rPr>
          <w:lang w:eastAsia="nl-BE"/>
        </w:rPr>
        <w:tab/>
      </w:r>
      <w:r w:rsidR="00DD48B5">
        <w:rPr>
          <w:lang w:eastAsia="nl-BE"/>
        </w:rPr>
        <w:t>e</w:t>
      </w:r>
      <w:r w:rsidRPr="003258B5">
        <w:rPr>
          <w:lang w:eastAsia="nl-BE"/>
        </w:rPr>
        <w:t xml:space="preserve">xpansion of </w:t>
      </w:r>
      <w:r w:rsidR="00462238">
        <w:rPr>
          <w:lang w:eastAsia="nl-BE"/>
        </w:rPr>
        <w:t xml:space="preserve">the </w:t>
      </w:r>
      <w:r w:rsidRPr="003258B5">
        <w:rPr>
          <w:lang w:eastAsia="nl-BE"/>
        </w:rPr>
        <w:t xml:space="preserve">protection scope of </w:t>
      </w:r>
      <w:r w:rsidR="00462238">
        <w:rPr>
          <w:lang w:eastAsia="nl-BE"/>
        </w:rPr>
        <w:t xml:space="preserve">the </w:t>
      </w:r>
      <w:r w:rsidRPr="003258B5">
        <w:rPr>
          <w:lang w:eastAsia="nl-BE"/>
        </w:rPr>
        <w:t>thermal propagation test;</w:t>
      </w:r>
    </w:p>
    <w:p w14:paraId="339D6C3C" w14:textId="5E2B8745" w:rsidR="00D310C4" w:rsidRPr="003258B5" w:rsidRDefault="00D310C4" w:rsidP="00462238">
      <w:pPr>
        <w:pStyle w:val="SingleTxtG"/>
        <w:tabs>
          <w:tab w:val="clear" w:pos="1701"/>
          <w:tab w:val="clear" w:pos="2268"/>
          <w:tab w:val="clear" w:pos="2835"/>
        </w:tabs>
        <w:ind w:left="2268" w:hanging="567"/>
        <w:rPr>
          <w:lang w:eastAsia="nl-BE"/>
        </w:rPr>
      </w:pPr>
      <w:r w:rsidRPr="003258B5">
        <w:rPr>
          <w:lang w:eastAsia="nl-BE"/>
        </w:rPr>
        <w:t>(b)</w:t>
      </w:r>
      <w:r w:rsidRPr="003258B5">
        <w:rPr>
          <w:lang w:eastAsia="nl-BE"/>
        </w:rPr>
        <w:tab/>
      </w:r>
      <w:r w:rsidR="00DD48B5">
        <w:rPr>
          <w:lang w:eastAsia="nl-BE"/>
        </w:rPr>
        <w:t>p</w:t>
      </w:r>
      <w:r w:rsidRPr="003258B5">
        <w:rPr>
          <w:lang w:eastAsia="nl-BE"/>
        </w:rPr>
        <w:t>ost-crash REESS safety assessment, stabilization procedures and non-occupant and surroundings safety;</w:t>
      </w:r>
    </w:p>
    <w:p w14:paraId="394E14FC" w14:textId="744A2E7C" w:rsidR="00D310C4" w:rsidRPr="003258B5" w:rsidRDefault="00D310C4" w:rsidP="00462238">
      <w:pPr>
        <w:pStyle w:val="SingleTxtG"/>
        <w:tabs>
          <w:tab w:val="clear" w:pos="1701"/>
          <w:tab w:val="clear" w:pos="2268"/>
          <w:tab w:val="clear" w:pos="2835"/>
        </w:tabs>
        <w:ind w:left="2268" w:hanging="567"/>
        <w:rPr>
          <w:lang w:eastAsia="nl-BE"/>
        </w:rPr>
      </w:pPr>
      <w:r w:rsidRPr="003258B5">
        <w:rPr>
          <w:lang w:eastAsia="nl-BE"/>
        </w:rPr>
        <w:t>(c)</w:t>
      </w:r>
      <w:r w:rsidRPr="003258B5">
        <w:rPr>
          <w:lang w:eastAsia="nl-BE"/>
        </w:rPr>
        <w:tab/>
      </w:r>
      <w:r w:rsidR="00DD48B5">
        <w:rPr>
          <w:lang w:eastAsia="nl-BE"/>
        </w:rPr>
        <w:t>m</w:t>
      </w:r>
      <w:r w:rsidRPr="003258B5">
        <w:rPr>
          <w:lang w:eastAsia="nl-BE"/>
        </w:rPr>
        <w:t xml:space="preserve">aintaining the </w:t>
      </w:r>
      <w:r w:rsidR="00070450">
        <w:rPr>
          <w:lang w:eastAsia="nl-BE"/>
        </w:rPr>
        <w:t>electric vehicle</w:t>
      </w:r>
      <w:r w:rsidRPr="003258B5">
        <w:rPr>
          <w:lang w:eastAsia="nl-BE"/>
        </w:rPr>
        <w:t xml:space="preserve"> battery safety during the in-use phase;</w:t>
      </w:r>
    </w:p>
    <w:p w14:paraId="0387E390" w14:textId="076F0432" w:rsidR="00D310C4" w:rsidRPr="003258B5" w:rsidRDefault="00D310C4" w:rsidP="00462238">
      <w:pPr>
        <w:pStyle w:val="SingleTxtG"/>
        <w:tabs>
          <w:tab w:val="clear" w:pos="1701"/>
          <w:tab w:val="clear" w:pos="2268"/>
          <w:tab w:val="clear" w:pos="2835"/>
        </w:tabs>
        <w:ind w:left="2268" w:hanging="567"/>
        <w:rPr>
          <w:lang w:eastAsia="nl-BE"/>
        </w:rPr>
      </w:pPr>
      <w:r w:rsidRPr="003258B5">
        <w:rPr>
          <w:lang w:eastAsia="nl-BE"/>
        </w:rPr>
        <w:t>(d)</w:t>
      </w:r>
      <w:r w:rsidRPr="003258B5">
        <w:rPr>
          <w:lang w:eastAsia="nl-BE"/>
        </w:rPr>
        <w:tab/>
      </w:r>
      <w:r w:rsidR="00DD48B5">
        <w:rPr>
          <w:lang w:eastAsia="nl-BE"/>
        </w:rPr>
        <w:t>s</w:t>
      </w:r>
      <w:r w:rsidRPr="003258B5">
        <w:rPr>
          <w:lang w:eastAsia="nl-BE"/>
        </w:rPr>
        <w:t>afety of swappable batteries;</w:t>
      </w:r>
    </w:p>
    <w:p w14:paraId="0F31C0E4" w14:textId="3680D18A" w:rsidR="00D310C4" w:rsidRPr="003258B5" w:rsidRDefault="00D310C4" w:rsidP="00462238">
      <w:pPr>
        <w:pStyle w:val="SingleTxtG"/>
        <w:tabs>
          <w:tab w:val="clear" w:pos="1701"/>
          <w:tab w:val="clear" w:pos="2268"/>
          <w:tab w:val="clear" w:pos="2835"/>
        </w:tabs>
        <w:ind w:left="2268" w:hanging="567"/>
        <w:rPr>
          <w:lang w:eastAsia="nl-BE"/>
        </w:rPr>
      </w:pPr>
      <w:r w:rsidRPr="003258B5">
        <w:rPr>
          <w:lang w:eastAsia="nl-BE"/>
        </w:rPr>
        <w:t>(e)</w:t>
      </w:r>
      <w:r w:rsidRPr="003258B5">
        <w:rPr>
          <w:lang w:eastAsia="nl-BE"/>
        </w:rPr>
        <w:tab/>
      </w:r>
      <w:r w:rsidR="00DD48B5">
        <w:rPr>
          <w:lang w:eastAsia="nl-BE"/>
        </w:rPr>
        <w:t>m</w:t>
      </w:r>
      <w:r w:rsidRPr="003258B5">
        <w:rPr>
          <w:lang w:eastAsia="nl-BE"/>
        </w:rPr>
        <w:t>icromobility, light-category vehicles, e-trailers safety;</w:t>
      </w:r>
    </w:p>
    <w:p w14:paraId="02C19970" w14:textId="42DE7D05" w:rsidR="00D310C4" w:rsidRPr="003258B5" w:rsidRDefault="00D310C4" w:rsidP="00462238">
      <w:pPr>
        <w:pStyle w:val="SingleTxtG"/>
        <w:tabs>
          <w:tab w:val="clear" w:pos="1701"/>
          <w:tab w:val="clear" w:pos="2268"/>
          <w:tab w:val="clear" w:pos="2835"/>
        </w:tabs>
        <w:ind w:left="2268" w:hanging="567"/>
        <w:rPr>
          <w:lang w:eastAsia="nl-BE"/>
        </w:rPr>
      </w:pPr>
      <w:r w:rsidRPr="003258B5">
        <w:rPr>
          <w:lang w:eastAsia="nl-BE"/>
        </w:rPr>
        <w:t>(f)</w:t>
      </w:r>
      <w:r w:rsidRPr="003258B5">
        <w:rPr>
          <w:lang w:eastAsia="nl-BE"/>
        </w:rPr>
        <w:tab/>
      </w:r>
      <w:r w:rsidR="00DD48B5">
        <w:rPr>
          <w:lang w:eastAsia="nl-BE"/>
        </w:rPr>
        <w:t>q</w:t>
      </w:r>
      <w:r w:rsidRPr="003258B5">
        <w:rPr>
          <w:lang w:eastAsia="nl-BE"/>
        </w:rPr>
        <w:t>uantitative criteria on flammability, toxicity and corrosiveness of vented gases and smoke; and</w:t>
      </w:r>
    </w:p>
    <w:p w14:paraId="5828106A" w14:textId="79C89892" w:rsidR="00D310C4" w:rsidRPr="003258B5" w:rsidRDefault="00D310C4" w:rsidP="00462238">
      <w:pPr>
        <w:pStyle w:val="SingleTxtG"/>
        <w:tabs>
          <w:tab w:val="clear" w:pos="1701"/>
          <w:tab w:val="clear" w:pos="2268"/>
          <w:tab w:val="clear" w:pos="2835"/>
        </w:tabs>
        <w:ind w:left="2268" w:hanging="567"/>
        <w:rPr>
          <w:lang w:eastAsia="nl-BE"/>
        </w:rPr>
      </w:pPr>
      <w:r w:rsidRPr="003258B5">
        <w:rPr>
          <w:lang w:eastAsia="nl-BE"/>
        </w:rPr>
        <w:t>(g)</w:t>
      </w:r>
      <w:r w:rsidRPr="003258B5">
        <w:rPr>
          <w:lang w:eastAsia="nl-BE"/>
        </w:rPr>
        <w:tab/>
      </w:r>
      <w:r w:rsidR="00DD48B5">
        <w:rPr>
          <w:lang w:eastAsia="nl-BE"/>
        </w:rPr>
        <w:t>b</w:t>
      </w:r>
      <w:r w:rsidRPr="003258B5">
        <w:rPr>
          <w:lang w:eastAsia="nl-BE"/>
        </w:rPr>
        <w:t>ottom protection</w:t>
      </w:r>
    </w:p>
    <w:p w14:paraId="140A8B3A" w14:textId="2EF132FC" w:rsidR="00D310C4" w:rsidRPr="003258B5" w:rsidRDefault="00D310C4" w:rsidP="00D310C4">
      <w:pPr>
        <w:pStyle w:val="SingleTxtG"/>
        <w:rPr>
          <w:lang w:eastAsia="nl-BE"/>
        </w:rPr>
      </w:pPr>
      <w:r w:rsidRPr="003258B5">
        <w:rPr>
          <w:lang w:eastAsia="nl-BE"/>
        </w:rPr>
        <w:t>currently remain unregulated and are listed among the topics to be addressed by IWG</w:t>
      </w:r>
      <w:r w:rsidR="00DD48B5">
        <w:rPr>
          <w:lang w:eastAsia="nl-BE"/>
        </w:rPr>
        <w:t>-</w:t>
      </w:r>
      <w:r w:rsidRPr="003258B5">
        <w:rPr>
          <w:lang w:eastAsia="nl-BE"/>
        </w:rPr>
        <w:t>EVS in Phase 3 (</w:t>
      </w:r>
      <w:r w:rsidRPr="00143381">
        <w:rPr>
          <w:lang w:eastAsia="nl-BE"/>
        </w:rPr>
        <w:t>ECE/TRANS/WP.29/</w:t>
      </w:r>
      <w:r w:rsidRPr="007B14AE">
        <w:rPr>
          <w:lang w:eastAsia="nl-BE"/>
        </w:rPr>
        <w:t>2026/42</w:t>
      </w:r>
      <w:r>
        <w:rPr>
          <w:lang w:eastAsia="nl-BE"/>
        </w:rPr>
        <w:t>).</w:t>
      </w:r>
      <w:r w:rsidRPr="007B14AE">
        <w:rPr>
          <w:lang w:eastAsia="nl-BE"/>
        </w:rPr>
        <w:t xml:space="preserve"> </w:t>
      </w:r>
    </w:p>
    <w:p w14:paraId="45C03570" w14:textId="1ED8CF69" w:rsidR="001C6663" w:rsidRPr="007C4198" w:rsidRDefault="007C4198" w:rsidP="007C4198">
      <w:pPr>
        <w:spacing w:before="240"/>
        <w:jc w:val="center"/>
        <w:rPr>
          <w:u w:val="single"/>
        </w:rPr>
      </w:pPr>
      <w:r>
        <w:rPr>
          <w:u w:val="single"/>
        </w:rPr>
        <w:tab/>
      </w:r>
      <w:r>
        <w:rPr>
          <w:u w:val="single"/>
        </w:rPr>
        <w:tab/>
      </w:r>
      <w:r>
        <w:rPr>
          <w:u w:val="single"/>
        </w:rPr>
        <w:tab/>
      </w:r>
    </w:p>
    <w:sectPr w:rsidR="001C6663" w:rsidRPr="007C4198" w:rsidSect="00DD4B59">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37AB" w14:textId="77777777" w:rsidR="00CA3239" w:rsidRDefault="00CA3239"/>
  </w:endnote>
  <w:endnote w:type="continuationSeparator" w:id="0">
    <w:p w14:paraId="66B95EFE" w14:textId="77777777" w:rsidR="00CA3239" w:rsidRDefault="00CA3239"/>
  </w:endnote>
  <w:endnote w:type="continuationNotice" w:id="1">
    <w:p w14:paraId="312E43D6" w14:textId="77777777" w:rsidR="00CA3239" w:rsidRDefault="00CA3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9AD6" w14:textId="31580FF5" w:rsidR="00DD4B59" w:rsidRPr="00DD4B59" w:rsidRDefault="00DD4B59" w:rsidP="00DD4B59">
    <w:pPr>
      <w:pStyle w:val="Footer"/>
      <w:tabs>
        <w:tab w:val="right" w:pos="9638"/>
      </w:tabs>
      <w:rPr>
        <w:sz w:val="18"/>
      </w:rPr>
    </w:pPr>
    <w:r w:rsidRPr="00DD4B59">
      <w:rPr>
        <w:b/>
        <w:sz w:val="18"/>
      </w:rPr>
      <w:fldChar w:fldCharType="begin"/>
    </w:r>
    <w:r w:rsidRPr="00DD4B59">
      <w:rPr>
        <w:b/>
        <w:sz w:val="18"/>
      </w:rPr>
      <w:instrText xml:space="preserve"> PAGE  \* MERGEFORMAT </w:instrText>
    </w:r>
    <w:r w:rsidRPr="00DD4B59">
      <w:rPr>
        <w:b/>
        <w:sz w:val="18"/>
      </w:rPr>
      <w:fldChar w:fldCharType="separate"/>
    </w:r>
    <w:r w:rsidRPr="00DD4B59">
      <w:rPr>
        <w:b/>
        <w:noProof/>
        <w:sz w:val="18"/>
      </w:rPr>
      <w:t>2</w:t>
    </w:r>
    <w:r w:rsidRPr="00DD4B5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873F" w14:textId="33179B37" w:rsidR="00DD4B59" w:rsidRPr="00DD4B59" w:rsidRDefault="00DD4B59" w:rsidP="00DD4B59">
    <w:pPr>
      <w:pStyle w:val="Footer"/>
      <w:tabs>
        <w:tab w:val="right" w:pos="9638"/>
      </w:tabs>
      <w:rPr>
        <w:b/>
        <w:sz w:val="18"/>
      </w:rPr>
    </w:pPr>
    <w:r>
      <w:tab/>
    </w:r>
    <w:r w:rsidRPr="00DD4B59">
      <w:rPr>
        <w:b/>
        <w:sz w:val="18"/>
      </w:rPr>
      <w:fldChar w:fldCharType="begin"/>
    </w:r>
    <w:r w:rsidRPr="00DD4B59">
      <w:rPr>
        <w:b/>
        <w:sz w:val="18"/>
      </w:rPr>
      <w:instrText xml:space="preserve"> PAGE  \* MERGEFORMAT </w:instrText>
    </w:r>
    <w:r w:rsidRPr="00DD4B59">
      <w:rPr>
        <w:b/>
        <w:sz w:val="18"/>
      </w:rPr>
      <w:fldChar w:fldCharType="separate"/>
    </w:r>
    <w:r w:rsidRPr="00DD4B59">
      <w:rPr>
        <w:b/>
        <w:noProof/>
        <w:sz w:val="18"/>
      </w:rPr>
      <w:t>3</w:t>
    </w:r>
    <w:r w:rsidRPr="00DD4B5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C0E" w14:textId="77777777" w:rsidR="0035223F" w:rsidRPr="00DD4B59" w:rsidRDefault="00686A48">
    <w:pPr>
      <w:pStyle w:val="Footer"/>
      <w:rPr>
        <w:sz w:val="20"/>
      </w:rPr>
    </w:pPr>
    <w:r>
      <w:rPr>
        <w:noProof/>
        <w:lang w:val="fr-CH" w:eastAsia="fr-CH"/>
      </w:rPr>
      <w:drawing>
        <wp:anchor distT="0" distB="0" distL="114300" distR="114300" simplePos="0" relativeHeight="251657728" behindDoc="0" locked="1" layoutInCell="1" allowOverlap="1" wp14:anchorId="48624A78" wp14:editId="7DCFC990">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1DA6" w14:textId="77777777" w:rsidR="00CA3239" w:rsidRPr="000B175B" w:rsidRDefault="00CA3239" w:rsidP="000B175B">
      <w:pPr>
        <w:tabs>
          <w:tab w:val="right" w:pos="2155"/>
        </w:tabs>
        <w:spacing w:after="80"/>
        <w:ind w:left="680"/>
        <w:rPr>
          <w:u w:val="single"/>
        </w:rPr>
      </w:pPr>
      <w:r>
        <w:rPr>
          <w:u w:val="single"/>
        </w:rPr>
        <w:tab/>
      </w:r>
    </w:p>
  </w:footnote>
  <w:footnote w:type="continuationSeparator" w:id="0">
    <w:p w14:paraId="03039E99" w14:textId="77777777" w:rsidR="00CA3239" w:rsidRPr="00FC68B7" w:rsidRDefault="00CA3239" w:rsidP="00FC68B7">
      <w:pPr>
        <w:tabs>
          <w:tab w:val="left" w:pos="2155"/>
        </w:tabs>
        <w:spacing w:after="80"/>
        <w:ind w:left="680"/>
        <w:rPr>
          <w:u w:val="single"/>
        </w:rPr>
      </w:pPr>
      <w:r>
        <w:rPr>
          <w:u w:val="single"/>
        </w:rPr>
        <w:tab/>
      </w:r>
    </w:p>
  </w:footnote>
  <w:footnote w:type="continuationNotice" w:id="1">
    <w:p w14:paraId="2B162B20" w14:textId="77777777" w:rsidR="00CA3239" w:rsidRDefault="00CA3239"/>
  </w:footnote>
  <w:footnote w:id="2">
    <w:p w14:paraId="4DAC969F" w14:textId="77777777" w:rsidR="000B1272" w:rsidRPr="00122355" w:rsidRDefault="000B1272" w:rsidP="000B1272">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w:t>
      </w:r>
      <w:r>
        <w:rPr>
          <w:szCs w:val="18"/>
        </w:rPr>
        <w:t>6</w:t>
      </w:r>
      <w:r w:rsidRPr="00E70781">
        <w:rPr>
          <w:rStyle w:val="FootnoteReference"/>
          <w:szCs w:val="18"/>
          <w:vertAlign w:val="baseline"/>
        </w:rPr>
        <w:t xml:space="preserve"> as outlined in proposed programme budget for 202</w:t>
      </w:r>
      <w:r>
        <w:rPr>
          <w:szCs w:val="18"/>
        </w:rPr>
        <w:t>6</w:t>
      </w:r>
      <w:r w:rsidRPr="00E70781">
        <w:rPr>
          <w:rStyle w:val="FootnoteReference"/>
          <w:szCs w:val="18"/>
          <w:vertAlign w:val="baseline"/>
        </w:rPr>
        <w:t xml:space="preserve"> (A/</w:t>
      </w:r>
      <w:r>
        <w:rPr>
          <w:rStyle w:val="FootnoteReference"/>
          <w:szCs w:val="18"/>
          <w:vertAlign w:val="baseline"/>
        </w:rPr>
        <w:t>8</w:t>
      </w:r>
      <w:r>
        <w:rPr>
          <w:szCs w:val="18"/>
        </w:rPr>
        <w:t>0</w:t>
      </w:r>
      <w:r w:rsidRPr="00E70781">
        <w:rPr>
          <w:rStyle w:val="FootnoteReference"/>
          <w:szCs w:val="18"/>
          <w:vertAlign w:val="baseline"/>
        </w:rPr>
        <w:t>/6 (Sect. 20), table 20.</w:t>
      </w:r>
      <w:r>
        <w:rPr>
          <w:szCs w:val="18"/>
        </w:rPr>
        <w:t>7</w:t>
      </w:r>
      <w:r w:rsidRPr="00E70781">
        <w:rPr>
          <w:rStyle w:val="FootnoteReference"/>
          <w:szCs w:val="18"/>
          <w:vertAlign w:val="baseline"/>
        </w:rPr>
        <w:t>), the World Forum will develop, harmonize and update UN Regulations in order to enhance the performance of vehicles. The present document is submitted in conformity with that mandate.</w:t>
      </w:r>
    </w:p>
  </w:footnote>
  <w:footnote w:id="3">
    <w:p w14:paraId="305E2F39" w14:textId="739B0530" w:rsidR="00DF32C7" w:rsidRPr="00DF32C7" w:rsidRDefault="00DF32C7" w:rsidP="00DF32C7">
      <w:pPr>
        <w:pStyle w:val="FootnoteText"/>
        <w:widowControl w:val="0"/>
        <w:tabs>
          <w:tab w:val="clear" w:pos="1021"/>
          <w:tab w:val="right" w:pos="1020"/>
        </w:tabs>
        <w:suppressAutoHyphens/>
        <w:rPr>
          <w:lang w:val="en-US"/>
        </w:rPr>
      </w:pPr>
      <w:r>
        <w:tab/>
      </w:r>
      <w:r>
        <w:rPr>
          <w:rStyle w:val="FootnoteReference"/>
        </w:rPr>
        <w:footnoteRef/>
      </w:r>
      <w:r>
        <w:tab/>
      </w:r>
      <w:r w:rsidRPr="00DF32C7">
        <w:t>As defined in the Consolidated Resolution on the Construction of Vehicles (R.E.3.), document ECE/TRANS/WP.29/78/Rev.7, paragraph 2 -  www.unece.org/trans/main/wp29/wp29wgs/wp29gen/wp29resolutions.html.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8403" w14:textId="2F33AD59" w:rsidR="00DD4B59" w:rsidRPr="00DD4B59" w:rsidRDefault="00DD4B59">
    <w:pPr>
      <w:pStyle w:val="Header"/>
    </w:pPr>
    <w:fldSimple w:instr=" TITLE  \* MERGEFORMAT ">
      <w:r w:rsidR="00E0377E">
        <w:t>ECE/TRANS/WP.29/GRSP/2026/3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E63B" w14:textId="1F89F417" w:rsidR="00DD4B59" w:rsidRPr="00DD4B59" w:rsidRDefault="00DD4B59" w:rsidP="00DD4B59">
    <w:pPr>
      <w:pStyle w:val="Header"/>
      <w:jc w:val="right"/>
    </w:pPr>
    <w:fldSimple w:instr=" TITLE  \* MERGEFORMAT ">
      <w:r w:rsidR="00E0377E">
        <w:t>ECE/TRANS/WP.29/GRSP/2026/3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34301428">
    <w:abstractNumId w:val="1"/>
  </w:num>
  <w:num w:numId="2" w16cid:durableId="2037728132">
    <w:abstractNumId w:val="0"/>
  </w:num>
  <w:num w:numId="3" w16cid:durableId="1496341050">
    <w:abstractNumId w:val="2"/>
  </w:num>
  <w:num w:numId="4" w16cid:durableId="462119637">
    <w:abstractNumId w:val="3"/>
  </w:num>
  <w:num w:numId="5" w16cid:durableId="1181356856">
    <w:abstractNumId w:val="8"/>
  </w:num>
  <w:num w:numId="6" w16cid:durableId="1460338986">
    <w:abstractNumId w:val="9"/>
  </w:num>
  <w:num w:numId="7" w16cid:durableId="1281842201">
    <w:abstractNumId w:val="7"/>
  </w:num>
  <w:num w:numId="8" w16cid:durableId="1515072603">
    <w:abstractNumId w:val="6"/>
  </w:num>
  <w:num w:numId="9" w16cid:durableId="255478020">
    <w:abstractNumId w:val="5"/>
  </w:num>
  <w:num w:numId="10" w16cid:durableId="686101981">
    <w:abstractNumId w:val="4"/>
  </w:num>
  <w:num w:numId="11" w16cid:durableId="2065106838">
    <w:abstractNumId w:val="15"/>
  </w:num>
  <w:num w:numId="12" w16cid:durableId="1065178879">
    <w:abstractNumId w:val="14"/>
  </w:num>
  <w:num w:numId="13" w16cid:durableId="1956012459">
    <w:abstractNumId w:val="10"/>
  </w:num>
  <w:num w:numId="14" w16cid:durableId="1926380885">
    <w:abstractNumId w:val="12"/>
  </w:num>
  <w:num w:numId="15" w16cid:durableId="1127695675">
    <w:abstractNumId w:val="16"/>
  </w:num>
  <w:num w:numId="16" w16cid:durableId="1151600115">
    <w:abstractNumId w:val="13"/>
  </w:num>
  <w:num w:numId="17" w16cid:durableId="505558575">
    <w:abstractNumId w:val="17"/>
  </w:num>
  <w:num w:numId="18" w16cid:durableId="807472405">
    <w:abstractNumId w:val="18"/>
  </w:num>
  <w:num w:numId="19" w16cid:durableId="168482227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59"/>
    <w:rsid w:val="00002A7D"/>
    <w:rsid w:val="000038A8"/>
    <w:rsid w:val="00005DF3"/>
    <w:rsid w:val="00006790"/>
    <w:rsid w:val="00020C0F"/>
    <w:rsid w:val="00021DA7"/>
    <w:rsid w:val="000221E1"/>
    <w:rsid w:val="00027624"/>
    <w:rsid w:val="00050F6B"/>
    <w:rsid w:val="000678CD"/>
    <w:rsid w:val="00070450"/>
    <w:rsid w:val="00072C8C"/>
    <w:rsid w:val="000763B6"/>
    <w:rsid w:val="00081CE0"/>
    <w:rsid w:val="00084D30"/>
    <w:rsid w:val="00090320"/>
    <w:rsid w:val="000931C0"/>
    <w:rsid w:val="00097003"/>
    <w:rsid w:val="000A2E09"/>
    <w:rsid w:val="000B1272"/>
    <w:rsid w:val="000B145B"/>
    <w:rsid w:val="000B175B"/>
    <w:rsid w:val="000B3A0F"/>
    <w:rsid w:val="000E0415"/>
    <w:rsid w:val="000F7715"/>
    <w:rsid w:val="00156B99"/>
    <w:rsid w:val="00166124"/>
    <w:rsid w:val="00184DDA"/>
    <w:rsid w:val="001900CD"/>
    <w:rsid w:val="001A0452"/>
    <w:rsid w:val="001B4B04"/>
    <w:rsid w:val="001B5875"/>
    <w:rsid w:val="001C4B9C"/>
    <w:rsid w:val="001C6663"/>
    <w:rsid w:val="001C7895"/>
    <w:rsid w:val="001D26DF"/>
    <w:rsid w:val="001F1599"/>
    <w:rsid w:val="001F19C4"/>
    <w:rsid w:val="002043F0"/>
    <w:rsid w:val="00211E0B"/>
    <w:rsid w:val="00217D71"/>
    <w:rsid w:val="00232575"/>
    <w:rsid w:val="00247258"/>
    <w:rsid w:val="00257CAC"/>
    <w:rsid w:val="0027237A"/>
    <w:rsid w:val="002974E9"/>
    <w:rsid w:val="002A306B"/>
    <w:rsid w:val="002A7F94"/>
    <w:rsid w:val="002B109A"/>
    <w:rsid w:val="002C6D45"/>
    <w:rsid w:val="002D6E53"/>
    <w:rsid w:val="002F046D"/>
    <w:rsid w:val="002F3023"/>
    <w:rsid w:val="00301764"/>
    <w:rsid w:val="003229D8"/>
    <w:rsid w:val="00336C97"/>
    <w:rsid w:val="00337F88"/>
    <w:rsid w:val="00337F99"/>
    <w:rsid w:val="00342432"/>
    <w:rsid w:val="00346549"/>
    <w:rsid w:val="0035223F"/>
    <w:rsid w:val="00352D4B"/>
    <w:rsid w:val="0035638C"/>
    <w:rsid w:val="003A46BB"/>
    <w:rsid w:val="003A4EC7"/>
    <w:rsid w:val="003A7295"/>
    <w:rsid w:val="003B1F60"/>
    <w:rsid w:val="003C2CC4"/>
    <w:rsid w:val="003D4B23"/>
    <w:rsid w:val="003E278A"/>
    <w:rsid w:val="00413520"/>
    <w:rsid w:val="004142E9"/>
    <w:rsid w:val="00415D28"/>
    <w:rsid w:val="00420D77"/>
    <w:rsid w:val="004325CB"/>
    <w:rsid w:val="00440A07"/>
    <w:rsid w:val="00462238"/>
    <w:rsid w:val="00462880"/>
    <w:rsid w:val="00476F24"/>
    <w:rsid w:val="004A5D33"/>
    <w:rsid w:val="004C55B0"/>
    <w:rsid w:val="004F2078"/>
    <w:rsid w:val="004F6BA0"/>
    <w:rsid w:val="00503BEA"/>
    <w:rsid w:val="00533616"/>
    <w:rsid w:val="00535ABA"/>
    <w:rsid w:val="0053768B"/>
    <w:rsid w:val="005420F2"/>
    <w:rsid w:val="0054285C"/>
    <w:rsid w:val="00584173"/>
    <w:rsid w:val="005856A5"/>
    <w:rsid w:val="00595520"/>
    <w:rsid w:val="005A0320"/>
    <w:rsid w:val="005A44B9"/>
    <w:rsid w:val="005B1BA0"/>
    <w:rsid w:val="005B3DB3"/>
    <w:rsid w:val="005B69A4"/>
    <w:rsid w:val="005C0268"/>
    <w:rsid w:val="005C29D7"/>
    <w:rsid w:val="005D15CA"/>
    <w:rsid w:val="005F08DF"/>
    <w:rsid w:val="005F3066"/>
    <w:rsid w:val="005F3E61"/>
    <w:rsid w:val="00600D27"/>
    <w:rsid w:val="00601D64"/>
    <w:rsid w:val="00604DDD"/>
    <w:rsid w:val="006107D6"/>
    <w:rsid w:val="006115CC"/>
    <w:rsid w:val="00611FC4"/>
    <w:rsid w:val="006176FB"/>
    <w:rsid w:val="00630FCB"/>
    <w:rsid w:val="00640B26"/>
    <w:rsid w:val="00643611"/>
    <w:rsid w:val="0065766B"/>
    <w:rsid w:val="006770B2"/>
    <w:rsid w:val="00686A48"/>
    <w:rsid w:val="00686F22"/>
    <w:rsid w:val="0068763C"/>
    <w:rsid w:val="006940E1"/>
    <w:rsid w:val="006A0630"/>
    <w:rsid w:val="006A3C72"/>
    <w:rsid w:val="006A7392"/>
    <w:rsid w:val="006B03A1"/>
    <w:rsid w:val="006B67D9"/>
    <w:rsid w:val="006C5535"/>
    <w:rsid w:val="006D0589"/>
    <w:rsid w:val="006E564B"/>
    <w:rsid w:val="006E7154"/>
    <w:rsid w:val="006F60BF"/>
    <w:rsid w:val="007003CD"/>
    <w:rsid w:val="0070701E"/>
    <w:rsid w:val="0072632A"/>
    <w:rsid w:val="007358E8"/>
    <w:rsid w:val="00736ECE"/>
    <w:rsid w:val="0074533B"/>
    <w:rsid w:val="007643BC"/>
    <w:rsid w:val="00780C68"/>
    <w:rsid w:val="007959FE"/>
    <w:rsid w:val="007A0CF1"/>
    <w:rsid w:val="007B1D70"/>
    <w:rsid w:val="007B6BA5"/>
    <w:rsid w:val="007B77E7"/>
    <w:rsid w:val="007C3390"/>
    <w:rsid w:val="007C4198"/>
    <w:rsid w:val="007C42D8"/>
    <w:rsid w:val="007C4F4B"/>
    <w:rsid w:val="007D6F65"/>
    <w:rsid w:val="007D7362"/>
    <w:rsid w:val="007F5CE2"/>
    <w:rsid w:val="007F6611"/>
    <w:rsid w:val="00810BAC"/>
    <w:rsid w:val="00814C29"/>
    <w:rsid w:val="008175E9"/>
    <w:rsid w:val="008242D7"/>
    <w:rsid w:val="0082577B"/>
    <w:rsid w:val="00825CB5"/>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B21"/>
    <w:rsid w:val="008E0E46"/>
    <w:rsid w:val="008E7116"/>
    <w:rsid w:val="008F143B"/>
    <w:rsid w:val="008F3882"/>
    <w:rsid w:val="008F4A9F"/>
    <w:rsid w:val="008F4B7C"/>
    <w:rsid w:val="0092556A"/>
    <w:rsid w:val="009260E7"/>
    <w:rsid w:val="00926E47"/>
    <w:rsid w:val="00930A7C"/>
    <w:rsid w:val="00947162"/>
    <w:rsid w:val="009610D0"/>
    <w:rsid w:val="0096375C"/>
    <w:rsid w:val="009662E6"/>
    <w:rsid w:val="0097095E"/>
    <w:rsid w:val="0098592B"/>
    <w:rsid w:val="00985FC4"/>
    <w:rsid w:val="00990766"/>
    <w:rsid w:val="00991261"/>
    <w:rsid w:val="009964C4"/>
    <w:rsid w:val="009A7B81"/>
    <w:rsid w:val="009B011B"/>
    <w:rsid w:val="009B3060"/>
    <w:rsid w:val="009B7EB7"/>
    <w:rsid w:val="009D01C0"/>
    <w:rsid w:val="009D6A08"/>
    <w:rsid w:val="009E0A16"/>
    <w:rsid w:val="009E3745"/>
    <w:rsid w:val="009E6CB7"/>
    <w:rsid w:val="009E7970"/>
    <w:rsid w:val="009F2EAC"/>
    <w:rsid w:val="009F57E3"/>
    <w:rsid w:val="00A077A2"/>
    <w:rsid w:val="00A10F4F"/>
    <w:rsid w:val="00A11067"/>
    <w:rsid w:val="00A1704A"/>
    <w:rsid w:val="00A36AC2"/>
    <w:rsid w:val="00A425EB"/>
    <w:rsid w:val="00A72F22"/>
    <w:rsid w:val="00A733BC"/>
    <w:rsid w:val="00A748A6"/>
    <w:rsid w:val="00A76A69"/>
    <w:rsid w:val="00A86CB8"/>
    <w:rsid w:val="00A879A4"/>
    <w:rsid w:val="00AA0FF8"/>
    <w:rsid w:val="00AC0F2C"/>
    <w:rsid w:val="00AC502A"/>
    <w:rsid w:val="00AE1E26"/>
    <w:rsid w:val="00AF58C1"/>
    <w:rsid w:val="00B00540"/>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439D"/>
    <w:rsid w:val="00BC74E9"/>
    <w:rsid w:val="00BE36A9"/>
    <w:rsid w:val="00BE618E"/>
    <w:rsid w:val="00BE7BEC"/>
    <w:rsid w:val="00BF0A5A"/>
    <w:rsid w:val="00BF0E63"/>
    <w:rsid w:val="00BF12A3"/>
    <w:rsid w:val="00BF16D7"/>
    <w:rsid w:val="00BF2373"/>
    <w:rsid w:val="00BF279B"/>
    <w:rsid w:val="00C044E2"/>
    <w:rsid w:val="00C048CB"/>
    <w:rsid w:val="00C066F3"/>
    <w:rsid w:val="00C3520D"/>
    <w:rsid w:val="00C463DD"/>
    <w:rsid w:val="00C47708"/>
    <w:rsid w:val="00C745C3"/>
    <w:rsid w:val="00C85D61"/>
    <w:rsid w:val="00C90485"/>
    <w:rsid w:val="00C978F5"/>
    <w:rsid w:val="00CA24A4"/>
    <w:rsid w:val="00CA3239"/>
    <w:rsid w:val="00CB348D"/>
    <w:rsid w:val="00CD46F5"/>
    <w:rsid w:val="00CD6586"/>
    <w:rsid w:val="00CE4A8F"/>
    <w:rsid w:val="00CF071D"/>
    <w:rsid w:val="00D0123D"/>
    <w:rsid w:val="00D15B04"/>
    <w:rsid w:val="00D2031B"/>
    <w:rsid w:val="00D25FE2"/>
    <w:rsid w:val="00D310C4"/>
    <w:rsid w:val="00D37DA9"/>
    <w:rsid w:val="00D406A7"/>
    <w:rsid w:val="00D41AE9"/>
    <w:rsid w:val="00D43252"/>
    <w:rsid w:val="00D44D86"/>
    <w:rsid w:val="00D50B7D"/>
    <w:rsid w:val="00D52012"/>
    <w:rsid w:val="00D6095E"/>
    <w:rsid w:val="00D704E5"/>
    <w:rsid w:val="00D72727"/>
    <w:rsid w:val="00D978C6"/>
    <w:rsid w:val="00DA0956"/>
    <w:rsid w:val="00DA357F"/>
    <w:rsid w:val="00DA3E12"/>
    <w:rsid w:val="00DB5732"/>
    <w:rsid w:val="00DC18AD"/>
    <w:rsid w:val="00DD48B5"/>
    <w:rsid w:val="00DD4B59"/>
    <w:rsid w:val="00DF32C7"/>
    <w:rsid w:val="00DF7CAE"/>
    <w:rsid w:val="00E0377E"/>
    <w:rsid w:val="00E23BE1"/>
    <w:rsid w:val="00E37A70"/>
    <w:rsid w:val="00E423C0"/>
    <w:rsid w:val="00E6414C"/>
    <w:rsid w:val="00E7260F"/>
    <w:rsid w:val="00E8702D"/>
    <w:rsid w:val="00E905F4"/>
    <w:rsid w:val="00E916A9"/>
    <w:rsid w:val="00E916DE"/>
    <w:rsid w:val="00E925AD"/>
    <w:rsid w:val="00E96630"/>
    <w:rsid w:val="00EA5778"/>
    <w:rsid w:val="00ED18DC"/>
    <w:rsid w:val="00ED6201"/>
    <w:rsid w:val="00ED7A2A"/>
    <w:rsid w:val="00EF1D7F"/>
    <w:rsid w:val="00F0137E"/>
    <w:rsid w:val="00F02B40"/>
    <w:rsid w:val="00F04E44"/>
    <w:rsid w:val="00F21786"/>
    <w:rsid w:val="00F24E75"/>
    <w:rsid w:val="00F25D06"/>
    <w:rsid w:val="00F31CFF"/>
    <w:rsid w:val="00F3742B"/>
    <w:rsid w:val="00F41FDB"/>
    <w:rsid w:val="00F50597"/>
    <w:rsid w:val="00F56D63"/>
    <w:rsid w:val="00F609A9"/>
    <w:rsid w:val="00F80C99"/>
    <w:rsid w:val="00F867EC"/>
    <w:rsid w:val="00F90062"/>
    <w:rsid w:val="00F91B2B"/>
    <w:rsid w:val="00FA113F"/>
    <w:rsid w:val="00FA4B8B"/>
    <w:rsid w:val="00FB3F9B"/>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99F91"/>
  <w15:docId w15:val="{E3D680F9-F1C5-44B9-BBCE-908FB50B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0B1272"/>
    <w:rPr>
      <w:b/>
      <w:sz w:val="28"/>
      <w:lang w:val="en-GB"/>
    </w:rPr>
  </w:style>
  <w:style w:type="character" w:customStyle="1" w:styleId="SingleTxtGChar">
    <w:name w:val="_ Single Txt_G Char"/>
    <w:link w:val="SingleTxtG"/>
    <w:qFormat/>
    <w:rsid w:val="000B1272"/>
    <w:rPr>
      <w:lang w:val="en-GB"/>
    </w:rPr>
  </w:style>
  <w:style w:type="character" w:customStyle="1" w:styleId="H1GChar">
    <w:name w:val="_ H_1_G Char"/>
    <w:link w:val="H1G"/>
    <w:locked/>
    <w:rsid w:val="000B1272"/>
    <w:rPr>
      <w:b/>
      <w:sz w:val="24"/>
      <w:lang w:val="en-GB"/>
    </w:rPr>
  </w:style>
  <w:style w:type="character" w:styleId="CommentReference">
    <w:name w:val="annotation reference"/>
    <w:basedOn w:val="DefaultParagraphFont"/>
    <w:semiHidden/>
    <w:unhideWhenUsed/>
    <w:rsid w:val="00F02B40"/>
    <w:rPr>
      <w:sz w:val="16"/>
      <w:szCs w:val="16"/>
    </w:rPr>
  </w:style>
  <w:style w:type="paragraph" w:styleId="CommentText">
    <w:name w:val="annotation text"/>
    <w:basedOn w:val="Normal"/>
    <w:link w:val="CommentTextChar"/>
    <w:unhideWhenUsed/>
    <w:rsid w:val="00F02B40"/>
    <w:pPr>
      <w:spacing w:line="240" w:lineRule="auto"/>
    </w:pPr>
  </w:style>
  <w:style w:type="character" w:customStyle="1" w:styleId="CommentTextChar">
    <w:name w:val="Comment Text Char"/>
    <w:basedOn w:val="DefaultParagraphFont"/>
    <w:link w:val="CommentText"/>
    <w:rsid w:val="00F02B40"/>
    <w:rPr>
      <w:lang w:val="en-GB"/>
    </w:rPr>
  </w:style>
  <w:style w:type="paragraph" w:styleId="CommentSubject">
    <w:name w:val="annotation subject"/>
    <w:basedOn w:val="CommentText"/>
    <w:next w:val="CommentText"/>
    <w:link w:val="CommentSubjectChar"/>
    <w:semiHidden/>
    <w:unhideWhenUsed/>
    <w:rsid w:val="00F02B40"/>
    <w:rPr>
      <w:b/>
      <w:bCs/>
    </w:rPr>
  </w:style>
  <w:style w:type="character" w:customStyle="1" w:styleId="CommentSubjectChar">
    <w:name w:val="Comment Subject Char"/>
    <w:basedOn w:val="CommentTextChar"/>
    <w:link w:val="CommentSubject"/>
    <w:semiHidden/>
    <w:rsid w:val="00F02B4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31594309-B3F6-4F97-854A-9E2DDE05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30</TotalTime>
  <Pages>3</Pages>
  <Words>1000</Words>
  <Characters>5701</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ECE/TRANS/WP.29/GRSP/2026/3</dc:title>
  <dc:creator>Editorial</dc:creator>
  <cp:lastModifiedBy>Secretariat ND</cp:lastModifiedBy>
  <cp:revision>41</cp:revision>
  <cp:lastPrinted>2026-03-19T19:34:00Z</cp:lastPrinted>
  <dcterms:created xsi:type="dcterms:W3CDTF">2026-03-10T16:27:00Z</dcterms:created>
  <dcterms:modified xsi:type="dcterms:W3CDTF">2026-03-19T19:35:00Z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