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0846F8" w14:paraId="3AE6377E" w14:textId="77777777" w:rsidTr="00B20551">
        <w:trPr>
          <w:cantSplit/>
          <w:trHeight w:hRule="exact" w:val="851"/>
        </w:trPr>
        <w:tc>
          <w:tcPr>
            <w:tcW w:w="1276" w:type="dxa"/>
            <w:tcBorders>
              <w:bottom w:val="single" w:sz="4" w:space="0" w:color="auto"/>
            </w:tcBorders>
            <w:vAlign w:val="bottom"/>
          </w:tcPr>
          <w:p w14:paraId="46D06312" w14:textId="77777777" w:rsidR="009E6CB7" w:rsidRPr="000846F8" w:rsidRDefault="009E6CB7" w:rsidP="00B20551">
            <w:pPr>
              <w:spacing w:after="80"/>
            </w:pPr>
          </w:p>
        </w:tc>
        <w:tc>
          <w:tcPr>
            <w:tcW w:w="2268" w:type="dxa"/>
            <w:tcBorders>
              <w:bottom w:val="single" w:sz="4" w:space="0" w:color="auto"/>
            </w:tcBorders>
            <w:vAlign w:val="bottom"/>
          </w:tcPr>
          <w:p w14:paraId="4375713F" w14:textId="77777777" w:rsidR="009E6CB7" w:rsidRPr="000846F8" w:rsidRDefault="009E6CB7" w:rsidP="00B20551">
            <w:pPr>
              <w:spacing w:after="80" w:line="300" w:lineRule="exact"/>
              <w:rPr>
                <w:b/>
                <w:sz w:val="24"/>
                <w:szCs w:val="24"/>
              </w:rPr>
            </w:pPr>
            <w:r w:rsidRPr="000846F8">
              <w:rPr>
                <w:sz w:val="28"/>
                <w:szCs w:val="28"/>
              </w:rPr>
              <w:t>United Nations</w:t>
            </w:r>
          </w:p>
        </w:tc>
        <w:tc>
          <w:tcPr>
            <w:tcW w:w="6095" w:type="dxa"/>
            <w:gridSpan w:val="2"/>
            <w:tcBorders>
              <w:bottom w:val="single" w:sz="4" w:space="0" w:color="auto"/>
            </w:tcBorders>
            <w:vAlign w:val="bottom"/>
          </w:tcPr>
          <w:p w14:paraId="0B865136" w14:textId="2710FB3A" w:rsidR="009E6CB7" w:rsidRPr="000846F8" w:rsidRDefault="000C0A99" w:rsidP="000B1EA4">
            <w:pPr>
              <w:jc w:val="right"/>
            </w:pPr>
            <w:r w:rsidRPr="000C0A99">
              <w:rPr>
                <w:sz w:val="40"/>
                <w:highlight w:val="yellow"/>
              </w:rPr>
              <w:t>DRAFT</w:t>
            </w:r>
            <w:r>
              <w:rPr>
                <w:sz w:val="40"/>
              </w:rPr>
              <w:t xml:space="preserve"> </w:t>
            </w:r>
            <w:r w:rsidR="000B1EA4" w:rsidRPr="000846F8">
              <w:rPr>
                <w:sz w:val="40"/>
              </w:rPr>
              <w:t>ECE</w:t>
            </w:r>
            <w:r w:rsidR="000B1EA4" w:rsidRPr="000846F8">
              <w:t>/TRANS/WP.29/GRSG/2025/</w:t>
            </w:r>
            <w:r w:rsidR="007B2E5E">
              <w:t>YY</w:t>
            </w:r>
          </w:p>
        </w:tc>
      </w:tr>
      <w:tr w:rsidR="009E6CB7" w:rsidRPr="000846F8" w14:paraId="70D30756" w14:textId="77777777" w:rsidTr="00B20551">
        <w:trPr>
          <w:cantSplit/>
          <w:trHeight w:hRule="exact" w:val="2835"/>
        </w:trPr>
        <w:tc>
          <w:tcPr>
            <w:tcW w:w="1276" w:type="dxa"/>
            <w:tcBorders>
              <w:top w:val="single" w:sz="4" w:space="0" w:color="auto"/>
              <w:bottom w:val="single" w:sz="12" w:space="0" w:color="auto"/>
            </w:tcBorders>
          </w:tcPr>
          <w:p w14:paraId="2CEBC36D" w14:textId="77777777" w:rsidR="009E6CB7" w:rsidRPr="000846F8" w:rsidRDefault="00686A48" w:rsidP="00B20551">
            <w:pPr>
              <w:spacing w:before="120"/>
            </w:pPr>
            <w:r w:rsidRPr="000846F8">
              <w:rPr>
                <w:noProof/>
                <w:lang w:eastAsia="fr-CH"/>
              </w:rPr>
              <w:drawing>
                <wp:inline distT="0" distB="0" distL="0" distR="0" wp14:anchorId="65B40180" wp14:editId="45AA87C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B50097" w14:textId="77777777" w:rsidR="009E6CB7" w:rsidRPr="000846F8" w:rsidRDefault="009E6CB7" w:rsidP="00B20551">
            <w:pPr>
              <w:spacing w:before="120" w:line="420" w:lineRule="exact"/>
              <w:rPr>
                <w:sz w:val="40"/>
                <w:szCs w:val="40"/>
              </w:rPr>
            </w:pPr>
            <w:r w:rsidRPr="000846F8">
              <w:rPr>
                <w:b/>
                <w:sz w:val="40"/>
                <w:szCs w:val="40"/>
              </w:rPr>
              <w:t>Economic and Social Council</w:t>
            </w:r>
          </w:p>
        </w:tc>
        <w:tc>
          <w:tcPr>
            <w:tcW w:w="2835" w:type="dxa"/>
            <w:tcBorders>
              <w:top w:val="single" w:sz="4" w:space="0" w:color="auto"/>
              <w:bottom w:val="single" w:sz="12" w:space="0" w:color="auto"/>
            </w:tcBorders>
          </w:tcPr>
          <w:p w14:paraId="6BCD7B19" w14:textId="77777777" w:rsidR="009E6CB7" w:rsidRPr="000846F8" w:rsidRDefault="000B1EA4" w:rsidP="000B1EA4">
            <w:pPr>
              <w:spacing w:before="240" w:line="240" w:lineRule="exact"/>
            </w:pPr>
            <w:r w:rsidRPr="000846F8">
              <w:t>Distr.: General</w:t>
            </w:r>
          </w:p>
          <w:p w14:paraId="7136A103" w14:textId="5C2E2F04" w:rsidR="000B1EA4" w:rsidRPr="000846F8" w:rsidRDefault="009634B1" w:rsidP="000B1EA4">
            <w:pPr>
              <w:spacing w:line="240" w:lineRule="exact"/>
            </w:pPr>
            <w:r>
              <w:t xml:space="preserve">XX </w:t>
            </w:r>
            <w:proofErr w:type="spellStart"/>
            <w:r>
              <w:t>XX</w:t>
            </w:r>
            <w:proofErr w:type="spellEnd"/>
            <w:r w:rsidR="000B1EA4" w:rsidRPr="000846F8">
              <w:t xml:space="preserve"> 2025</w:t>
            </w:r>
          </w:p>
          <w:p w14:paraId="43DFD53D" w14:textId="77777777" w:rsidR="000B1EA4" w:rsidRPr="000846F8" w:rsidRDefault="000B1EA4" w:rsidP="000B1EA4">
            <w:pPr>
              <w:spacing w:line="240" w:lineRule="exact"/>
            </w:pPr>
          </w:p>
          <w:p w14:paraId="19E49273" w14:textId="7D04516F" w:rsidR="000B1EA4" w:rsidRPr="000846F8" w:rsidRDefault="000B1EA4" w:rsidP="000B1EA4">
            <w:pPr>
              <w:spacing w:line="240" w:lineRule="exact"/>
            </w:pPr>
            <w:r w:rsidRPr="000846F8">
              <w:t>Original: English</w:t>
            </w:r>
          </w:p>
        </w:tc>
      </w:tr>
    </w:tbl>
    <w:p w14:paraId="27E68FDE" w14:textId="77777777" w:rsidR="000B1EA4" w:rsidRPr="000846F8" w:rsidRDefault="000B1EA4" w:rsidP="000B1EA4">
      <w:pPr>
        <w:spacing w:before="120"/>
        <w:rPr>
          <w:b/>
          <w:sz w:val="28"/>
          <w:szCs w:val="28"/>
        </w:rPr>
      </w:pPr>
      <w:r w:rsidRPr="000846F8">
        <w:rPr>
          <w:b/>
          <w:sz w:val="28"/>
          <w:szCs w:val="28"/>
        </w:rPr>
        <w:t>Economic Commission for Europe</w:t>
      </w:r>
    </w:p>
    <w:p w14:paraId="5329F34A" w14:textId="77777777" w:rsidR="000B1EA4" w:rsidRPr="000846F8" w:rsidRDefault="000B1EA4" w:rsidP="000B1EA4">
      <w:pPr>
        <w:spacing w:before="120"/>
        <w:rPr>
          <w:sz w:val="28"/>
          <w:szCs w:val="28"/>
        </w:rPr>
      </w:pPr>
      <w:r w:rsidRPr="000846F8">
        <w:rPr>
          <w:sz w:val="28"/>
          <w:szCs w:val="28"/>
        </w:rPr>
        <w:t>Inland Transport Committee</w:t>
      </w:r>
    </w:p>
    <w:p w14:paraId="0B674E34" w14:textId="77777777" w:rsidR="000B1EA4" w:rsidRPr="000846F8" w:rsidRDefault="000B1EA4" w:rsidP="000B1EA4">
      <w:pPr>
        <w:spacing w:before="120"/>
        <w:rPr>
          <w:b/>
          <w:sz w:val="24"/>
          <w:szCs w:val="24"/>
        </w:rPr>
      </w:pPr>
      <w:r w:rsidRPr="000846F8">
        <w:rPr>
          <w:b/>
          <w:sz w:val="24"/>
          <w:szCs w:val="24"/>
        </w:rPr>
        <w:t>World Forum for Harmonization of Vehicle Regulations</w:t>
      </w:r>
    </w:p>
    <w:p w14:paraId="152FDF16" w14:textId="77777777" w:rsidR="000B1EA4" w:rsidRPr="000846F8" w:rsidRDefault="000B1EA4" w:rsidP="000B1EA4">
      <w:pPr>
        <w:spacing w:before="120"/>
        <w:rPr>
          <w:b/>
        </w:rPr>
      </w:pPr>
      <w:r w:rsidRPr="000846F8">
        <w:rPr>
          <w:b/>
        </w:rPr>
        <w:t>Working Party on General Safety Provisions</w:t>
      </w:r>
    </w:p>
    <w:p w14:paraId="688DF953" w14:textId="071E57E8" w:rsidR="000B1EA4" w:rsidRPr="000846F8" w:rsidRDefault="000B1EA4" w:rsidP="000B1EA4">
      <w:pPr>
        <w:spacing w:before="120"/>
        <w:rPr>
          <w:bCs/>
        </w:rPr>
      </w:pPr>
      <w:r w:rsidRPr="000846F8">
        <w:rPr>
          <w:b/>
        </w:rPr>
        <w:t>1</w:t>
      </w:r>
      <w:r w:rsidR="00E83E79">
        <w:rPr>
          <w:b/>
        </w:rPr>
        <w:t>30</w:t>
      </w:r>
      <w:r w:rsidRPr="000846F8">
        <w:rPr>
          <w:b/>
        </w:rPr>
        <w:t>th session</w:t>
      </w:r>
    </w:p>
    <w:p w14:paraId="29A2D70C" w14:textId="5162935C" w:rsidR="000B1EA4" w:rsidRPr="000846F8" w:rsidRDefault="000B1EA4" w:rsidP="000B1EA4">
      <w:pPr>
        <w:rPr>
          <w:b/>
          <w:bCs/>
        </w:rPr>
      </w:pPr>
      <w:r w:rsidRPr="000846F8">
        <w:t xml:space="preserve">Geneva, </w:t>
      </w:r>
      <w:r w:rsidR="0009682C">
        <w:rPr>
          <w:lang w:eastAsia="ko-KR"/>
        </w:rPr>
        <w:t>6-9 October</w:t>
      </w:r>
      <w:r w:rsidRPr="000846F8">
        <w:t xml:space="preserve"> 2025</w:t>
      </w:r>
    </w:p>
    <w:p w14:paraId="67209E6E" w14:textId="1CE6EB0E" w:rsidR="000B1EA4" w:rsidRPr="000846F8" w:rsidRDefault="000B1EA4" w:rsidP="000B1EA4">
      <w:r w:rsidRPr="000846F8">
        <w:t xml:space="preserve">Item </w:t>
      </w:r>
      <w:r w:rsidR="000E5811">
        <w:rPr>
          <w:lang w:eastAsia="ko-KR"/>
        </w:rPr>
        <w:t>12</w:t>
      </w:r>
      <w:r w:rsidRPr="000846F8">
        <w:rPr>
          <w:lang w:eastAsia="ko-KR"/>
        </w:rPr>
        <w:t>(</w:t>
      </w:r>
      <w:r w:rsidR="007B2E5E">
        <w:rPr>
          <w:lang w:eastAsia="ko-KR"/>
        </w:rPr>
        <w:t>b</w:t>
      </w:r>
      <w:r w:rsidRPr="000846F8">
        <w:rPr>
          <w:lang w:eastAsia="ko-KR"/>
        </w:rPr>
        <w:t>)</w:t>
      </w:r>
      <w:r w:rsidRPr="000846F8">
        <w:t xml:space="preserve"> of the Provisional Agenda</w:t>
      </w:r>
    </w:p>
    <w:p w14:paraId="419BF7A6" w14:textId="7D0F70D1" w:rsidR="000B1EA4" w:rsidRPr="000846F8" w:rsidRDefault="000B1EA4" w:rsidP="000B1EA4">
      <w:pPr>
        <w:rPr>
          <w:b/>
        </w:rPr>
      </w:pPr>
      <w:r w:rsidRPr="000846F8">
        <w:rPr>
          <w:b/>
        </w:rPr>
        <w:t xml:space="preserve">UN Regulation No. </w:t>
      </w:r>
      <w:r w:rsidR="000E5811">
        <w:rPr>
          <w:b/>
        </w:rPr>
        <w:t>16</w:t>
      </w:r>
      <w:r w:rsidR="007B2E5E">
        <w:rPr>
          <w:b/>
        </w:rPr>
        <w:t>9</w:t>
      </w:r>
      <w:r w:rsidRPr="000846F8">
        <w:rPr>
          <w:b/>
        </w:rPr>
        <w:t xml:space="preserve"> (</w:t>
      </w:r>
      <w:r w:rsidR="008F4AC4" w:rsidRPr="008F4AC4">
        <w:rPr>
          <w:b/>
        </w:rPr>
        <w:t>Event Data Recorders for Heavy-Duty Vehicles</w:t>
      </w:r>
      <w:r w:rsidRPr="000846F8">
        <w:rPr>
          <w:b/>
        </w:rPr>
        <w:t>)</w:t>
      </w:r>
    </w:p>
    <w:p w14:paraId="17787B84" w14:textId="75797EFB" w:rsidR="000B1EA4" w:rsidRPr="000846F8" w:rsidRDefault="000B1EA4" w:rsidP="000B1EA4">
      <w:pPr>
        <w:pStyle w:val="HChG"/>
        <w:ind w:left="1124" w:right="1138" w:firstLine="0"/>
      </w:pPr>
      <w:r w:rsidRPr="000846F8">
        <w:rPr>
          <w:szCs w:val="28"/>
        </w:rPr>
        <w:tab/>
        <w:t xml:space="preserve">Proposal for </w:t>
      </w:r>
      <w:r w:rsidR="009E0842">
        <w:rPr>
          <w:szCs w:val="28"/>
        </w:rPr>
        <w:t xml:space="preserve">Supplement 1 </w:t>
      </w:r>
      <w:r w:rsidR="00DB3550" w:rsidRPr="00DB3550">
        <w:rPr>
          <w:szCs w:val="28"/>
        </w:rPr>
        <w:t>to the original version of</w:t>
      </w:r>
      <w:r w:rsidR="00DB3550">
        <w:rPr>
          <w:szCs w:val="28"/>
        </w:rPr>
        <w:t xml:space="preserve"> </w:t>
      </w:r>
      <w:r w:rsidRPr="000846F8">
        <w:rPr>
          <w:szCs w:val="28"/>
        </w:rPr>
        <w:t>Regulation No.</w:t>
      </w:r>
      <w:r w:rsidRPr="000846F8">
        <w:t> </w:t>
      </w:r>
      <w:r w:rsidR="009E0842">
        <w:rPr>
          <w:szCs w:val="28"/>
        </w:rPr>
        <w:t>16</w:t>
      </w:r>
      <w:r w:rsidR="007B2E5E">
        <w:rPr>
          <w:szCs w:val="28"/>
        </w:rPr>
        <w:t>9</w:t>
      </w:r>
      <w:r w:rsidRPr="000846F8">
        <w:rPr>
          <w:szCs w:val="28"/>
        </w:rPr>
        <w:t xml:space="preserve"> </w:t>
      </w:r>
      <w:r w:rsidRPr="00385E1C">
        <w:rPr>
          <w:szCs w:val="28"/>
        </w:rPr>
        <w:t>(</w:t>
      </w:r>
      <w:r w:rsidR="008F4AC4" w:rsidRPr="008F4AC4">
        <w:t>Event Data Recorders for Heavy-Duty Vehicles</w:t>
      </w:r>
      <w:r w:rsidRPr="00385E1C">
        <w:rPr>
          <w:szCs w:val="28"/>
        </w:rPr>
        <w:t>)</w:t>
      </w:r>
      <w:r w:rsidRPr="000846F8">
        <w:t xml:space="preserve"> </w:t>
      </w:r>
    </w:p>
    <w:p w14:paraId="04273320" w14:textId="366138C5" w:rsidR="000B1EA4" w:rsidRPr="000846F8" w:rsidRDefault="000B1EA4" w:rsidP="000B1EA4">
      <w:pPr>
        <w:pStyle w:val="H1G"/>
        <w:rPr>
          <w:szCs w:val="24"/>
        </w:rPr>
      </w:pPr>
      <w:r w:rsidRPr="000846F8">
        <w:tab/>
      </w:r>
      <w:r w:rsidRPr="000846F8">
        <w:tab/>
      </w:r>
      <w:r w:rsidR="006156BF" w:rsidRPr="006156BF">
        <w:t xml:space="preserve">Submitted by the </w:t>
      </w:r>
      <w:bookmarkStart w:id="0" w:name="_Hlk196900683"/>
      <w:r w:rsidR="006156BF" w:rsidRPr="006156BF">
        <w:t xml:space="preserve">experts of the Informal Working Group on </w:t>
      </w:r>
      <w:r w:rsidR="00115A2F">
        <w:t>EDR/DSSAD</w:t>
      </w:r>
      <w:bookmarkEnd w:id="0"/>
      <w:r w:rsidRPr="000846F8">
        <w:footnoteReference w:customMarkFollows="1" w:id="2"/>
        <w:t>*</w:t>
      </w:r>
    </w:p>
    <w:p w14:paraId="6EE100A1" w14:textId="465D17CD" w:rsidR="000B1EA4" w:rsidRPr="000846F8" w:rsidRDefault="000B1EA4" w:rsidP="000B1EA4">
      <w:pPr>
        <w:spacing w:after="120"/>
        <w:ind w:left="1134" w:right="1134" w:firstLine="567"/>
        <w:jc w:val="both"/>
      </w:pPr>
      <w:r w:rsidRPr="000846F8">
        <w:t xml:space="preserve">The text reproduced below was prepared by the </w:t>
      </w:r>
      <w:r w:rsidR="00385E1C" w:rsidRPr="00385E1C">
        <w:t>experts of the Informal Working Group on EDR/DSSAD</w:t>
      </w:r>
      <w:r w:rsidRPr="000846F8">
        <w:t xml:space="preserve">. It </w:t>
      </w:r>
      <w:r w:rsidR="002A67F1">
        <w:t xml:space="preserve">follows the work from the </w:t>
      </w:r>
      <w:r w:rsidR="00330246" w:rsidRPr="00330246">
        <w:t>GRSG-TF-AVRS amend</w:t>
      </w:r>
      <w:r w:rsidR="002A67F1">
        <w:t>ing the</w:t>
      </w:r>
      <w:r w:rsidR="00330246" w:rsidRPr="00330246">
        <w:t xml:space="preserve"> UN Regulation</w:t>
      </w:r>
      <w:r w:rsidR="005A1334">
        <w:t>s</w:t>
      </w:r>
      <w:r w:rsidR="00330246" w:rsidRPr="00330246">
        <w:t xml:space="preserve"> </w:t>
      </w:r>
      <w:r w:rsidR="002A67F1">
        <w:t>under purview of GRSG</w:t>
      </w:r>
      <w:r w:rsidR="00330246" w:rsidRPr="00330246">
        <w:t xml:space="preserve"> </w:t>
      </w:r>
      <w:proofErr w:type="gramStart"/>
      <w:r w:rsidR="00330246" w:rsidRPr="00330246">
        <w:t>in order to</w:t>
      </w:r>
      <w:proofErr w:type="gramEnd"/>
      <w:r w:rsidR="00330246" w:rsidRPr="00330246">
        <w:t xml:space="preserve"> enable the application of th</w:t>
      </w:r>
      <w:r w:rsidR="00050EC7">
        <w:t>ose</w:t>
      </w:r>
      <w:r w:rsidR="00330246" w:rsidRPr="00330246">
        <w:t xml:space="preserve"> Regulation</w:t>
      </w:r>
      <w:r w:rsidR="00050EC7">
        <w:t>s</w:t>
      </w:r>
      <w:r w:rsidR="00330246" w:rsidRPr="00330246">
        <w:t xml:space="preserve"> to vehicles equipped with an ADS</w:t>
      </w:r>
      <w:r w:rsidRPr="000846F8">
        <w:t>. The modifications to the current text of the UN Regulation are marked in bold for new or strikethrough for deleted characters.</w:t>
      </w:r>
    </w:p>
    <w:p w14:paraId="48E20E8F" w14:textId="77777777" w:rsidR="000B1EA4" w:rsidRPr="000846F8" w:rsidRDefault="000B1EA4" w:rsidP="000B1EA4">
      <w:pPr>
        <w:rPr>
          <w:lang w:eastAsia="ko-KR"/>
        </w:rPr>
      </w:pPr>
      <w:r w:rsidRPr="000846F8">
        <w:rPr>
          <w:lang w:eastAsia="ko-KR"/>
        </w:rPr>
        <w:br w:type="page"/>
      </w:r>
    </w:p>
    <w:p w14:paraId="23555759" w14:textId="77777777" w:rsidR="000B1EA4" w:rsidRPr="000846F8" w:rsidRDefault="000B1EA4" w:rsidP="000B1EA4">
      <w:pPr>
        <w:keepNext/>
        <w:keepLines/>
        <w:tabs>
          <w:tab w:val="right" w:pos="851"/>
        </w:tabs>
        <w:spacing w:before="360" w:after="240" w:line="300" w:lineRule="exact"/>
        <w:ind w:left="1134" w:right="1134" w:hanging="1134"/>
        <w:rPr>
          <w:b/>
          <w:color w:val="FF0000"/>
          <w:sz w:val="28"/>
        </w:rPr>
      </w:pPr>
      <w:r w:rsidRPr="000846F8">
        <w:rPr>
          <w:b/>
          <w:sz w:val="28"/>
        </w:rPr>
        <w:lastRenderedPageBreak/>
        <w:tab/>
        <w:t>I.</w:t>
      </w:r>
      <w:r w:rsidRPr="000846F8">
        <w:rPr>
          <w:b/>
          <w:sz w:val="28"/>
        </w:rPr>
        <w:tab/>
        <w:t>Proposal</w:t>
      </w:r>
    </w:p>
    <w:p w14:paraId="7151F7B2" w14:textId="0E40FCDD" w:rsidR="009C2E32" w:rsidRPr="009C2E32" w:rsidRDefault="008470EB" w:rsidP="009C2E32">
      <w:pPr>
        <w:pStyle w:val="ListParagraph"/>
        <w:numPr>
          <w:ilvl w:val="0"/>
          <w:numId w:val="21"/>
        </w:numPr>
        <w:tabs>
          <w:tab w:val="left" w:pos="2300"/>
          <w:tab w:val="left" w:pos="2800"/>
        </w:tabs>
        <w:spacing w:before="240" w:after="120"/>
        <w:ind w:right="1134"/>
        <w:jc w:val="both"/>
        <w:rPr>
          <w:b/>
          <w:bCs/>
          <w:iCs/>
          <w:sz w:val="28"/>
          <w:szCs w:val="28"/>
        </w:rPr>
      </w:pPr>
      <w:r w:rsidRPr="008470EB">
        <w:rPr>
          <w:b/>
          <w:bCs/>
          <w:iCs/>
          <w:sz w:val="28"/>
          <w:szCs w:val="28"/>
        </w:rPr>
        <w:tab/>
      </w:r>
      <w:r w:rsidR="00D1509F" w:rsidRPr="008470EB">
        <w:rPr>
          <w:b/>
          <w:bCs/>
          <w:iCs/>
          <w:sz w:val="28"/>
          <w:szCs w:val="28"/>
        </w:rPr>
        <w:t>Introduction</w:t>
      </w:r>
    </w:p>
    <w:p w14:paraId="00FF73C6" w14:textId="77777777" w:rsidR="009C2E32" w:rsidRPr="000846F8" w:rsidRDefault="009C2E32" w:rsidP="009C2E32">
      <w:pPr>
        <w:tabs>
          <w:tab w:val="left" w:pos="2300"/>
          <w:tab w:val="left" w:pos="2800"/>
          <w:tab w:val="center" w:pos="4819"/>
        </w:tabs>
        <w:spacing w:before="240" w:after="120"/>
        <w:ind w:left="2268" w:right="1134" w:hanging="1134"/>
        <w:jc w:val="both"/>
        <w:rPr>
          <w:u w:val="single"/>
        </w:rPr>
      </w:pPr>
      <w:r w:rsidRPr="000846F8">
        <w:rPr>
          <w:i/>
        </w:rPr>
        <w:t xml:space="preserve">Insert new paragraph </w:t>
      </w:r>
      <w:r>
        <w:rPr>
          <w:i/>
        </w:rPr>
        <w:t>0.5</w:t>
      </w:r>
      <w:r w:rsidRPr="000846F8">
        <w:rPr>
          <w:i/>
        </w:rPr>
        <w:t>.,</w:t>
      </w:r>
      <w:r w:rsidRPr="000846F8">
        <w:t xml:space="preserve"> to read:</w:t>
      </w:r>
    </w:p>
    <w:p w14:paraId="5FDAA914" w14:textId="4FE723B7" w:rsidR="00614164" w:rsidRPr="008F6F53" w:rsidRDefault="0068312D" w:rsidP="008F6F53">
      <w:pPr>
        <w:tabs>
          <w:tab w:val="left" w:pos="2300"/>
          <w:tab w:val="left" w:pos="2800"/>
        </w:tabs>
        <w:spacing w:before="240" w:after="120"/>
        <w:ind w:left="1134" w:right="1134"/>
        <w:jc w:val="both"/>
        <w:rPr>
          <w:iCs/>
        </w:rPr>
      </w:pPr>
      <w:r>
        <w:rPr>
          <w:iCs/>
        </w:rPr>
        <w:t>“</w:t>
      </w:r>
      <w:r w:rsidRPr="009D5873">
        <w:rPr>
          <w:b/>
          <w:bCs/>
          <w:iCs/>
        </w:rPr>
        <w:t>0.</w:t>
      </w:r>
      <w:r w:rsidR="00AA59D1">
        <w:rPr>
          <w:b/>
          <w:bCs/>
          <w:iCs/>
        </w:rPr>
        <w:t>5</w:t>
      </w:r>
      <w:r w:rsidRPr="009D5873">
        <w:rPr>
          <w:b/>
          <w:bCs/>
          <w:iCs/>
        </w:rPr>
        <w:t>.</w:t>
      </w:r>
      <w:r w:rsidRPr="009D5873">
        <w:rPr>
          <w:b/>
          <w:bCs/>
          <w:iCs/>
        </w:rPr>
        <w:tab/>
      </w:r>
      <w:commentRangeStart w:id="1"/>
      <w:r w:rsidR="00B76016" w:rsidRPr="009D5873">
        <w:rPr>
          <w:b/>
          <w:bCs/>
          <w:lang w:val="en-US"/>
        </w:rPr>
        <w:t xml:space="preserve">Supplement 1 </w:t>
      </w:r>
      <w:r w:rsidR="00722CA6" w:rsidRPr="00722CA6">
        <w:rPr>
          <w:b/>
          <w:bCs/>
          <w:lang w:val="en-US"/>
        </w:rPr>
        <w:t>to the original version of</w:t>
      </w:r>
      <w:r w:rsidR="00722CA6">
        <w:rPr>
          <w:b/>
          <w:bCs/>
          <w:lang w:val="en-US"/>
        </w:rPr>
        <w:t xml:space="preserve"> </w:t>
      </w:r>
      <w:r w:rsidR="00DB3550">
        <w:rPr>
          <w:b/>
          <w:bCs/>
          <w:lang w:val="en-US"/>
        </w:rPr>
        <w:t>this Regulation</w:t>
      </w:r>
      <w:r w:rsidR="00B76016" w:rsidRPr="009D5873">
        <w:rPr>
          <w:b/>
          <w:bCs/>
          <w:lang w:val="en-US"/>
        </w:rPr>
        <w:t xml:space="preserve"> is introduced to </w:t>
      </w:r>
      <w:r w:rsidR="00DB3550">
        <w:rPr>
          <w:b/>
          <w:bCs/>
          <w:lang w:val="en-US"/>
        </w:rPr>
        <w:tab/>
      </w:r>
      <w:r w:rsidR="00B76016" w:rsidRPr="009D5873">
        <w:rPr>
          <w:b/>
          <w:bCs/>
          <w:lang w:val="en-US"/>
        </w:rPr>
        <w:t>take</w:t>
      </w:r>
      <w:r w:rsidR="00DB3550">
        <w:rPr>
          <w:b/>
          <w:bCs/>
          <w:lang w:val="en-US"/>
        </w:rPr>
        <w:t xml:space="preserve"> </w:t>
      </w:r>
      <w:r w:rsidR="00B76016" w:rsidRPr="009D5873">
        <w:rPr>
          <w:b/>
          <w:bCs/>
          <w:lang w:val="en-US"/>
        </w:rPr>
        <w:t>vehicles of categor</w:t>
      </w:r>
      <w:r w:rsidR="009D5873" w:rsidRPr="009D5873">
        <w:rPr>
          <w:b/>
          <w:bCs/>
          <w:lang w:val="en-US"/>
        </w:rPr>
        <w:t>ies</w:t>
      </w:r>
      <w:r w:rsidR="00B76016" w:rsidRPr="009D5873">
        <w:rPr>
          <w:b/>
          <w:bCs/>
          <w:lang w:val="en-US"/>
        </w:rPr>
        <w:t xml:space="preserve"> X</w:t>
      </w:r>
      <w:r w:rsidR="009D5873" w:rsidRPr="009D5873">
        <w:rPr>
          <w:b/>
          <w:bCs/>
          <w:lang w:val="en-US"/>
        </w:rPr>
        <w:t xml:space="preserve"> and Y</w:t>
      </w:r>
      <w:r w:rsidR="00B76016" w:rsidRPr="009D5873">
        <w:rPr>
          <w:b/>
          <w:bCs/>
          <w:lang w:val="en-US"/>
        </w:rPr>
        <w:t xml:space="preserve"> into account</w:t>
      </w:r>
      <w:r w:rsidR="002369FA">
        <w:rPr>
          <w:b/>
          <w:bCs/>
          <w:lang w:val="en-US"/>
        </w:rPr>
        <w:t>,</w:t>
      </w:r>
      <w:r w:rsidR="00B76016" w:rsidRPr="009D5873">
        <w:rPr>
          <w:b/>
          <w:bCs/>
          <w:lang w:val="en-US"/>
        </w:rPr>
        <w:t xml:space="preserve"> </w:t>
      </w:r>
      <w:r w:rsidR="001702F8">
        <w:rPr>
          <w:b/>
          <w:bCs/>
          <w:lang w:val="en-US"/>
        </w:rPr>
        <w:t xml:space="preserve">including </w:t>
      </w:r>
      <w:r w:rsidR="00B76016" w:rsidRPr="009D5873">
        <w:rPr>
          <w:b/>
          <w:bCs/>
          <w:lang w:val="en-US"/>
        </w:rPr>
        <w:t xml:space="preserve">vehicles which </w:t>
      </w:r>
      <w:r w:rsidR="00DB3550">
        <w:rPr>
          <w:b/>
          <w:bCs/>
          <w:lang w:val="en-US"/>
        </w:rPr>
        <w:br/>
      </w:r>
      <w:r w:rsidR="00DB3550">
        <w:rPr>
          <w:b/>
          <w:bCs/>
          <w:lang w:val="en-US"/>
        </w:rPr>
        <w:tab/>
      </w:r>
      <w:r w:rsidR="00B76016" w:rsidRPr="009D5873">
        <w:rPr>
          <w:b/>
          <w:bCs/>
          <w:lang w:val="en-US"/>
        </w:rPr>
        <w:t>can be manually driven by a driver as well as can be operated by an ADS.</w:t>
      </w:r>
      <w:r w:rsidR="009D5873">
        <w:rPr>
          <w:lang w:val="en-US"/>
        </w:rPr>
        <w:t>”</w:t>
      </w:r>
      <w:commentRangeEnd w:id="1"/>
      <w:r w:rsidR="00C3248D">
        <w:rPr>
          <w:rStyle w:val="CommentReference"/>
        </w:rPr>
        <w:commentReference w:id="1"/>
      </w:r>
    </w:p>
    <w:p w14:paraId="5CDAC61B" w14:textId="37FEADF1" w:rsidR="008A1436" w:rsidRPr="007805BD" w:rsidRDefault="008A1436" w:rsidP="008A1436">
      <w:pPr>
        <w:keepNext/>
        <w:keepLines/>
        <w:tabs>
          <w:tab w:val="left" w:pos="2268"/>
        </w:tabs>
        <w:spacing w:before="360" w:after="240" w:line="300" w:lineRule="exact"/>
        <w:ind w:left="2268" w:right="1134" w:hanging="1134"/>
        <w:rPr>
          <w:b/>
          <w:sz w:val="28"/>
        </w:rPr>
      </w:pPr>
      <w:r w:rsidRPr="007805BD">
        <w:rPr>
          <w:b/>
          <w:sz w:val="28"/>
        </w:rPr>
        <w:t>1.</w:t>
      </w:r>
      <w:r w:rsidRPr="007805BD">
        <w:rPr>
          <w:b/>
          <w:sz w:val="28"/>
        </w:rPr>
        <w:tab/>
      </w:r>
      <w:r w:rsidRPr="007805BD">
        <w:rPr>
          <w:b/>
          <w:sz w:val="28"/>
        </w:rPr>
        <w:tab/>
        <w:t>Scope</w:t>
      </w:r>
    </w:p>
    <w:p w14:paraId="421298D6" w14:textId="77777777" w:rsidR="008F6F53" w:rsidRDefault="008F6F53" w:rsidP="008F6F53">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1.1., footnote *, </w:t>
      </w:r>
      <w:r w:rsidRPr="00310475">
        <w:rPr>
          <w:rFonts w:eastAsia="DengXian"/>
          <w:iCs/>
          <w:lang w:eastAsia="zh-CN"/>
        </w:rPr>
        <w:t>amend to read:</w:t>
      </w:r>
    </w:p>
    <w:p w14:paraId="5E7E1F02" w14:textId="77777777" w:rsidR="008F6F53" w:rsidRPr="00F733F2" w:rsidRDefault="008F6F53" w:rsidP="008F6F53">
      <w:pPr>
        <w:pStyle w:val="FootnoteText"/>
        <w:widowControl w:val="0"/>
        <w:tabs>
          <w:tab w:val="left" w:pos="1418"/>
        </w:tabs>
        <w:jc w:val="both"/>
        <w:rPr>
          <w:szCs w:val="18"/>
        </w:rPr>
      </w:pPr>
      <w:r w:rsidRPr="004261D7">
        <w:rPr>
          <w:szCs w:val="18"/>
        </w:rPr>
        <w:tab/>
      </w:r>
      <w:r>
        <w:rPr>
          <w:szCs w:val="18"/>
        </w:rPr>
        <w:tab/>
      </w:r>
      <w:r w:rsidRPr="004261D7">
        <w:rPr>
          <w:szCs w:val="18"/>
        </w:rPr>
        <w:t>"</w:t>
      </w:r>
      <w:r>
        <w:rPr>
          <w:szCs w:val="18"/>
        </w:rPr>
        <w:t xml:space="preserve">* </w:t>
      </w:r>
      <w:r>
        <w:rPr>
          <w:szCs w:val="18"/>
        </w:rPr>
        <w:tab/>
      </w:r>
      <w:r w:rsidRPr="004261D7">
        <w:rPr>
          <w:szCs w:val="18"/>
        </w:rPr>
        <w:t xml:space="preserve">As defined in </w:t>
      </w:r>
      <w:r w:rsidRPr="00692DC0">
        <w:rPr>
          <w:strike/>
          <w:szCs w:val="18"/>
        </w:rPr>
        <w:t>Section 2 of</w:t>
      </w:r>
      <w:r w:rsidRPr="004261D7">
        <w:rPr>
          <w:szCs w:val="18"/>
        </w:rPr>
        <w:t xml:space="preserve"> the Consolidated Resolution on the Construction of Vehicles (R.E.3</w:t>
      </w:r>
      <w:proofErr w:type="gramStart"/>
      <w:r w:rsidRPr="004261D7">
        <w:rPr>
          <w:szCs w:val="18"/>
        </w:rPr>
        <w:t>)</w:t>
      </w:r>
      <w:r w:rsidRPr="00B26711">
        <w:rPr>
          <w:b/>
          <w:bCs/>
          <w:szCs w:val="18"/>
        </w:rPr>
        <w:t xml:space="preserve">, </w:t>
      </w:r>
      <w:r w:rsidRPr="004261D7">
        <w:rPr>
          <w:szCs w:val="18"/>
        </w:rPr>
        <w:t xml:space="preserve"> </w:t>
      </w:r>
      <w:r>
        <w:rPr>
          <w:szCs w:val="18"/>
        </w:rPr>
        <w:tab/>
      </w:r>
      <w:proofErr w:type="gramEnd"/>
      <w:r w:rsidRPr="009A432E">
        <w:rPr>
          <w:strike/>
          <w:szCs w:val="18"/>
        </w:rPr>
        <w:t>(</w:t>
      </w:r>
      <w:r w:rsidRPr="00F733F2">
        <w:rPr>
          <w:szCs w:val="18"/>
        </w:rPr>
        <w:t>document ECE/TRANS/WP.29/78/Rev.</w:t>
      </w:r>
      <w:r>
        <w:rPr>
          <w:strike/>
          <w:szCs w:val="18"/>
        </w:rPr>
        <w:t>7</w:t>
      </w:r>
      <w:r w:rsidRPr="00F733F2">
        <w:rPr>
          <w:b/>
          <w:bCs/>
          <w:szCs w:val="18"/>
        </w:rPr>
        <w:t>8, para 2</w:t>
      </w:r>
      <w:r w:rsidRPr="00F733F2">
        <w:rPr>
          <w:strike/>
          <w:szCs w:val="18"/>
        </w:rPr>
        <w:t>)</w:t>
      </w:r>
      <w:r w:rsidRPr="00F733F2">
        <w:rPr>
          <w:szCs w:val="18"/>
        </w:rPr>
        <w:t xml:space="preserve"> – </w:t>
      </w:r>
    </w:p>
    <w:p w14:paraId="277884B1" w14:textId="77777777" w:rsidR="008F6F53" w:rsidRDefault="008F6F53" w:rsidP="008F6F53">
      <w:pPr>
        <w:pStyle w:val="FootnoteText"/>
        <w:widowControl w:val="0"/>
        <w:tabs>
          <w:tab w:val="left" w:pos="1418"/>
        </w:tabs>
        <w:jc w:val="both"/>
        <w:rPr>
          <w:bCs/>
          <w:i/>
          <w:iCs/>
        </w:rPr>
      </w:pPr>
      <w:r w:rsidRPr="00F733F2">
        <w:rPr>
          <w:szCs w:val="18"/>
        </w:rPr>
        <w:tab/>
      </w:r>
      <w:r w:rsidRPr="00F733F2">
        <w:rPr>
          <w:szCs w:val="18"/>
        </w:rPr>
        <w:tab/>
      </w:r>
      <w:r w:rsidRPr="00F733F2">
        <w:rPr>
          <w:szCs w:val="18"/>
        </w:rPr>
        <w:tab/>
      </w:r>
      <w:hyperlink r:id="rId16" w:history="1">
        <w:r w:rsidRPr="00F733F2">
          <w:rPr>
            <w:rStyle w:val="Hyperlink"/>
            <w:color w:val="auto"/>
            <w:szCs w:val="18"/>
          </w:rPr>
          <w:t>https://unece.org/transport/vehicle-regulations/wp29/resolutions</w:t>
        </w:r>
      </w:hyperlink>
      <w:r w:rsidRPr="005D246B">
        <w:rPr>
          <w:rStyle w:val="Hyperlink"/>
          <w:iCs/>
          <w:color w:val="auto"/>
          <w:szCs w:val="18"/>
        </w:rPr>
        <w:t>"</w:t>
      </w:r>
    </w:p>
    <w:p w14:paraId="279F112F" w14:textId="0281BBE6" w:rsidR="0044755C" w:rsidRPr="000846F8" w:rsidRDefault="0044755C" w:rsidP="0044755C">
      <w:pPr>
        <w:tabs>
          <w:tab w:val="left" w:pos="2300"/>
          <w:tab w:val="left" w:pos="2800"/>
        </w:tabs>
        <w:spacing w:before="240" w:after="120"/>
        <w:ind w:left="2268" w:right="1134" w:hanging="1134"/>
        <w:jc w:val="both"/>
        <w:rPr>
          <w:i/>
        </w:rPr>
      </w:pPr>
      <w:r w:rsidRPr="000846F8">
        <w:rPr>
          <w:i/>
        </w:rPr>
        <w:t>Paragraph 1.</w:t>
      </w:r>
      <w:r>
        <w:rPr>
          <w:i/>
        </w:rPr>
        <w:t>3</w:t>
      </w:r>
      <w:r w:rsidRPr="000846F8">
        <w:rPr>
          <w:i/>
        </w:rPr>
        <w:t xml:space="preserve">., </w:t>
      </w:r>
      <w:r w:rsidRPr="000846F8">
        <w:t>amend to read</w:t>
      </w:r>
      <w:r w:rsidRPr="000846F8">
        <w:rPr>
          <w:iCs/>
        </w:rPr>
        <w:t>:</w:t>
      </w:r>
    </w:p>
    <w:p w14:paraId="12A1C1CD" w14:textId="774F0300" w:rsidR="00614164" w:rsidRDefault="00493FE9" w:rsidP="00614164">
      <w:pPr>
        <w:spacing w:after="120"/>
        <w:ind w:left="2276" w:right="1138" w:hanging="1138"/>
        <w:jc w:val="both"/>
        <w:rPr>
          <w:b/>
          <w:sz w:val="28"/>
        </w:rPr>
      </w:pPr>
      <w:r>
        <w:t>“</w:t>
      </w:r>
      <w:r w:rsidR="008A1436" w:rsidRPr="00D12077">
        <w:t>1.3.</w:t>
      </w:r>
      <w:r w:rsidR="008A1436" w:rsidRPr="00D12077">
        <w:tab/>
      </w:r>
      <w:commentRangeStart w:id="2"/>
      <w:r w:rsidR="003D0507" w:rsidRPr="003D0507">
        <w:t xml:space="preserve">The following data elements are excluded from the scope: Vehicle Identification Number (VIN), associated vehicle details, location/positioning data, information on </w:t>
      </w:r>
      <w:proofErr w:type="gramStart"/>
      <w:r w:rsidR="003D0507" w:rsidRPr="002C33A0">
        <w:rPr>
          <w:strike/>
        </w:rPr>
        <w:t xml:space="preserve">the </w:t>
      </w:r>
      <w:r w:rsidR="003D0507" w:rsidRPr="002C33A0">
        <w:rPr>
          <w:b/>
          <w:bCs/>
        </w:rPr>
        <w:t>a</w:t>
      </w:r>
      <w:proofErr w:type="gramEnd"/>
      <w:r w:rsidR="003D0507" w:rsidRPr="002C33A0">
        <w:rPr>
          <w:b/>
          <w:bCs/>
        </w:rPr>
        <w:t xml:space="preserve"> </w:t>
      </w:r>
      <w:r w:rsidR="003D0507" w:rsidRPr="00D12077">
        <w:t>driver</w:t>
      </w:r>
      <w:r w:rsidR="003D0507">
        <w:t xml:space="preserve"> </w:t>
      </w:r>
      <w:r w:rsidR="003D0507" w:rsidRPr="00493FE9">
        <w:rPr>
          <w:b/>
          <w:bCs/>
        </w:rPr>
        <w:t>(if applicable)</w:t>
      </w:r>
      <w:r w:rsidR="003D0507" w:rsidRPr="003D0507">
        <w:t>, and date and time of an event</w:t>
      </w:r>
      <w:r w:rsidR="008A1436" w:rsidRPr="00D12077">
        <w:t>.</w:t>
      </w:r>
      <w:r>
        <w:t>”</w:t>
      </w:r>
      <w:commentRangeEnd w:id="2"/>
      <w:r w:rsidR="00C3248D">
        <w:rPr>
          <w:rStyle w:val="CommentReference"/>
        </w:rPr>
        <w:commentReference w:id="2"/>
      </w:r>
    </w:p>
    <w:p w14:paraId="02EB335B" w14:textId="62953F14" w:rsidR="00F463E7" w:rsidRDefault="00F463E7" w:rsidP="00F463E7">
      <w:pPr>
        <w:keepNext/>
        <w:keepLines/>
        <w:tabs>
          <w:tab w:val="left" w:pos="2268"/>
        </w:tabs>
        <w:spacing w:before="360" w:after="240" w:line="300" w:lineRule="exact"/>
        <w:ind w:left="2268" w:right="1134" w:hanging="1134"/>
        <w:rPr>
          <w:i/>
        </w:rPr>
      </w:pPr>
      <w:r>
        <w:rPr>
          <w:b/>
          <w:sz w:val="28"/>
        </w:rPr>
        <w:t>2</w:t>
      </w:r>
      <w:r w:rsidRPr="007805BD">
        <w:rPr>
          <w:b/>
          <w:sz w:val="28"/>
        </w:rPr>
        <w:t>.</w:t>
      </w:r>
      <w:r w:rsidRPr="007805BD">
        <w:rPr>
          <w:b/>
          <w:sz w:val="28"/>
        </w:rPr>
        <w:tab/>
      </w:r>
      <w:r>
        <w:rPr>
          <w:b/>
          <w:sz w:val="28"/>
        </w:rPr>
        <w:t>Definitions</w:t>
      </w:r>
    </w:p>
    <w:p w14:paraId="30E39779" w14:textId="1F114999" w:rsidR="000B1EA4" w:rsidRPr="000846F8" w:rsidRDefault="000B1EA4" w:rsidP="000B1EA4">
      <w:pPr>
        <w:tabs>
          <w:tab w:val="left" w:pos="2300"/>
          <w:tab w:val="left" w:pos="2800"/>
        </w:tabs>
        <w:spacing w:before="240" w:after="120"/>
        <w:ind w:left="2268" w:right="1134" w:hanging="1134"/>
        <w:jc w:val="both"/>
        <w:rPr>
          <w:iCs/>
        </w:rPr>
      </w:pPr>
      <w:r w:rsidRPr="000846F8">
        <w:rPr>
          <w:i/>
        </w:rPr>
        <w:t>Paragraph 2.</w:t>
      </w:r>
      <w:r w:rsidR="00354488">
        <w:rPr>
          <w:i/>
        </w:rPr>
        <w:t>40</w:t>
      </w:r>
      <w:r w:rsidRPr="000846F8">
        <w:rPr>
          <w:i/>
        </w:rPr>
        <w:t xml:space="preserve">., </w:t>
      </w:r>
      <w:r w:rsidRPr="000846F8">
        <w:t>amend to read</w:t>
      </w:r>
      <w:r w:rsidRPr="000846F8">
        <w:rPr>
          <w:iCs/>
        </w:rPr>
        <w:t>:</w:t>
      </w:r>
    </w:p>
    <w:p w14:paraId="2636BE12" w14:textId="41DB2447" w:rsidR="00FC6D85" w:rsidRDefault="000B1EA4" w:rsidP="00FC6D85">
      <w:pPr>
        <w:spacing w:after="120"/>
        <w:ind w:left="2268" w:right="1134" w:hanging="1134"/>
        <w:jc w:val="both"/>
      </w:pPr>
      <w:r w:rsidRPr="000846F8">
        <w:t>"2.</w:t>
      </w:r>
      <w:r w:rsidR="00E309C2">
        <w:t>40</w:t>
      </w:r>
      <w:r w:rsidRPr="000846F8">
        <w:t xml:space="preserve">. </w:t>
      </w:r>
      <w:r w:rsidRPr="000846F8">
        <w:tab/>
      </w:r>
      <w:r w:rsidR="00E309C2" w:rsidRPr="00E309C2">
        <w:t>"</w:t>
      </w:r>
      <w:r w:rsidR="00E309C2" w:rsidRPr="00E309C2">
        <w:rPr>
          <w:i/>
          <w:iCs/>
        </w:rPr>
        <w:t>Vehicle master control switch</w:t>
      </w:r>
      <w:r w:rsidR="00E309C2" w:rsidRPr="00E309C2">
        <w:t>" means the device by which the vehicle's on-board electronics system is brought, from being switched off</w:t>
      </w:r>
      <w:r w:rsidR="00E309C2" w:rsidRPr="00F37781">
        <w:rPr>
          <w:strike/>
          <w:color w:val="FF0000"/>
        </w:rPr>
        <w:t xml:space="preserve">, as in the case where a vehicle is parked without the </w:t>
      </w:r>
      <w:r w:rsidR="00C3248D" w:rsidRPr="00F37781">
        <w:rPr>
          <w:strike/>
          <w:color w:val="FF0000"/>
        </w:rPr>
        <w:t xml:space="preserve">user </w:t>
      </w:r>
      <w:r w:rsidR="00E309C2" w:rsidRPr="00F37781">
        <w:rPr>
          <w:strike/>
          <w:color w:val="FF0000"/>
        </w:rPr>
        <w:t xml:space="preserve">driver </w:t>
      </w:r>
      <w:r w:rsidR="00E309C2" w:rsidRPr="00F37781">
        <w:rPr>
          <w:b/>
          <w:bCs/>
          <w:strike/>
          <w:color w:val="FF0000"/>
        </w:rPr>
        <w:t>(if applicable)</w:t>
      </w:r>
      <w:r w:rsidR="00E309C2" w:rsidRPr="00F37781">
        <w:rPr>
          <w:strike/>
          <w:color w:val="FF0000"/>
        </w:rPr>
        <w:t xml:space="preserve"> being present,</w:t>
      </w:r>
      <w:r w:rsidR="00E309C2" w:rsidRPr="00F37781">
        <w:rPr>
          <w:color w:val="FF0000"/>
        </w:rPr>
        <w:t xml:space="preserve"> </w:t>
      </w:r>
      <w:r w:rsidR="00E309C2" w:rsidRPr="00E309C2">
        <w:t>to normal operation mode</w:t>
      </w:r>
      <w:r w:rsidR="00641F0A">
        <w:t>”</w:t>
      </w:r>
      <w:r w:rsidR="00E309C2">
        <w:t>.</w:t>
      </w:r>
    </w:p>
    <w:p w14:paraId="2543A24A" w14:textId="77777777" w:rsidR="00E91028" w:rsidRPr="00E974FB" w:rsidRDefault="00E91028" w:rsidP="00E91028">
      <w:pPr>
        <w:spacing w:after="120" w:line="140" w:lineRule="atLeast"/>
        <w:ind w:left="567" w:right="1134" w:firstLine="567"/>
        <w:jc w:val="both"/>
        <w:rPr>
          <w:i/>
          <w:iCs/>
        </w:rPr>
      </w:pPr>
      <w:r w:rsidRPr="00E974FB">
        <w:rPr>
          <w:i/>
          <w:iCs/>
        </w:rPr>
        <w:t>Amend paragraph 5.3.1.2., to read:</w:t>
      </w:r>
    </w:p>
    <w:p w14:paraId="2EB5A509" w14:textId="77777777" w:rsidR="00E91028" w:rsidRDefault="00E91028" w:rsidP="00E91028">
      <w:pPr>
        <w:spacing w:after="120"/>
        <w:ind w:right="1134"/>
        <w:jc w:val="both"/>
      </w:pPr>
      <w:r>
        <w:tab/>
      </w:r>
      <w:r>
        <w:tab/>
        <w:t xml:space="preserve">5.3.1.2. </w:t>
      </w:r>
      <w:r>
        <w:tab/>
        <w:t>Last Stop: Trigger shall be activated if any of the following applies:</w:t>
      </w:r>
    </w:p>
    <w:p w14:paraId="09890DEF" w14:textId="77777777" w:rsidR="00E91028" w:rsidRDefault="00E91028" w:rsidP="00E91028">
      <w:pPr>
        <w:spacing w:after="40" w:line="140" w:lineRule="atLeast"/>
        <w:ind w:left="2268" w:right="1134"/>
        <w:jc w:val="both"/>
      </w:pPr>
      <w:r>
        <w:t>(a) Vehicle speed is reported as 0 km/h for 20 s.</w:t>
      </w:r>
    </w:p>
    <w:p w14:paraId="69E83E1F" w14:textId="77777777" w:rsidR="00E91028" w:rsidRDefault="00E91028" w:rsidP="00E91028">
      <w:pPr>
        <w:spacing w:after="40" w:line="0" w:lineRule="atLeast"/>
        <w:ind w:left="3402" w:right="1134" w:hanging="1134"/>
        <w:jc w:val="both"/>
      </w:pPr>
      <w:r>
        <w:t>(b) While vehicle speed is reported as 0 km/h, and</w:t>
      </w:r>
    </w:p>
    <w:p w14:paraId="0DA4233A" w14:textId="77777777" w:rsidR="00E91028" w:rsidRDefault="00E91028" w:rsidP="00E91028">
      <w:pPr>
        <w:spacing w:after="40" w:line="0" w:lineRule="atLeast"/>
        <w:ind w:left="3402" w:right="1134" w:hanging="1134"/>
        <w:jc w:val="both"/>
      </w:pPr>
      <w:r>
        <w:t>i. parking brake system is applied, or</w:t>
      </w:r>
    </w:p>
    <w:p w14:paraId="6CE81420" w14:textId="77777777" w:rsidR="00E91028" w:rsidRDefault="00E91028" w:rsidP="00E91028">
      <w:pPr>
        <w:spacing w:after="40" w:line="0" w:lineRule="atLeast"/>
        <w:ind w:left="3402" w:right="1134" w:hanging="1134"/>
        <w:jc w:val="both"/>
      </w:pPr>
      <w:r>
        <w:t>ii. vehicle master control switch is deactivated.</w:t>
      </w:r>
    </w:p>
    <w:p w14:paraId="1E590856" w14:textId="77777777" w:rsidR="00E91028" w:rsidRDefault="00E91028" w:rsidP="00E91028">
      <w:pPr>
        <w:spacing w:after="120" w:line="140" w:lineRule="atLeast"/>
        <w:ind w:left="2268" w:right="1134"/>
        <w:jc w:val="both"/>
      </w:pPr>
      <w:r>
        <w:t>Re-activation of last stop trigger due to threshold criterion (a.) shall be disabled if the vehicle speed is not reported as 24 km/h or more for a minimum of 6s.</w:t>
      </w:r>
    </w:p>
    <w:p w14:paraId="58A196B2" w14:textId="77777777" w:rsidR="00E91028" w:rsidRPr="00492301" w:rsidRDefault="00E91028" w:rsidP="00E91028">
      <w:pPr>
        <w:spacing w:after="120" w:line="140" w:lineRule="atLeast"/>
        <w:ind w:left="2268" w:right="1134"/>
        <w:jc w:val="both"/>
        <w:rPr>
          <w:b/>
          <w:bCs/>
        </w:rPr>
      </w:pPr>
      <w:commentRangeStart w:id="3"/>
      <w:r>
        <w:rPr>
          <w:b/>
          <w:bCs/>
        </w:rPr>
        <w:t>“</w:t>
      </w:r>
      <w:r w:rsidRPr="00492301">
        <w:rPr>
          <w:b/>
          <w:bCs/>
        </w:rPr>
        <w:t xml:space="preserve">In case of </w:t>
      </w:r>
      <w:r w:rsidRPr="00AB20CF">
        <w:rPr>
          <w:b/>
          <w:bCs/>
        </w:rPr>
        <w:t xml:space="preserve">threshold criterion </w:t>
      </w:r>
      <w:r w:rsidRPr="00492301">
        <w:rPr>
          <w:b/>
          <w:bCs/>
        </w:rPr>
        <w:t>(a</w:t>
      </w:r>
      <w:r>
        <w:rPr>
          <w:b/>
          <w:bCs/>
        </w:rPr>
        <w:t>.</w:t>
      </w:r>
      <w:r w:rsidRPr="00492301">
        <w:rPr>
          <w:b/>
          <w:bCs/>
        </w:rPr>
        <w:t xml:space="preserve">), the EDR may write the captured data in volatile memory only. The data from the volatile memory shall be written in the non-volatile memory if any other trigger </w:t>
      </w:r>
      <w:r>
        <w:rPr>
          <w:b/>
          <w:bCs/>
        </w:rPr>
        <w:t>[</w:t>
      </w:r>
      <w:r w:rsidRPr="00492301">
        <w:rPr>
          <w:b/>
          <w:bCs/>
        </w:rPr>
        <w:t>of paragraph 5.3.1.</w:t>
      </w:r>
      <w:r>
        <w:rPr>
          <w:b/>
          <w:bCs/>
        </w:rPr>
        <w:t>]</w:t>
      </w:r>
      <w:r w:rsidRPr="00492301">
        <w:rPr>
          <w:b/>
          <w:bCs/>
        </w:rPr>
        <w:t xml:space="preserve"> occurs or the vehicle master control switch is deactivated.”</w:t>
      </w:r>
      <w:commentRangeEnd w:id="3"/>
      <w:r>
        <w:rPr>
          <w:rStyle w:val="CommentReference"/>
        </w:rPr>
        <w:commentReference w:id="3"/>
      </w:r>
    </w:p>
    <w:p w14:paraId="55B558D3" w14:textId="1525F865" w:rsidR="00FA4771" w:rsidRPr="000846F8" w:rsidRDefault="00FA4771" w:rsidP="00FA4771">
      <w:pPr>
        <w:tabs>
          <w:tab w:val="left" w:pos="2300"/>
          <w:tab w:val="left" w:pos="2800"/>
        </w:tabs>
        <w:spacing w:before="240" w:after="120"/>
        <w:ind w:left="2268" w:right="1134" w:hanging="1134"/>
        <w:jc w:val="both"/>
        <w:rPr>
          <w:i/>
        </w:rPr>
      </w:pPr>
      <w:r w:rsidRPr="000846F8">
        <w:rPr>
          <w:i/>
        </w:rPr>
        <w:t xml:space="preserve">Paragraph </w:t>
      </w:r>
      <w:r>
        <w:rPr>
          <w:i/>
        </w:rPr>
        <w:t>5</w:t>
      </w:r>
      <w:r w:rsidRPr="000846F8">
        <w:rPr>
          <w:i/>
        </w:rPr>
        <w:t>.</w:t>
      </w:r>
      <w:r>
        <w:rPr>
          <w:i/>
        </w:rPr>
        <w:t>4</w:t>
      </w:r>
      <w:r w:rsidRPr="000846F8">
        <w:rPr>
          <w:i/>
        </w:rPr>
        <w:t xml:space="preserve">., </w:t>
      </w:r>
      <w:r w:rsidRPr="000846F8">
        <w:t>amend to read</w:t>
      </w:r>
      <w:r w:rsidRPr="000846F8">
        <w:rPr>
          <w:iCs/>
        </w:rPr>
        <w:t>:</w:t>
      </w:r>
    </w:p>
    <w:p w14:paraId="623D18E0" w14:textId="46B8133E" w:rsidR="00FA4771" w:rsidRPr="00034AE8" w:rsidRDefault="00FA4771" w:rsidP="00FA4771">
      <w:pPr>
        <w:spacing w:after="120"/>
        <w:ind w:left="2268" w:right="1134" w:hanging="1134"/>
        <w:jc w:val="both"/>
        <w:rPr>
          <w:lang w:eastAsia="en-US"/>
        </w:rPr>
      </w:pPr>
      <w:r w:rsidRPr="00034AE8">
        <w:rPr>
          <w:lang w:eastAsia="en-US"/>
        </w:rPr>
        <w:t>5.4.</w:t>
      </w:r>
      <w:r w:rsidRPr="00034AE8">
        <w:rPr>
          <w:lang w:eastAsia="en-US"/>
        </w:rPr>
        <w:tab/>
        <w:t>Survivability</w:t>
      </w:r>
    </w:p>
    <w:p w14:paraId="5CF034D2" w14:textId="77777777" w:rsidR="00FA4771" w:rsidRPr="00034AE8" w:rsidRDefault="00FA4771" w:rsidP="00FA4771">
      <w:pPr>
        <w:spacing w:after="120"/>
        <w:ind w:left="2268" w:right="1134" w:hanging="1134"/>
        <w:jc w:val="both"/>
        <w:rPr>
          <w:lang w:eastAsia="en-US"/>
        </w:rPr>
      </w:pPr>
      <w:r w:rsidRPr="00034AE8">
        <w:rPr>
          <w:lang w:eastAsia="en-US"/>
        </w:rPr>
        <w:t>5.4.1</w:t>
      </w:r>
      <w:r>
        <w:rPr>
          <w:lang w:eastAsia="en-US"/>
        </w:rPr>
        <w:t>.</w:t>
      </w:r>
      <w:r w:rsidRPr="00034AE8">
        <w:rPr>
          <w:lang w:eastAsia="en-US"/>
        </w:rPr>
        <w:t xml:space="preserve"> </w:t>
      </w:r>
      <w:r w:rsidRPr="00034AE8">
        <w:rPr>
          <w:lang w:eastAsia="en-US"/>
        </w:rPr>
        <w:tab/>
        <w:t>The data elements listed in Annex 4 shall be retrievable in the format specified even after an impact. Therefore, event data recorders shall resist inertial loads which may occur during a vehicle crash and be mounted in the vehicle in a position of sufficient structural integrity to protect against physical damage due to front and side impacts that would prevent the retrieval of data. To demonstrate these capabilities, Option 1 or Option 2 applies at the choice of the manufacturer.</w:t>
      </w:r>
    </w:p>
    <w:p w14:paraId="06274844" w14:textId="77777777" w:rsidR="00FA4771" w:rsidRPr="00034AE8" w:rsidRDefault="00FA4771" w:rsidP="00FA4771">
      <w:pPr>
        <w:spacing w:after="120"/>
        <w:ind w:left="2268" w:right="1134"/>
        <w:jc w:val="both"/>
        <w:rPr>
          <w:lang w:eastAsia="en-US"/>
        </w:rPr>
      </w:pPr>
      <w:r w:rsidRPr="00034AE8">
        <w:rPr>
          <w:lang w:eastAsia="en-US"/>
        </w:rPr>
        <w:lastRenderedPageBreak/>
        <w:t xml:space="preserve">Option 1: </w:t>
      </w:r>
    </w:p>
    <w:p w14:paraId="2C0C025D" w14:textId="77777777" w:rsidR="00FA4771" w:rsidRPr="00034AE8" w:rsidRDefault="00FA4771" w:rsidP="00FA4771">
      <w:pPr>
        <w:spacing w:after="120"/>
        <w:ind w:left="2268" w:right="1134"/>
        <w:jc w:val="both"/>
        <w:rPr>
          <w:lang w:eastAsia="en-US"/>
        </w:rPr>
      </w:pPr>
      <w:r w:rsidRPr="00034AE8">
        <w:rPr>
          <w:lang w:eastAsia="en-US"/>
        </w:rPr>
        <w:t>EDR’s shall withstand mechanical shocks at a severity level as specified in the component test of Annex 9C of the 03 or any later series of amendments to UN Regulation No. 100. The devices shall be connected to the test fixture only by the intended mountings provided for the purpose of attaching the event data recorders to the vehicle and in an orientation representative of the vehicle installation.</w:t>
      </w:r>
    </w:p>
    <w:p w14:paraId="63C38353" w14:textId="1253E10B" w:rsidR="00FA4771" w:rsidRPr="00034AE8" w:rsidRDefault="00FA4771" w:rsidP="00FA4771">
      <w:pPr>
        <w:spacing w:after="120"/>
        <w:ind w:left="2268" w:right="1134"/>
        <w:jc w:val="both"/>
        <w:rPr>
          <w:lang w:eastAsia="en-US"/>
        </w:rPr>
      </w:pPr>
      <w:r w:rsidRPr="00034AE8">
        <w:rPr>
          <w:lang w:eastAsia="en-US"/>
        </w:rPr>
        <w:t xml:space="preserve">EDR device(s) shall be mounted in </w:t>
      </w:r>
      <w:r w:rsidR="00E73048">
        <w:rPr>
          <w:lang w:eastAsia="en-US"/>
        </w:rPr>
        <w:t>[</w:t>
      </w:r>
      <w:r w:rsidRPr="00034AE8">
        <w:rPr>
          <w:lang w:eastAsia="en-US"/>
        </w:rPr>
        <w:t xml:space="preserve">the </w:t>
      </w:r>
      <w:bookmarkStart w:id="4" w:name="_Hlk200614134"/>
      <w:r w:rsidRPr="00C3248D">
        <w:rPr>
          <w:color w:val="FF0000"/>
          <w:lang w:eastAsia="en-US"/>
        </w:rPr>
        <w:t>vehicle cab</w:t>
      </w:r>
      <w:r w:rsidR="00C3248D" w:rsidRPr="00C3248D">
        <w:rPr>
          <w:color w:val="FF0000"/>
          <w:lang w:eastAsia="en-US"/>
        </w:rPr>
        <w:t xml:space="preserve">, </w:t>
      </w:r>
      <w:r w:rsidRPr="00C3248D">
        <w:rPr>
          <w:strike/>
          <w:color w:val="FF0000"/>
          <w:lang w:eastAsia="en-US"/>
        </w:rPr>
        <w:t>passenger</w:t>
      </w:r>
      <w:r w:rsidR="00C3248D" w:rsidRPr="00C3248D">
        <w:rPr>
          <w:color w:val="FF0000"/>
          <w:lang w:eastAsia="en-US"/>
        </w:rPr>
        <w:t xml:space="preserve"> </w:t>
      </w:r>
      <w:r w:rsidRPr="00C3248D">
        <w:rPr>
          <w:b/>
          <w:bCs/>
          <w:color w:val="FF0000"/>
          <w:lang w:eastAsia="en-US"/>
        </w:rPr>
        <w:t>occupant</w:t>
      </w:r>
      <w:r w:rsidRPr="00C3248D">
        <w:rPr>
          <w:color w:val="FF0000"/>
          <w:lang w:eastAsia="en-US"/>
        </w:rPr>
        <w:t xml:space="preserve"> compartment</w:t>
      </w:r>
      <w:r w:rsidR="00C3248D" w:rsidRPr="00C3248D">
        <w:rPr>
          <w:color w:val="FF0000"/>
          <w:lang w:eastAsia="en-US"/>
        </w:rPr>
        <w:t>,</w:t>
      </w:r>
      <w:r w:rsidRPr="00C3248D">
        <w:rPr>
          <w:color w:val="FF0000"/>
          <w:lang w:eastAsia="en-US"/>
        </w:rPr>
        <w:t xml:space="preserve"> </w:t>
      </w:r>
      <w:r w:rsidRPr="00E73048">
        <w:rPr>
          <w:color w:val="FF0000"/>
          <w:lang w:eastAsia="en-US"/>
        </w:rPr>
        <w:t>or in</w:t>
      </w:r>
      <w:r w:rsidR="00E73048">
        <w:rPr>
          <w:color w:val="FF0000"/>
          <w:lang w:eastAsia="en-US"/>
        </w:rPr>
        <w:t>]</w:t>
      </w:r>
      <w:r w:rsidRPr="00E73048">
        <w:rPr>
          <w:color w:val="FF0000"/>
          <w:lang w:eastAsia="en-US"/>
        </w:rPr>
        <w:t xml:space="preserve"> a position of sufficient structural integrity </w:t>
      </w:r>
      <w:bookmarkEnd w:id="4"/>
      <w:r w:rsidRPr="00034AE8">
        <w:rPr>
          <w:lang w:eastAsia="en-US"/>
        </w:rPr>
        <w:t>to protect against physical damage (mechanical integrity) that would prevent the retrieval of data at least in front and side impacts of a severity level corresponding to the mechanical shock requirements above. For positions outside the vehicle cab</w:t>
      </w:r>
      <w:r w:rsidR="00E73048">
        <w:rPr>
          <w:lang w:eastAsia="en-US"/>
        </w:rPr>
        <w:t xml:space="preserve"> </w:t>
      </w:r>
      <w:r w:rsidR="00E73048" w:rsidRPr="00E73048">
        <w:rPr>
          <w:color w:val="FF0000"/>
          <w:lang w:eastAsia="en-US"/>
        </w:rPr>
        <w:t>or</w:t>
      </w:r>
      <w:r w:rsidRPr="00034AE8">
        <w:rPr>
          <w:lang w:eastAsia="en-US"/>
        </w:rPr>
        <w:t>/</w:t>
      </w:r>
      <w:r w:rsidRPr="00FA4771">
        <w:rPr>
          <w:strike/>
          <w:lang w:eastAsia="en-US"/>
        </w:rPr>
        <w:t xml:space="preserve"> passenger</w:t>
      </w:r>
      <w:r w:rsidR="00C3248D">
        <w:rPr>
          <w:strike/>
          <w:lang w:eastAsia="en-US"/>
        </w:rPr>
        <w:t xml:space="preserve"> </w:t>
      </w:r>
      <w:r w:rsidRPr="00FA4771">
        <w:rPr>
          <w:b/>
          <w:bCs/>
          <w:lang w:eastAsia="en-US"/>
        </w:rPr>
        <w:t>occupant</w:t>
      </w:r>
      <w:r w:rsidRPr="00034AE8">
        <w:rPr>
          <w:lang w:eastAsia="en-US"/>
        </w:rPr>
        <w:t xml:space="preserve"> compartment, the sufficient structural integrity shall be demonstrated to the technical service together with appropriate documentation (e.g. calculations or simulations).</w:t>
      </w:r>
    </w:p>
    <w:p w14:paraId="5E91E350" w14:textId="77777777" w:rsidR="00FA4771" w:rsidRPr="00034AE8" w:rsidRDefault="00FA4771" w:rsidP="00FA4771">
      <w:pPr>
        <w:spacing w:after="120"/>
        <w:ind w:left="2268" w:right="1134"/>
        <w:jc w:val="both"/>
        <w:rPr>
          <w:lang w:eastAsia="en-US"/>
        </w:rPr>
      </w:pPr>
      <w:r w:rsidRPr="00034AE8">
        <w:rPr>
          <w:lang w:eastAsia="en-US"/>
        </w:rPr>
        <w:t>Option 2:</w:t>
      </w:r>
    </w:p>
    <w:p w14:paraId="1DCA5DF0" w14:textId="77777777" w:rsidR="00FA4771" w:rsidRPr="00034AE8" w:rsidRDefault="00FA4771" w:rsidP="00FA4771">
      <w:pPr>
        <w:spacing w:after="120"/>
        <w:ind w:left="2268" w:right="1134"/>
        <w:jc w:val="both"/>
        <w:rPr>
          <w:lang w:eastAsia="en-US"/>
        </w:rPr>
      </w:pPr>
      <w:r w:rsidRPr="00034AE8">
        <w:rPr>
          <w:lang w:eastAsia="en-US"/>
        </w:rPr>
        <w:t>The manufacturer demonstrates that data is retrievable even after an impact of a severity level set by UN Regulations Nos. 94 (Annex 3), 95 (Annex 4) or 137 (Annex 3)</w:t>
      </w:r>
      <w:r w:rsidRPr="002D757C">
        <w:rPr>
          <w:lang w:eastAsia="en-US"/>
        </w:rPr>
        <w:t>.</w:t>
      </w:r>
    </w:p>
    <w:p w14:paraId="046C5116" w14:textId="77777777" w:rsidR="00A66219" w:rsidRDefault="00A66219" w:rsidP="00A66219">
      <w:pPr>
        <w:tabs>
          <w:tab w:val="left" w:pos="1418"/>
        </w:tabs>
        <w:spacing w:after="120"/>
        <w:ind w:left="1134" w:right="1134"/>
        <w:rPr>
          <w:iCs/>
          <w:sz w:val="18"/>
          <w:szCs w:val="18"/>
        </w:rPr>
      </w:pPr>
    </w:p>
    <w:p w14:paraId="62D6CAFE" w14:textId="53FF613E" w:rsidR="009D75F6" w:rsidRDefault="009D75F6" w:rsidP="00A66219">
      <w:pPr>
        <w:tabs>
          <w:tab w:val="left" w:pos="1418"/>
        </w:tabs>
        <w:spacing w:after="120"/>
        <w:ind w:left="1134" w:right="1134"/>
        <w:rPr>
          <w:szCs w:val="18"/>
        </w:rPr>
      </w:pPr>
      <w:r w:rsidRPr="009641B8">
        <w:rPr>
          <w:i/>
          <w:iCs/>
          <w:szCs w:val="18"/>
        </w:rPr>
        <w:t xml:space="preserve">Annex 4, </w:t>
      </w:r>
      <w:r w:rsidRPr="009641B8">
        <w:rPr>
          <w:szCs w:val="18"/>
        </w:rPr>
        <w:t>amend to read:</w:t>
      </w:r>
    </w:p>
    <w:p w14:paraId="36B7DA48" w14:textId="04976B75" w:rsidR="00B04AA0" w:rsidRPr="00805FD9" w:rsidRDefault="00F10B53" w:rsidP="00B04AA0">
      <w:pPr>
        <w:pStyle w:val="HChG"/>
      </w:pPr>
      <w:r>
        <w:tab/>
      </w:r>
      <w:r>
        <w:tab/>
      </w:r>
      <w:r w:rsidR="00B04AA0" w:rsidRPr="00805FD9">
        <w:t>Annex 4</w:t>
      </w:r>
    </w:p>
    <w:p w14:paraId="463DC716" w14:textId="77777777" w:rsidR="00B04AA0" w:rsidRPr="002877D5" w:rsidRDefault="00B04AA0" w:rsidP="00B04AA0">
      <w:pPr>
        <w:pStyle w:val="HChG"/>
        <w:rPr>
          <w:vertAlign w:val="superscript"/>
        </w:rPr>
      </w:pPr>
      <w:r w:rsidRPr="00805FD9">
        <w:tab/>
      </w:r>
      <w:r w:rsidRPr="00805FD9">
        <w:tab/>
        <w:t xml:space="preserve">Data </w:t>
      </w:r>
      <w:r>
        <w:t>E</w:t>
      </w:r>
      <w:r w:rsidRPr="00805FD9">
        <w:t xml:space="preserve">lements and </w:t>
      </w:r>
      <w:r>
        <w:t>F</w:t>
      </w:r>
      <w:r w:rsidRPr="00805FD9">
        <w:t>ormat</w:t>
      </w:r>
    </w:p>
    <w:p w14:paraId="4B0B630B" w14:textId="77777777" w:rsidR="00B04AA0" w:rsidRDefault="00B04AA0" w:rsidP="00B04AA0">
      <w:pPr>
        <w:spacing w:line="240" w:lineRule="auto"/>
        <w:rPr>
          <w:color w:val="000000"/>
        </w:rPr>
      </w:pPr>
    </w:p>
    <w:p w14:paraId="0EE384DA" w14:textId="77777777" w:rsidR="00B04AA0" w:rsidRPr="00E94CD1" w:rsidRDefault="00B04AA0" w:rsidP="00B04AA0">
      <w:pPr>
        <w:pStyle w:val="Heading8"/>
        <w:widowControl w:val="0"/>
      </w:pPr>
      <w:r w:rsidRPr="00075907">
        <w:t xml:space="preserve">Table 1 - List of data elements </w:t>
      </w:r>
      <w:r w:rsidRPr="00075907">
        <w:rPr>
          <w:rStyle w:val="FootnoteReference"/>
        </w:rPr>
        <w:footnoteReference w:id="3"/>
      </w:r>
    </w:p>
    <w:p w14:paraId="496C493B" w14:textId="77777777" w:rsidR="00B04AA0" w:rsidRPr="00E94CD1" w:rsidRDefault="00B04AA0" w:rsidP="00B04AA0"/>
    <w:tbl>
      <w:tblPr>
        <w:tblW w:w="9637" w:type="dxa"/>
        <w:tblLayout w:type="fixed"/>
        <w:tblCellMar>
          <w:left w:w="0" w:type="dxa"/>
          <w:right w:w="0" w:type="dxa"/>
        </w:tblCellMar>
        <w:tblLook w:val="04A0" w:firstRow="1" w:lastRow="0" w:firstColumn="1" w:lastColumn="0" w:noHBand="0" w:noVBand="1"/>
      </w:tblPr>
      <w:tblGrid>
        <w:gridCol w:w="1363"/>
        <w:gridCol w:w="1273"/>
        <w:gridCol w:w="1273"/>
        <w:gridCol w:w="1091"/>
        <w:gridCol w:w="1455"/>
        <w:gridCol w:w="1000"/>
        <w:gridCol w:w="1192"/>
        <w:gridCol w:w="990"/>
      </w:tblGrid>
      <w:tr w:rsidR="00B04AA0" w:rsidRPr="00E94CD1" w14:paraId="13EF0621" w14:textId="77777777" w:rsidTr="00A5523A">
        <w:trPr>
          <w:cantSplit/>
          <w:tblHeader/>
        </w:trPr>
        <w:tc>
          <w:tcPr>
            <w:tcW w:w="1363" w:type="dxa"/>
            <w:tcBorders>
              <w:top w:val="single" w:sz="4" w:space="0" w:color="auto"/>
              <w:bottom w:val="single" w:sz="12" w:space="0" w:color="auto"/>
            </w:tcBorders>
            <w:shd w:val="clear" w:color="auto" w:fill="auto"/>
            <w:vAlign w:val="bottom"/>
          </w:tcPr>
          <w:p w14:paraId="5A423273" w14:textId="77777777" w:rsidR="00B04AA0" w:rsidRPr="00E94CD1" w:rsidRDefault="00B04AA0" w:rsidP="00A5523A">
            <w:pPr>
              <w:spacing w:before="80" w:after="80" w:line="200" w:lineRule="exact"/>
              <w:ind w:right="113"/>
              <w:rPr>
                <w:rFonts w:eastAsia="Calibri"/>
                <w:lang w:val="en-US"/>
              </w:rPr>
            </w:pPr>
            <w:bookmarkStart w:id="5" w:name="_Hlk57911110"/>
            <w:r w:rsidRPr="00E94CD1">
              <w:rPr>
                <w:rFonts w:eastAsia="Calibri"/>
                <w:lang w:val="en-US"/>
              </w:rPr>
              <w:t>Data element</w:t>
            </w:r>
          </w:p>
        </w:tc>
        <w:tc>
          <w:tcPr>
            <w:tcW w:w="1273" w:type="dxa"/>
            <w:tcBorders>
              <w:top w:val="single" w:sz="4" w:space="0" w:color="auto"/>
              <w:bottom w:val="single" w:sz="12" w:space="0" w:color="auto"/>
            </w:tcBorders>
            <w:shd w:val="clear" w:color="auto" w:fill="auto"/>
            <w:vAlign w:val="bottom"/>
          </w:tcPr>
          <w:p w14:paraId="389653B3" w14:textId="77777777" w:rsidR="00B04AA0" w:rsidRPr="00E94CD1" w:rsidRDefault="00B04AA0" w:rsidP="00A5523A">
            <w:pPr>
              <w:spacing w:before="80" w:after="80" w:line="200" w:lineRule="exact"/>
              <w:ind w:right="113"/>
              <w:rPr>
                <w:rFonts w:eastAsia="Calibri"/>
                <w:lang w:val="en-US"/>
              </w:rPr>
            </w:pPr>
            <w:r w:rsidRPr="00E94CD1">
              <w:rPr>
                <w:rFonts w:eastAsia="Calibri"/>
                <w:lang w:val="en-US"/>
              </w:rPr>
              <w:t>Condition for requirement</w:t>
            </w:r>
            <w:r w:rsidRPr="00E94CD1">
              <w:rPr>
                <w:rStyle w:val="FootnoteReference"/>
                <w:rFonts w:eastAsia="Calibri"/>
                <w:sz w:val="20"/>
                <w:lang w:val="en-US"/>
              </w:rPr>
              <w:footnoteReference w:id="4"/>
            </w:r>
          </w:p>
        </w:tc>
        <w:tc>
          <w:tcPr>
            <w:tcW w:w="1273" w:type="dxa"/>
            <w:tcBorders>
              <w:top w:val="single" w:sz="4" w:space="0" w:color="auto"/>
              <w:bottom w:val="single" w:sz="12" w:space="0" w:color="auto"/>
            </w:tcBorders>
            <w:shd w:val="clear" w:color="auto" w:fill="auto"/>
            <w:vAlign w:val="bottom"/>
          </w:tcPr>
          <w:p w14:paraId="7A15BF68" w14:textId="77777777" w:rsidR="00B04AA0" w:rsidRPr="00E94CD1" w:rsidRDefault="00B04AA0" w:rsidP="00A5523A">
            <w:pPr>
              <w:spacing w:before="80" w:after="80" w:line="200" w:lineRule="exact"/>
              <w:ind w:right="113"/>
              <w:rPr>
                <w:rFonts w:eastAsia="Calibri"/>
                <w:lang w:val="en-US"/>
              </w:rPr>
            </w:pPr>
            <w:r w:rsidRPr="00E94CD1">
              <w:rPr>
                <w:rFonts w:eastAsia="Calibri"/>
                <w:lang w:val="en-US"/>
              </w:rPr>
              <w:t>Recording interval/time</w:t>
            </w:r>
            <w:r w:rsidRPr="00E94CD1">
              <w:rPr>
                <w:rFonts w:eastAsia="Calibri"/>
                <w:vertAlign w:val="superscript"/>
                <w:lang w:val="en-US"/>
              </w:rPr>
              <w:footnoteReference w:id="5"/>
            </w:r>
            <w:r w:rsidRPr="00E94CD1">
              <w:rPr>
                <w:rFonts w:eastAsia="Calibri"/>
                <w:lang w:val="en-US"/>
              </w:rPr>
              <w:t xml:space="preserve"> (relative to trigger event)</w:t>
            </w:r>
          </w:p>
        </w:tc>
        <w:tc>
          <w:tcPr>
            <w:tcW w:w="1091" w:type="dxa"/>
            <w:tcBorders>
              <w:top w:val="single" w:sz="4" w:space="0" w:color="auto"/>
              <w:bottom w:val="single" w:sz="12" w:space="0" w:color="auto"/>
            </w:tcBorders>
            <w:shd w:val="clear" w:color="auto" w:fill="auto"/>
            <w:vAlign w:val="bottom"/>
          </w:tcPr>
          <w:p w14:paraId="2F5D00A1" w14:textId="77777777" w:rsidR="00B04AA0" w:rsidRPr="00E94CD1" w:rsidRDefault="00B04AA0" w:rsidP="00A5523A">
            <w:pPr>
              <w:spacing w:before="80" w:after="80" w:line="200" w:lineRule="exact"/>
              <w:ind w:right="113"/>
              <w:rPr>
                <w:rFonts w:eastAsia="Calibri"/>
                <w:lang w:val="en-US"/>
              </w:rPr>
            </w:pPr>
            <w:r w:rsidRPr="00E94CD1">
              <w:rPr>
                <w:rFonts w:eastAsia="Calibri"/>
                <w:lang w:val="en-US"/>
              </w:rPr>
              <w:t>Data sample rate (samples per second)</w:t>
            </w:r>
          </w:p>
        </w:tc>
        <w:tc>
          <w:tcPr>
            <w:tcW w:w="1455" w:type="dxa"/>
            <w:tcBorders>
              <w:top w:val="single" w:sz="4" w:space="0" w:color="auto"/>
              <w:bottom w:val="single" w:sz="12" w:space="0" w:color="auto"/>
            </w:tcBorders>
            <w:shd w:val="clear" w:color="auto" w:fill="auto"/>
            <w:vAlign w:val="bottom"/>
          </w:tcPr>
          <w:p w14:paraId="1DEDE01B" w14:textId="77777777" w:rsidR="00B04AA0" w:rsidRPr="00E94CD1" w:rsidRDefault="00B04AA0" w:rsidP="00A5523A">
            <w:pPr>
              <w:spacing w:before="80" w:after="80" w:line="200" w:lineRule="exact"/>
              <w:ind w:right="113"/>
              <w:rPr>
                <w:rFonts w:eastAsia="Calibri"/>
                <w:lang w:val="en-US"/>
              </w:rPr>
            </w:pPr>
            <w:r w:rsidRPr="00E94CD1">
              <w:rPr>
                <w:rFonts w:eastAsia="Calibri"/>
                <w:lang w:val="en-US"/>
              </w:rPr>
              <w:t>Minimum range</w:t>
            </w:r>
          </w:p>
        </w:tc>
        <w:tc>
          <w:tcPr>
            <w:tcW w:w="1000" w:type="dxa"/>
            <w:tcBorders>
              <w:top w:val="single" w:sz="4" w:space="0" w:color="auto"/>
              <w:bottom w:val="single" w:sz="12" w:space="0" w:color="auto"/>
            </w:tcBorders>
            <w:shd w:val="clear" w:color="auto" w:fill="auto"/>
            <w:vAlign w:val="bottom"/>
          </w:tcPr>
          <w:p w14:paraId="49BB2774" w14:textId="77777777" w:rsidR="00B04AA0" w:rsidRPr="00E94CD1" w:rsidRDefault="00B04AA0" w:rsidP="00A5523A">
            <w:pPr>
              <w:spacing w:before="80" w:after="80" w:line="200" w:lineRule="exact"/>
              <w:ind w:right="113"/>
              <w:rPr>
                <w:rFonts w:eastAsia="Calibri"/>
                <w:lang w:val="en-US"/>
              </w:rPr>
            </w:pPr>
            <w:r w:rsidRPr="00E94CD1">
              <w:rPr>
                <w:rFonts w:eastAsia="Calibri"/>
                <w:lang w:val="en-US"/>
              </w:rPr>
              <w:t>Accuracy</w:t>
            </w:r>
            <w:r w:rsidRPr="00E94CD1">
              <w:rPr>
                <w:rFonts w:eastAsia="Calibri"/>
                <w:vertAlign w:val="superscript"/>
                <w:lang w:val="en-US"/>
              </w:rPr>
              <w:footnoteReference w:id="6"/>
            </w:r>
          </w:p>
        </w:tc>
        <w:tc>
          <w:tcPr>
            <w:tcW w:w="1192" w:type="dxa"/>
            <w:tcBorders>
              <w:top w:val="single" w:sz="4" w:space="0" w:color="auto"/>
              <w:bottom w:val="single" w:sz="12" w:space="0" w:color="auto"/>
            </w:tcBorders>
            <w:shd w:val="clear" w:color="auto" w:fill="auto"/>
            <w:vAlign w:val="bottom"/>
          </w:tcPr>
          <w:p w14:paraId="2BE55719" w14:textId="77777777" w:rsidR="00B04AA0" w:rsidRPr="00E94CD1" w:rsidRDefault="00B04AA0" w:rsidP="00A5523A">
            <w:pPr>
              <w:spacing w:before="80" w:after="80" w:line="200" w:lineRule="exact"/>
              <w:ind w:right="113"/>
              <w:rPr>
                <w:rFonts w:eastAsia="Calibri"/>
                <w:lang w:val="en-US"/>
              </w:rPr>
            </w:pPr>
            <w:r w:rsidRPr="00E94CD1">
              <w:rPr>
                <w:rFonts w:eastAsia="Calibri"/>
                <w:lang w:val="en-US"/>
              </w:rPr>
              <w:t>Resolution</w:t>
            </w:r>
          </w:p>
        </w:tc>
        <w:tc>
          <w:tcPr>
            <w:tcW w:w="990" w:type="dxa"/>
            <w:tcBorders>
              <w:top w:val="single" w:sz="4" w:space="0" w:color="auto"/>
              <w:bottom w:val="single" w:sz="12" w:space="0" w:color="auto"/>
            </w:tcBorders>
            <w:vAlign w:val="bottom"/>
          </w:tcPr>
          <w:p w14:paraId="184B1846" w14:textId="77777777" w:rsidR="00B04AA0" w:rsidRPr="00E94CD1" w:rsidRDefault="00B04AA0" w:rsidP="00A5523A">
            <w:pPr>
              <w:spacing w:before="80" w:after="80" w:line="200" w:lineRule="exact"/>
              <w:ind w:right="113"/>
              <w:rPr>
                <w:rFonts w:eastAsia="Calibri"/>
                <w:lang w:val="en-US"/>
              </w:rPr>
            </w:pPr>
            <w:bookmarkStart w:id="6" w:name="_Hlk128239866"/>
            <w:r w:rsidRPr="00E94CD1">
              <w:rPr>
                <w:rFonts w:eastAsia="Calibri"/>
                <w:lang w:val="en-US"/>
              </w:rPr>
              <w:t>Data recorded for the following triggers</w:t>
            </w:r>
            <w:bookmarkEnd w:id="6"/>
          </w:p>
        </w:tc>
      </w:tr>
      <w:bookmarkEnd w:id="5"/>
      <w:tr w:rsidR="00685BB8" w:rsidRPr="00E94CD1" w14:paraId="3CE14F5E" w14:textId="77777777" w:rsidTr="00A5523A">
        <w:trPr>
          <w:cantSplit/>
        </w:trPr>
        <w:tc>
          <w:tcPr>
            <w:tcW w:w="1363" w:type="dxa"/>
            <w:tcBorders>
              <w:top w:val="single" w:sz="12" w:space="0" w:color="auto"/>
              <w:bottom w:val="single" w:sz="4" w:space="0" w:color="auto"/>
            </w:tcBorders>
            <w:shd w:val="clear" w:color="auto" w:fill="auto"/>
          </w:tcPr>
          <w:p w14:paraId="53CAEB84" w14:textId="4F5FE215" w:rsidR="00685BB8" w:rsidRPr="00E94CD1" w:rsidRDefault="00685BB8" w:rsidP="00685BB8">
            <w:pPr>
              <w:spacing w:after="120"/>
              <w:ind w:right="113"/>
              <w:rPr>
                <w:rFonts w:eastAsia="Calibri"/>
                <w:lang w:val="en-US"/>
              </w:rPr>
            </w:pPr>
            <w:r w:rsidRPr="00E94CD1">
              <w:rPr>
                <w:rFonts w:eastAsia="Calibri"/>
              </w:rPr>
              <w:t>Frontal Airbag system status</w:t>
            </w:r>
            <w:r w:rsidR="00BC47A0" w:rsidRPr="00BC47A0">
              <w:rPr>
                <w:rFonts w:eastAsia="Calibri"/>
                <w:vertAlign w:val="superscript"/>
              </w:rPr>
              <w:t>11</w:t>
            </w:r>
          </w:p>
        </w:tc>
        <w:tc>
          <w:tcPr>
            <w:tcW w:w="1273" w:type="dxa"/>
            <w:tcBorders>
              <w:top w:val="single" w:sz="12" w:space="0" w:color="auto"/>
              <w:bottom w:val="single" w:sz="4" w:space="0" w:color="auto"/>
            </w:tcBorders>
            <w:shd w:val="clear" w:color="auto" w:fill="auto"/>
          </w:tcPr>
          <w:p w14:paraId="2ABA0464" w14:textId="0E7DBAD7" w:rsidR="00685BB8" w:rsidRPr="00E94CD1" w:rsidRDefault="00685BB8" w:rsidP="00685BB8">
            <w:pPr>
              <w:spacing w:after="120"/>
              <w:ind w:right="113"/>
            </w:pPr>
            <w:r w:rsidRPr="00E94CD1">
              <w:t>Mandatory</w:t>
            </w:r>
          </w:p>
        </w:tc>
        <w:tc>
          <w:tcPr>
            <w:tcW w:w="1273" w:type="dxa"/>
            <w:tcBorders>
              <w:top w:val="single" w:sz="12" w:space="0" w:color="auto"/>
              <w:bottom w:val="single" w:sz="4" w:space="0" w:color="auto"/>
            </w:tcBorders>
            <w:shd w:val="clear" w:color="auto" w:fill="auto"/>
          </w:tcPr>
          <w:p w14:paraId="3D473736" w14:textId="2C711EDD" w:rsidR="00685BB8" w:rsidRPr="00E94CD1" w:rsidRDefault="00685BB8" w:rsidP="00685BB8">
            <w:pPr>
              <w:spacing w:after="120"/>
              <w:ind w:right="113"/>
              <w:rPr>
                <w:highlight w:val="yellow"/>
              </w:rPr>
            </w:pPr>
            <w:r w:rsidRPr="00E94CD1">
              <w:t>Event</w:t>
            </w:r>
            <w:r w:rsidR="00BC47A0" w:rsidRPr="00BC47A0">
              <w:rPr>
                <w:vertAlign w:val="superscript"/>
              </w:rPr>
              <w:t>8</w:t>
            </w:r>
          </w:p>
        </w:tc>
        <w:tc>
          <w:tcPr>
            <w:tcW w:w="1091" w:type="dxa"/>
            <w:tcBorders>
              <w:top w:val="single" w:sz="12" w:space="0" w:color="auto"/>
              <w:bottom w:val="single" w:sz="4" w:space="0" w:color="auto"/>
            </w:tcBorders>
            <w:shd w:val="clear" w:color="auto" w:fill="auto"/>
          </w:tcPr>
          <w:p w14:paraId="701DE603" w14:textId="69FF7172" w:rsidR="00685BB8" w:rsidRPr="00E94CD1" w:rsidRDefault="00685BB8" w:rsidP="00685BB8">
            <w:pPr>
              <w:spacing w:after="120"/>
              <w:ind w:right="113"/>
            </w:pPr>
            <w:r w:rsidRPr="00E94CD1">
              <w:t>N/A</w:t>
            </w:r>
          </w:p>
        </w:tc>
        <w:tc>
          <w:tcPr>
            <w:tcW w:w="1455" w:type="dxa"/>
            <w:tcBorders>
              <w:top w:val="single" w:sz="12" w:space="0" w:color="auto"/>
              <w:bottom w:val="single" w:sz="4" w:space="0" w:color="auto"/>
            </w:tcBorders>
            <w:shd w:val="clear" w:color="auto" w:fill="auto"/>
          </w:tcPr>
          <w:p w14:paraId="460DE14C" w14:textId="0636523C" w:rsidR="00685BB8" w:rsidRPr="00E94CD1" w:rsidRDefault="00685BB8" w:rsidP="00685BB8">
            <w:pPr>
              <w:spacing w:after="120"/>
              <w:ind w:right="113"/>
            </w:pPr>
            <w:r w:rsidRPr="00E94CD1">
              <w:t>N/A</w:t>
            </w:r>
          </w:p>
        </w:tc>
        <w:tc>
          <w:tcPr>
            <w:tcW w:w="1000" w:type="dxa"/>
            <w:tcBorders>
              <w:top w:val="single" w:sz="12" w:space="0" w:color="auto"/>
              <w:bottom w:val="single" w:sz="4" w:space="0" w:color="auto"/>
            </w:tcBorders>
            <w:shd w:val="clear" w:color="auto" w:fill="auto"/>
          </w:tcPr>
          <w:p w14:paraId="1D890324" w14:textId="5620DF10" w:rsidR="00685BB8" w:rsidRPr="00E94CD1" w:rsidRDefault="00685BB8" w:rsidP="00685BB8">
            <w:pPr>
              <w:spacing w:after="120"/>
              <w:ind w:right="113"/>
            </w:pPr>
            <w:r w:rsidRPr="00E94CD1">
              <w:t>N/A</w:t>
            </w:r>
          </w:p>
        </w:tc>
        <w:tc>
          <w:tcPr>
            <w:tcW w:w="1192" w:type="dxa"/>
            <w:tcBorders>
              <w:top w:val="single" w:sz="12" w:space="0" w:color="auto"/>
              <w:bottom w:val="single" w:sz="4" w:space="0" w:color="auto"/>
            </w:tcBorders>
            <w:shd w:val="clear" w:color="auto" w:fill="auto"/>
          </w:tcPr>
          <w:p w14:paraId="2C4A5073" w14:textId="1A627D2B" w:rsidR="00685BB8" w:rsidRPr="00E94CD1" w:rsidRDefault="00685BB8" w:rsidP="00685BB8">
            <w:pPr>
              <w:spacing w:after="120"/>
              <w:ind w:right="113"/>
            </w:pPr>
            <w:r w:rsidRPr="00E94CD1">
              <w:rPr>
                <w:rFonts w:eastAsia="Calibri"/>
                <w:lang w:val="en-US"/>
              </w:rPr>
              <w:t>Faulted, suppressed (</w:t>
            </w:r>
            <w:r w:rsidR="00C86786" w:rsidRPr="00FA4771">
              <w:rPr>
                <w:strike/>
                <w:lang w:eastAsia="en-US"/>
              </w:rPr>
              <w:t>passenger</w:t>
            </w:r>
            <w:r w:rsidR="00C86786">
              <w:rPr>
                <w:strike/>
                <w:lang w:eastAsia="en-US"/>
              </w:rPr>
              <w:t xml:space="preserve"> </w:t>
            </w:r>
            <w:r w:rsidR="00C86786" w:rsidRPr="00FA4771">
              <w:rPr>
                <w:b/>
                <w:bCs/>
                <w:lang w:eastAsia="en-US"/>
              </w:rPr>
              <w:t>occupant</w:t>
            </w:r>
            <w:r w:rsidRPr="00E94CD1">
              <w:rPr>
                <w:rFonts w:eastAsia="Calibri"/>
                <w:lang w:val="en-US"/>
              </w:rPr>
              <w:t>), deployed, not deployed</w:t>
            </w:r>
          </w:p>
        </w:tc>
        <w:tc>
          <w:tcPr>
            <w:tcW w:w="990" w:type="dxa"/>
            <w:tcBorders>
              <w:top w:val="single" w:sz="12" w:space="0" w:color="auto"/>
              <w:bottom w:val="single" w:sz="4" w:space="0" w:color="auto"/>
            </w:tcBorders>
          </w:tcPr>
          <w:p w14:paraId="39FD137C" w14:textId="6099D6D5" w:rsidR="00685BB8" w:rsidRPr="00E94CD1" w:rsidRDefault="00685BB8" w:rsidP="00685BB8">
            <w:pPr>
              <w:spacing w:after="120"/>
              <w:ind w:right="113"/>
              <w:rPr>
                <w:strike/>
              </w:rPr>
            </w:pPr>
            <w:r w:rsidRPr="00E94CD1">
              <w:rPr>
                <w:rFonts w:eastAsia="Calibri"/>
                <w:lang w:val="en-US"/>
              </w:rPr>
              <w:t>Supplemental restraint system</w:t>
            </w:r>
          </w:p>
        </w:tc>
      </w:tr>
    </w:tbl>
    <w:p w14:paraId="4430D7EB" w14:textId="4F68888D" w:rsidR="00FC6D85" w:rsidRDefault="00FC6D85">
      <w:pPr>
        <w:rPr>
          <w:b/>
          <w:sz w:val="28"/>
        </w:rPr>
      </w:pPr>
    </w:p>
    <w:p w14:paraId="6BF6D5BD" w14:textId="094C038C" w:rsidR="000B1EA4" w:rsidRPr="00C641B5" w:rsidRDefault="000B1EA4" w:rsidP="000B1EA4">
      <w:pPr>
        <w:keepNext/>
        <w:keepLines/>
        <w:tabs>
          <w:tab w:val="right" w:pos="851"/>
        </w:tabs>
        <w:spacing w:before="360" w:after="240" w:line="300" w:lineRule="exact"/>
        <w:ind w:left="1134" w:right="1134" w:hanging="1134"/>
        <w:rPr>
          <w:b/>
          <w:color w:val="000000" w:themeColor="text1"/>
          <w:sz w:val="28"/>
        </w:rPr>
      </w:pPr>
      <w:r w:rsidRPr="000846F8">
        <w:rPr>
          <w:b/>
          <w:sz w:val="28"/>
        </w:rPr>
        <w:tab/>
        <w:t>II.</w:t>
      </w:r>
      <w:r w:rsidRPr="000846F8">
        <w:rPr>
          <w:b/>
          <w:sz w:val="28"/>
        </w:rPr>
        <w:tab/>
      </w:r>
      <w:r w:rsidRPr="00C641B5">
        <w:rPr>
          <w:b/>
          <w:color w:val="000000" w:themeColor="text1"/>
          <w:sz w:val="28"/>
        </w:rPr>
        <w:t>Justification</w:t>
      </w:r>
    </w:p>
    <w:p w14:paraId="6B97DF0C" w14:textId="4DBCE171" w:rsidR="0065134E" w:rsidRPr="009641B8" w:rsidRDefault="006E6FF3" w:rsidP="007C0C0E">
      <w:pPr>
        <w:spacing w:after="120"/>
        <w:ind w:left="1134" w:right="1134"/>
        <w:jc w:val="both"/>
      </w:pPr>
      <w:r w:rsidRPr="00C641B5">
        <w:rPr>
          <w:color w:val="000000" w:themeColor="text1"/>
        </w:rPr>
        <w:t xml:space="preserve">The Regulation </w:t>
      </w:r>
      <w:r w:rsidRPr="006E6FF3">
        <w:t>is amended to account for vehicles equipped with an ADS</w:t>
      </w:r>
      <w:r w:rsidR="00A26E1F">
        <w:t>.</w:t>
      </w:r>
    </w:p>
    <w:p w14:paraId="7B45E335" w14:textId="77777777" w:rsidR="000B1EA4" w:rsidRPr="000846F8" w:rsidRDefault="000B1EA4" w:rsidP="000B1EA4">
      <w:pPr>
        <w:spacing w:before="240"/>
        <w:jc w:val="center"/>
        <w:rPr>
          <w:u w:val="single"/>
        </w:rPr>
      </w:pPr>
      <w:r w:rsidRPr="000846F8">
        <w:rPr>
          <w:u w:val="single"/>
        </w:rPr>
        <w:lastRenderedPageBreak/>
        <w:tab/>
      </w:r>
      <w:r w:rsidRPr="000846F8">
        <w:rPr>
          <w:u w:val="single"/>
        </w:rPr>
        <w:tab/>
      </w:r>
      <w:r w:rsidRPr="000846F8">
        <w:rPr>
          <w:u w:val="single"/>
        </w:rPr>
        <w:tab/>
      </w:r>
    </w:p>
    <w:p w14:paraId="1A4033C5" w14:textId="77777777" w:rsidR="001C6663" w:rsidRPr="000846F8" w:rsidRDefault="001C6663" w:rsidP="00595520"/>
    <w:sectPr w:rsidR="001C6663" w:rsidRPr="000846F8" w:rsidSect="000B1EA4">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cKeighan, Caitlin (NHTSA)" w:date="2025-06-12T09:36:00Z" w:initials="CM">
    <w:p w14:paraId="3173B4DE" w14:textId="77777777" w:rsidR="00C3248D" w:rsidRDefault="00C3248D" w:rsidP="00C3248D">
      <w:pPr>
        <w:pStyle w:val="CommentText"/>
      </w:pPr>
      <w:r>
        <w:rPr>
          <w:rStyle w:val="CommentReference"/>
        </w:rPr>
        <w:annotationRef/>
      </w:r>
      <w:r>
        <w:t>Will need to be updated to match final language in proposal regarding UN160.</w:t>
      </w:r>
    </w:p>
  </w:comment>
  <w:comment w:id="2" w:author="McKeighan, Caitlin (NHTSA)" w:date="2025-06-12T09:37:00Z" w:initials="CM">
    <w:p w14:paraId="7966D674" w14:textId="75CD3BEA" w:rsidR="00C3248D" w:rsidRDefault="00C3248D" w:rsidP="00C3248D">
      <w:pPr>
        <w:pStyle w:val="CommentText"/>
      </w:pPr>
      <w:r>
        <w:rPr>
          <w:rStyle w:val="CommentReference"/>
        </w:rPr>
        <w:annotationRef/>
      </w:r>
      <w:r>
        <w:t>Will need to be updated to match final language in proposal regarding UN160.</w:t>
      </w:r>
    </w:p>
  </w:comment>
  <w:comment w:id="3" w:author="McKeighan, Caitlin (NHTSA)" w:date="2025-06-12T10:40:00Z" w:initials="MC(">
    <w:p w14:paraId="103AFAF2" w14:textId="77777777" w:rsidR="00E91028" w:rsidRDefault="00E91028" w:rsidP="00E91028">
      <w:pPr>
        <w:pStyle w:val="CommentText"/>
      </w:pPr>
      <w:r>
        <w:rPr>
          <w:rStyle w:val="CommentReference"/>
        </w:rPr>
        <w:annotationRef/>
      </w:r>
      <w:r>
        <w:t>Add definitions for volatile vs. non-volatile memory as defined in UNR160.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73B4DE" w15:done="0"/>
  <w15:commentEx w15:paraId="7966D674" w15:done="0"/>
  <w15:commentEx w15:paraId="103AFA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F51E04" w16cex:dateUtc="2025-06-12T13:36:00Z"/>
  <w16cex:commentExtensible w16cex:durableId="2BF51E4B" w16cex:dateUtc="2025-06-12T13:37:00Z"/>
  <w16cex:commentExtensible w16cex:durableId="2BF52D21" w16cex:dateUtc="2025-06-12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3B4DE" w16cid:durableId="2BF51E04"/>
  <w16cid:commentId w16cid:paraId="7966D674" w16cid:durableId="2BF51E4B"/>
  <w16cid:commentId w16cid:paraId="103AFAF2" w16cid:durableId="2BF52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2228" w14:textId="77777777" w:rsidR="007D1E58" w:rsidRDefault="007D1E58"/>
  </w:endnote>
  <w:endnote w:type="continuationSeparator" w:id="0">
    <w:p w14:paraId="5EB680A9" w14:textId="77777777" w:rsidR="007D1E58" w:rsidRDefault="007D1E58"/>
  </w:endnote>
  <w:endnote w:type="continuationNotice" w:id="1">
    <w:p w14:paraId="3FF05FFD" w14:textId="77777777" w:rsidR="007D1E58" w:rsidRDefault="007D1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B953" w14:textId="4C9BF9A4" w:rsidR="000B1EA4" w:rsidRPr="000B1EA4" w:rsidRDefault="000B1EA4" w:rsidP="000B1EA4">
    <w:pPr>
      <w:pStyle w:val="Footer"/>
      <w:tabs>
        <w:tab w:val="right" w:pos="9638"/>
      </w:tabs>
      <w:rPr>
        <w:sz w:val="18"/>
      </w:rPr>
    </w:pP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2</w:t>
    </w:r>
    <w:r w:rsidRPr="000B1E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2C1" w14:textId="60AB91A9" w:rsidR="000B1EA4" w:rsidRPr="000B1EA4" w:rsidRDefault="000B1EA4" w:rsidP="000B1EA4">
    <w:pPr>
      <w:pStyle w:val="Footer"/>
      <w:tabs>
        <w:tab w:val="right" w:pos="9638"/>
      </w:tabs>
      <w:rPr>
        <w:b/>
        <w:sz w:val="18"/>
      </w:rPr>
    </w:pPr>
    <w:r>
      <w:tab/>
    </w: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3</w:t>
    </w:r>
    <w:r w:rsidRPr="000B1EA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F2B" w14:textId="7E986D73" w:rsidR="005E7B0B" w:rsidRDefault="005E7B0B" w:rsidP="005E7B0B">
    <w:pPr>
      <w:pStyle w:val="Footer"/>
    </w:pPr>
    <w:r>
      <w:rPr>
        <w:noProof/>
        <w:sz w:val="20"/>
      </w:rPr>
      <w:drawing>
        <wp:anchor distT="0" distB="0" distL="114300" distR="114300" simplePos="0" relativeHeight="251658241" behindDoc="0" locked="0" layoutInCell="1" allowOverlap="1" wp14:anchorId="01C5376B" wp14:editId="4ABF3BDD">
          <wp:simplePos x="0" y="0"/>
          <wp:positionH relativeFrom="column">
            <wp:posOffset>5521759</wp:posOffset>
          </wp:positionH>
          <wp:positionV relativeFrom="paragraph">
            <wp:posOffset>-74142</wp:posOffset>
          </wp:positionV>
          <wp:extent cx="571500" cy="571500"/>
          <wp:effectExtent l="0" t="0" r="0" b="0"/>
          <wp:wrapNone/>
          <wp:docPr id="605739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8240" behindDoc="0" locked="1" layoutInCell="1" allowOverlap="1" wp14:anchorId="160D2954" wp14:editId="275758A1">
          <wp:simplePos x="0" y="0"/>
          <wp:positionH relativeFrom="margin">
            <wp:posOffset>4417060</wp:posOffset>
          </wp:positionH>
          <wp:positionV relativeFrom="margin">
            <wp:posOffset>9287510</wp:posOffset>
          </wp:positionV>
          <wp:extent cx="932180" cy="229870"/>
          <wp:effectExtent l="0" t="0" r="1270" b="0"/>
          <wp:wrapNone/>
          <wp:docPr id="891244392"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374F156" w14:textId="7A6E9008" w:rsidR="005E7B0B" w:rsidRPr="005E7B0B" w:rsidRDefault="005E7B0B" w:rsidP="005E7B0B">
    <w:pPr>
      <w:pStyle w:val="Footer"/>
      <w:ind w:right="1134"/>
      <w:rPr>
        <w:sz w:val="20"/>
      </w:rPr>
    </w:pPr>
    <w:r>
      <w:rPr>
        <w:sz w:val="20"/>
      </w:rPr>
      <w:t>GE.25-</w:t>
    </w:r>
    <w:proofErr w:type="gramStart"/>
    <w:r>
      <w:rPr>
        <w:sz w:val="20"/>
      </w:rPr>
      <w:t>00997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5FE8" w14:textId="77777777" w:rsidR="007D1E58" w:rsidRPr="000B175B" w:rsidRDefault="007D1E58" w:rsidP="000B175B">
      <w:pPr>
        <w:tabs>
          <w:tab w:val="right" w:pos="2155"/>
        </w:tabs>
        <w:spacing w:after="80"/>
        <w:ind w:left="680"/>
        <w:rPr>
          <w:u w:val="single"/>
        </w:rPr>
      </w:pPr>
      <w:r>
        <w:rPr>
          <w:u w:val="single"/>
        </w:rPr>
        <w:tab/>
      </w:r>
    </w:p>
  </w:footnote>
  <w:footnote w:type="continuationSeparator" w:id="0">
    <w:p w14:paraId="3CE9FBC0" w14:textId="77777777" w:rsidR="007D1E58" w:rsidRPr="00FC68B7" w:rsidRDefault="007D1E58" w:rsidP="00FC68B7">
      <w:pPr>
        <w:tabs>
          <w:tab w:val="left" w:pos="2155"/>
        </w:tabs>
        <w:spacing w:after="80"/>
        <w:ind w:left="680"/>
        <w:rPr>
          <w:u w:val="single"/>
        </w:rPr>
      </w:pPr>
      <w:r>
        <w:rPr>
          <w:u w:val="single"/>
        </w:rPr>
        <w:tab/>
      </w:r>
    </w:p>
  </w:footnote>
  <w:footnote w:type="continuationNotice" w:id="1">
    <w:p w14:paraId="7D4EAF1F" w14:textId="77777777" w:rsidR="007D1E58" w:rsidRDefault="007D1E58"/>
  </w:footnote>
  <w:footnote w:id="2">
    <w:p w14:paraId="2AEA900E" w14:textId="37D7EA77" w:rsidR="000B1EA4" w:rsidRPr="003E165D" w:rsidRDefault="000B1EA4" w:rsidP="000B1EA4">
      <w:pPr>
        <w:pStyle w:val="FootnoteText"/>
        <w:jc w:val="both"/>
      </w:pPr>
      <w:r>
        <w:tab/>
      </w:r>
      <w:r w:rsidRPr="00EA370C">
        <w:rPr>
          <w:rStyle w:val="FootnoteReference"/>
          <w:sz w:val="20"/>
          <w:lang w:val="en-US"/>
        </w:rPr>
        <w:t>*</w:t>
      </w:r>
      <w:r w:rsidRPr="00EA370C">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to enhance the performance of vehicles. The present document is submitted in conformity with that mandate</w:t>
      </w:r>
      <w:r w:rsidRPr="00624CAF">
        <w:rPr>
          <w:szCs w:val="18"/>
        </w:rPr>
        <w:t>.</w:t>
      </w:r>
    </w:p>
  </w:footnote>
  <w:footnote w:id="3">
    <w:p w14:paraId="2AAEA264" w14:textId="77777777" w:rsidR="00B04AA0" w:rsidRPr="00E94CD1" w:rsidRDefault="00B04AA0" w:rsidP="00B04AA0">
      <w:pPr>
        <w:pStyle w:val="FootnoteText"/>
        <w:ind w:hanging="234"/>
        <w:rPr>
          <w:lang w:val="en-US"/>
        </w:rPr>
      </w:pPr>
      <w:r w:rsidRPr="00E94CD1">
        <w:tab/>
      </w:r>
      <w:r w:rsidRPr="00E94CD1">
        <w:rPr>
          <w:rStyle w:val="FootnoteReference"/>
        </w:rPr>
        <w:footnoteRef/>
      </w:r>
      <w:r w:rsidRPr="00E94CD1">
        <w:t xml:space="preserve"> </w:t>
      </w:r>
      <w:r w:rsidRPr="00E94CD1">
        <w:tab/>
      </w:r>
      <w:r w:rsidRPr="00E94CD1">
        <w:tab/>
      </w:r>
      <w:r w:rsidRPr="00E94CD1">
        <w:rPr>
          <w:lang w:val="en-US"/>
        </w:rPr>
        <w:t xml:space="preserve">Format requirements </w:t>
      </w:r>
      <w:r w:rsidRPr="00E94CD1">
        <w:t>specified</w:t>
      </w:r>
      <w:r w:rsidRPr="00E94CD1">
        <w:rPr>
          <w:lang w:val="en-US"/>
        </w:rPr>
        <w:t xml:space="preserve"> below are minimum requirements and manufacturers can exceed them.</w:t>
      </w:r>
    </w:p>
  </w:footnote>
  <w:footnote w:id="4">
    <w:p w14:paraId="0898969F" w14:textId="77777777" w:rsidR="00B04AA0" w:rsidRPr="00E94CD1" w:rsidRDefault="00B04AA0" w:rsidP="00B04AA0">
      <w:pPr>
        <w:pStyle w:val="FootnoteText"/>
      </w:pPr>
      <w:r w:rsidRPr="00E94CD1">
        <w:tab/>
      </w:r>
      <w:r w:rsidRPr="00E94CD1">
        <w:rPr>
          <w:rStyle w:val="FootnoteReference"/>
        </w:rPr>
        <w:footnoteRef/>
      </w:r>
      <w:r w:rsidRPr="00E94CD1">
        <w:tab/>
      </w:r>
      <w:r>
        <w:rPr>
          <w:lang w:val="en-US"/>
        </w:rPr>
        <w:t>"</w:t>
      </w:r>
      <w:r w:rsidRPr="00E94CD1">
        <w:rPr>
          <w:lang w:val="en-US"/>
        </w:rPr>
        <w:t>Mandatory</w:t>
      </w:r>
      <w:r>
        <w:rPr>
          <w:lang w:val="en-US"/>
        </w:rPr>
        <w:t>"</w:t>
      </w:r>
      <w:r w:rsidRPr="00E94CD1">
        <w:rPr>
          <w:lang w:val="en-US"/>
        </w:rPr>
        <w:t xml:space="preserve"> is subject to the conditions detailed in paragraph 1.</w:t>
      </w:r>
    </w:p>
  </w:footnote>
  <w:footnote w:id="5">
    <w:p w14:paraId="60D6FF64" w14:textId="77777777" w:rsidR="00B04AA0" w:rsidRPr="00E94CD1" w:rsidRDefault="00B04AA0" w:rsidP="00B04AA0">
      <w:pPr>
        <w:pStyle w:val="FootnoteText"/>
      </w:pPr>
      <w:r w:rsidRPr="00E94CD1">
        <w:tab/>
      </w:r>
      <w:r w:rsidRPr="00E94CD1">
        <w:rPr>
          <w:rStyle w:val="FootnoteReference"/>
          <w:szCs w:val="18"/>
        </w:rPr>
        <w:footnoteRef/>
      </w:r>
      <w:r w:rsidRPr="00E94CD1">
        <w:t xml:space="preserve"> </w:t>
      </w:r>
      <w:r w:rsidRPr="00E94CD1">
        <w:tab/>
        <w:t xml:space="preserve">Pre-crash data and crash data are asynchronous. The sample time accuracy requirement for pre-crash time is -0.1 to 1.0 sec (e.g., T = -1 would need to occur between -1.1 and 0 seconds.) </w:t>
      </w:r>
    </w:p>
  </w:footnote>
  <w:footnote w:id="6">
    <w:p w14:paraId="331090EC" w14:textId="77777777" w:rsidR="00B04AA0" w:rsidRPr="00E94CD1" w:rsidRDefault="00B04AA0" w:rsidP="00B04AA0">
      <w:pPr>
        <w:pStyle w:val="FootnoteText"/>
      </w:pPr>
      <w:r w:rsidRPr="00E94CD1">
        <w:tab/>
      </w:r>
      <w:r w:rsidRPr="00E94CD1">
        <w:rPr>
          <w:rStyle w:val="FootnoteReference"/>
        </w:rPr>
        <w:footnoteRef/>
      </w:r>
      <w:r w:rsidRPr="00E94CD1">
        <w:t xml:space="preserve"> </w:t>
      </w:r>
      <w:r w:rsidRPr="00E94CD1">
        <w:tab/>
        <w:t>Accuracy requirement only applies within the range of the physical sensor. If measurements captured by a sensor exceed the design range of the sensor, the reported element shall indicate when the measurement first exceeded the design range of the sensor.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6D0" w14:textId="1CD00487" w:rsidR="000B1EA4" w:rsidRPr="000B1EA4" w:rsidRDefault="00000000">
    <w:pPr>
      <w:pStyle w:val="Header"/>
    </w:pPr>
    <w:r>
      <w:fldChar w:fldCharType="begin"/>
    </w:r>
    <w:r>
      <w:instrText xml:space="preserve"> TITLE  \* MERGEFORMAT </w:instrText>
    </w:r>
    <w:r>
      <w:fldChar w:fldCharType="separate"/>
    </w:r>
    <w:r w:rsidR="00956008">
      <w:t>ECE/TRANS/WP.29/GRSG/2025/</w:t>
    </w:r>
    <w:r w:rsidR="005C1911">
      <w:t>YY</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0E8" w14:textId="430C6B95" w:rsidR="000B1EA4" w:rsidRPr="000B1EA4" w:rsidRDefault="00000000" w:rsidP="000B1EA4">
    <w:pPr>
      <w:pStyle w:val="Header"/>
      <w:jc w:val="right"/>
    </w:pPr>
    <w:fldSimple w:instr=" TITLE  \* MERGEFORMAT ">
      <w:r w:rsidR="00956008">
        <w:t>ECE/TRANS/WP.29/GRSG/2025/</w:t>
      </w:r>
      <w:r w:rsidR="0061390E">
        <w:t>YY</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D51697"/>
    <w:multiLevelType w:val="multilevel"/>
    <w:tmpl w:val="F75AE88E"/>
    <w:lvl w:ilvl="0">
      <w:numFmt w:val="decimal"/>
      <w:lvlText w:val="%1."/>
      <w:lvlJc w:val="left"/>
      <w:pPr>
        <w:ind w:left="1494"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0" w15:restartNumberingAfterBreak="0">
    <w:nsid w:val="71F05E60"/>
    <w:multiLevelType w:val="hybridMultilevel"/>
    <w:tmpl w:val="B6624FA0"/>
    <w:lvl w:ilvl="0" w:tplc="0407000F">
      <w:start w:val="1"/>
      <w:numFmt w:val="decimal"/>
      <w:lvlText w:val="%1."/>
      <w:lvlJc w:val="left"/>
      <w:pPr>
        <w:ind w:left="6030" w:hanging="360"/>
      </w:p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69985810">
    <w:abstractNumId w:val="1"/>
  </w:num>
  <w:num w:numId="2" w16cid:durableId="1716390396">
    <w:abstractNumId w:val="0"/>
  </w:num>
  <w:num w:numId="3" w16cid:durableId="2110193780">
    <w:abstractNumId w:val="2"/>
  </w:num>
  <w:num w:numId="4" w16cid:durableId="852230718">
    <w:abstractNumId w:val="3"/>
  </w:num>
  <w:num w:numId="5" w16cid:durableId="749616534">
    <w:abstractNumId w:val="8"/>
  </w:num>
  <w:num w:numId="6" w16cid:durableId="74014676">
    <w:abstractNumId w:val="9"/>
  </w:num>
  <w:num w:numId="7" w16cid:durableId="50429632">
    <w:abstractNumId w:val="7"/>
  </w:num>
  <w:num w:numId="8" w16cid:durableId="1297561801">
    <w:abstractNumId w:val="6"/>
  </w:num>
  <w:num w:numId="9" w16cid:durableId="875120523">
    <w:abstractNumId w:val="5"/>
  </w:num>
  <w:num w:numId="10" w16cid:durableId="1069841246">
    <w:abstractNumId w:val="4"/>
  </w:num>
  <w:num w:numId="11" w16cid:durableId="1933514449">
    <w:abstractNumId w:val="15"/>
  </w:num>
  <w:num w:numId="12" w16cid:durableId="1211183943">
    <w:abstractNumId w:val="14"/>
  </w:num>
  <w:num w:numId="13" w16cid:durableId="482426443">
    <w:abstractNumId w:val="10"/>
  </w:num>
  <w:num w:numId="14" w16cid:durableId="539629582">
    <w:abstractNumId w:val="12"/>
  </w:num>
  <w:num w:numId="15" w16cid:durableId="650136043">
    <w:abstractNumId w:val="16"/>
  </w:num>
  <w:num w:numId="16" w16cid:durableId="462188031">
    <w:abstractNumId w:val="13"/>
  </w:num>
  <w:num w:numId="17" w16cid:durableId="393236747">
    <w:abstractNumId w:val="18"/>
  </w:num>
  <w:num w:numId="18" w16cid:durableId="920482846">
    <w:abstractNumId w:val="21"/>
  </w:num>
  <w:num w:numId="19" w16cid:durableId="662591124">
    <w:abstractNumId w:val="11"/>
  </w:num>
  <w:num w:numId="20" w16cid:durableId="1793862634">
    <w:abstractNumId w:val="20"/>
  </w:num>
  <w:num w:numId="21" w16cid:durableId="1329136070">
    <w:abstractNumId w:val="17"/>
  </w:num>
  <w:num w:numId="22" w16cid:durableId="382218942">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Keighan, Caitlin (NHTSA)">
    <w15:presenceInfo w15:providerId="AD" w15:userId="S::c.mckeighan@ad.dot.gov::def1b351-bf58-4f58-9bba-91a62cda63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A4"/>
    <w:rsid w:val="00002A7D"/>
    <w:rsid w:val="000038A8"/>
    <w:rsid w:val="00005DF3"/>
    <w:rsid w:val="00006790"/>
    <w:rsid w:val="00022C3A"/>
    <w:rsid w:val="00027624"/>
    <w:rsid w:val="00030046"/>
    <w:rsid w:val="00050EC7"/>
    <w:rsid w:val="00050F6B"/>
    <w:rsid w:val="00052394"/>
    <w:rsid w:val="000678CD"/>
    <w:rsid w:val="00070EFE"/>
    <w:rsid w:val="00072C8C"/>
    <w:rsid w:val="00081CE0"/>
    <w:rsid w:val="00082E89"/>
    <w:rsid w:val="000833E8"/>
    <w:rsid w:val="00083559"/>
    <w:rsid w:val="000846F8"/>
    <w:rsid w:val="00084D30"/>
    <w:rsid w:val="00090320"/>
    <w:rsid w:val="00092950"/>
    <w:rsid w:val="000931C0"/>
    <w:rsid w:val="0009682C"/>
    <w:rsid w:val="00097003"/>
    <w:rsid w:val="00097572"/>
    <w:rsid w:val="000A2E09"/>
    <w:rsid w:val="000B175B"/>
    <w:rsid w:val="000B1EA4"/>
    <w:rsid w:val="000B3A0F"/>
    <w:rsid w:val="000B5E89"/>
    <w:rsid w:val="000C0A99"/>
    <w:rsid w:val="000C126D"/>
    <w:rsid w:val="000C35C3"/>
    <w:rsid w:val="000C66EA"/>
    <w:rsid w:val="000D0718"/>
    <w:rsid w:val="000D3C26"/>
    <w:rsid w:val="000E0415"/>
    <w:rsid w:val="000E39E4"/>
    <w:rsid w:val="000E5811"/>
    <w:rsid w:val="000F7715"/>
    <w:rsid w:val="00105BE6"/>
    <w:rsid w:val="00115A2F"/>
    <w:rsid w:val="00117618"/>
    <w:rsid w:val="001347E9"/>
    <w:rsid w:val="00156B99"/>
    <w:rsid w:val="001576B3"/>
    <w:rsid w:val="001628CF"/>
    <w:rsid w:val="00166124"/>
    <w:rsid w:val="0016625F"/>
    <w:rsid w:val="001702F8"/>
    <w:rsid w:val="00177CC4"/>
    <w:rsid w:val="00184DDA"/>
    <w:rsid w:val="001900CD"/>
    <w:rsid w:val="00190DA2"/>
    <w:rsid w:val="001A0452"/>
    <w:rsid w:val="001A0E5C"/>
    <w:rsid w:val="001B408D"/>
    <w:rsid w:val="001B4B04"/>
    <w:rsid w:val="001B4D72"/>
    <w:rsid w:val="001B5875"/>
    <w:rsid w:val="001B58F1"/>
    <w:rsid w:val="001C4B9C"/>
    <w:rsid w:val="001C6663"/>
    <w:rsid w:val="001C7895"/>
    <w:rsid w:val="001D0939"/>
    <w:rsid w:val="001D26DF"/>
    <w:rsid w:val="001E139C"/>
    <w:rsid w:val="001E7F01"/>
    <w:rsid w:val="001F1599"/>
    <w:rsid w:val="001F19C4"/>
    <w:rsid w:val="001F4B0E"/>
    <w:rsid w:val="002043F0"/>
    <w:rsid w:val="002107B7"/>
    <w:rsid w:val="00211E0B"/>
    <w:rsid w:val="0021315F"/>
    <w:rsid w:val="00232575"/>
    <w:rsid w:val="00232B74"/>
    <w:rsid w:val="002369FA"/>
    <w:rsid w:val="00241EF5"/>
    <w:rsid w:val="002423AC"/>
    <w:rsid w:val="00247258"/>
    <w:rsid w:val="00257CAC"/>
    <w:rsid w:val="00266866"/>
    <w:rsid w:val="00271E29"/>
    <w:rsid w:val="0027237A"/>
    <w:rsid w:val="002974E9"/>
    <w:rsid w:val="002A306B"/>
    <w:rsid w:val="002A46D5"/>
    <w:rsid w:val="002A67F1"/>
    <w:rsid w:val="002A7F94"/>
    <w:rsid w:val="002B109A"/>
    <w:rsid w:val="002C33A0"/>
    <w:rsid w:val="002C6D45"/>
    <w:rsid w:val="002D4960"/>
    <w:rsid w:val="002D5BC8"/>
    <w:rsid w:val="002D6E53"/>
    <w:rsid w:val="002E6770"/>
    <w:rsid w:val="002E7CD0"/>
    <w:rsid w:val="002F046D"/>
    <w:rsid w:val="002F0E4B"/>
    <w:rsid w:val="002F3023"/>
    <w:rsid w:val="00301764"/>
    <w:rsid w:val="003077B8"/>
    <w:rsid w:val="003227F6"/>
    <w:rsid w:val="003229D8"/>
    <w:rsid w:val="003278E9"/>
    <w:rsid w:val="00330246"/>
    <w:rsid w:val="00336C97"/>
    <w:rsid w:val="00337F88"/>
    <w:rsid w:val="003421C1"/>
    <w:rsid w:val="00342432"/>
    <w:rsid w:val="0035047B"/>
    <w:rsid w:val="0035223F"/>
    <w:rsid w:val="00352D4B"/>
    <w:rsid w:val="00354488"/>
    <w:rsid w:val="0035638C"/>
    <w:rsid w:val="00385E1C"/>
    <w:rsid w:val="0038715A"/>
    <w:rsid w:val="00394EF2"/>
    <w:rsid w:val="00396F06"/>
    <w:rsid w:val="003A46BB"/>
    <w:rsid w:val="003A4EC7"/>
    <w:rsid w:val="003A7295"/>
    <w:rsid w:val="003B0373"/>
    <w:rsid w:val="003B1F60"/>
    <w:rsid w:val="003B627A"/>
    <w:rsid w:val="003C1C59"/>
    <w:rsid w:val="003C2CC4"/>
    <w:rsid w:val="003D0507"/>
    <w:rsid w:val="003D4B23"/>
    <w:rsid w:val="003E278A"/>
    <w:rsid w:val="003E6AF7"/>
    <w:rsid w:val="003F46FD"/>
    <w:rsid w:val="003F6AEC"/>
    <w:rsid w:val="003F6F74"/>
    <w:rsid w:val="00407F85"/>
    <w:rsid w:val="00412714"/>
    <w:rsid w:val="00413520"/>
    <w:rsid w:val="004261D7"/>
    <w:rsid w:val="004267E7"/>
    <w:rsid w:val="00430D8E"/>
    <w:rsid w:val="00431FAF"/>
    <w:rsid w:val="004325CB"/>
    <w:rsid w:val="00440A07"/>
    <w:rsid w:val="0044755C"/>
    <w:rsid w:val="00452046"/>
    <w:rsid w:val="004552D9"/>
    <w:rsid w:val="00462880"/>
    <w:rsid w:val="00464598"/>
    <w:rsid w:val="00465796"/>
    <w:rsid w:val="00470578"/>
    <w:rsid w:val="00476F24"/>
    <w:rsid w:val="00493FE9"/>
    <w:rsid w:val="004A5D33"/>
    <w:rsid w:val="004B1BBA"/>
    <w:rsid w:val="004C55B0"/>
    <w:rsid w:val="004C56D8"/>
    <w:rsid w:val="004D617D"/>
    <w:rsid w:val="004F4F02"/>
    <w:rsid w:val="004F6BA0"/>
    <w:rsid w:val="00503BEA"/>
    <w:rsid w:val="005050F5"/>
    <w:rsid w:val="00513E68"/>
    <w:rsid w:val="00515715"/>
    <w:rsid w:val="00533616"/>
    <w:rsid w:val="00535ABA"/>
    <w:rsid w:val="0053768B"/>
    <w:rsid w:val="00540E20"/>
    <w:rsid w:val="005420F2"/>
    <w:rsid w:val="0054285C"/>
    <w:rsid w:val="00542BA1"/>
    <w:rsid w:val="005528DE"/>
    <w:rsid w:val="00557810"/>
    <w:rsid w:val="0056664D"/>
    <w:rsid w:val="005736D0"/>
    <w:rsid w:val="00573794"/>
    <w:rsid w:val="00584173"/>
    <w:rsid w:val="00595520"/>
    <w:rsid w:val="005A1334"/>
    <w:rsid w:val="005A32CC"/>
    <w:rsid w:val="005A388C"/>
    <w:rsid w:val="005A44B9"/>
    <w:rsid w:val="005B1BA0"/>
    <w:rsid w:val="005B3DB3"/>
    <w:rsid w:val="005C0268"/>
    <w:rsid w:val="005C14DB"/>
    <w:rsid w:val="005C15F3"/>
    <w:rsid w:val="005C1911"/>
    <w:rsid w:val="005D15CA"/>
    <w:rsid w:val="005D2596"/>
    <w:rsid w:val="005E0243"/>
    <w:rsid w:val="005E7B0B"/>
    <w:rsid w:val="005F02F4"/>
    <w:rsid w:val="005F08DF"/>
    <w:rsid w:val="005F3066"/>
    <w:rsid w:val="005F3E61"/>
    <w:rsid w:val="006014C2"/>
    <w:rsid w:val="00604DDD"/>
    <w:rsid w:val="006107D6"/>
    <w:rsid w:val="00611383"/>
    <w:rsid w:val="006115CC"/>
    <w:rsid w:val="00611FC4"/>
    <w:rsid w:val="0061390E"/>
    <w:rsid w:val="00614164"/>
    <w:rsid w:val="006156BF"/>
    <w:rsid w:val="00615E7D"/>
    <w:rsid w:val="006176FB"/>
    <w:rsid w:val="0062295A"/>
    <w:rsid w:val="00630E40"/>
    <w:rsid w:val="00630FCB"/>
    <w:rsid w:val="00632573"/>
    <w:rsid w:val="006369DD"/>
    <w:rsid w:val="00637E94"/>
    <w:rsid w:val="00640B26"/>
    <w:rsid w:val="00641F0A"/>
    <w:rsid w:val="00646981"/>
    <w:rsid w:val="0065134E"/>
    <w:rsid w:val="0065766B"/>
    <w:rsid w:val="006616B9"/>
    <w:rsid w:val="006770B2"/>
    <w:rsid w:val="0068312D"/>
    <w:rsid w:val="00685BB8"/>
    <w:rsid w:val="00686A48"/>
    <w:rsid w:val="0068763C"/>
    <w:rsid w:val="00692DC0"/>
    <w:rsid w:val="006940E1"/>
    <w:rsid w:val="00695423"/>
    <w:rsid w:val="006975FC"/>
    <w:rsid w:val="006A3C72"/>
    <w:rsid w:val="006A7392"/>
    <w:rsid w:val="006B03A1"/>
    <w:rsid w:val="006B0A59"/>
    <w:rsid w:val="006B3D1E"/>
    <w:rsid w:val="006B67D9"/>
    <w:rsid w:val="006B6FFE"/>
    <w:rsid w:val="006C5535"/>
    <w:rsid w:val="006D0589"/>
    <w:rsid w:val="006D203A"/>
    <w:rsid w:val="006E564B"/>
    <w:rsid w:val="006E6B43"/>
    <w:rsid w:val="006E6FF3"/>
    <w:rsid w:val="006E7154"/>
    <w:rsid w:val="007003CD"/>
    <w:rsid w:val="00705CCC"/>
    <w:rsid w:val="0070701E"/>
    <w:rsid w:val="00715447"/>
    <w:rsid w:val="00716591"/>
    <w:rsid w:val="00722CA6"/>
    <w:rsid w:val="0072632A"/>
    <w:rsid w:val="00731CED"/>
    <w:rsid w:val="007358E8"/>
    <w:rsid w:val="00736ECE"/>
    <w:rsid w:val="007402FF"/>
    <w:rsid w:val="0074533B"/>
    <w:rsid w:val="00745C23"/>
    <w:rsid w:val="00755941"/>
    <w:rsid w:val="007643BC"/>
    <w:rsid w:val="00770F57"/>
    <w:rsid w:val="00771AF6"/>
    <w:rsid w:val="007749FF"/>
    <w:rsid w:val="00776C66"/>
    <w:rsid w:val="00780C68"/>
    <w:rsid w:val="00783081"/>
    <w:rsid w:val="007951CF"/>
    <w:rsid w:val="007959FE"/>
    <w:rsid w:val="007A0CF1"/>
    <w:rsid w:val="007A2293"/>
    <w:rsid w:val="007A25D5"/>
    <w:rsid w:val="007B2E5E"/>
    <w:rsid w:val="007B3776"/>
    <w:rsid w:val="007B6BA5"/>
    <w:rsid w:val="007C0C0E"/>
    <w:rsid w:val="007C3390"/>
    <w:rsid w:val="007C42D8"/>
    <w:rsid w:val="007C4F4B"/>
    <w:rsid w:val="007D1E58"/>
    <w:rsid w:val="007D321E"/>
    <w:rsid w:val="007D4092"/>
    <w:rsid w:val="007D6F65"/>
    <w:rsid w:val="007D7362"/>
    <w:rsid w:val="007D7EE3"/>
    <w:rsid w:val="007E1A20"/>
    <w:rsid w:val="007E2A38"/>
    <w:rsid w:val="007E7053"/>
    <w:rsid w:val="007F03FA"/>
    <w:rsid w:val="007F5CE2"/>
    <w:rsid w:val="007F6611"/>
    <w:rsid w:val="0080492D"/>
    <w:rsid w:val="00807739"/>
    <w:rsid w:val="00810BAC"/>
    <w:rsid w:val="0081465A"/>
    <w:rsid w:val="00814C29"/>
    <w:rsid w:val="008175E9"/>
    <w:rsid w:val="008242D7"/>
    <w:rsid w:val="0082577B"/>
    <w:rsid w:val="00825CB5"/>
    <w:rsid w:val="00844C96"/>
    <w:rsid w:val="008470EB"/>
    <w:rsid w:val="00851A18"/>
    <w:rsid w:val="008539B0"/>
    <w:rsid w:val="00866893"/>
    <w:rsid w:val="00866F02"/>
    <w:rsid w:val="00867D18"/>
    <w:rsid w:val="00871F9A"/>
    <w:rsid w:val="00871FD5"/>
    <w:rsid w:val="008776CD"/>
    <w:rsid w:val="00877A8A"/>
    <w:rsid w:val="0088172E"/>
    <w:rsid w:val="00881EFA"/>
    <w:rsid w:val="008879CB"/>
    <w:rsid w:val="008979B1"/>
    <w:rsid w:val="008A1436"/>
    <w:rsid w:val="008A680B"/>
    <w:rsid w:val="008A6B25"/>
    <w:rsid w:val="008A6C4F"/>
    <w:rsid w:val="008B341B"/>
    <w:rsid w:val="008B389E"/>
    <w:rsid w:val="008B4A1A"/>
    <w:rsid w:val="008B61AD"/>
    <w:rsid w:val="008C78AF"/>
    <w:rsid w:val="008D045E"/>
    <w:rsid w:val="008D2DEA"/>
    <w:rsid w:val="008D3F25"/>
    <w:rsid w:val="008D425B"/>
    <w:rsid w:val="008D4D82"/>
    <w:rsid w:val="008D6009"/>
    <w:rsid w:val="008E0E46"/>
    <w:rsid w:val="008E7116"/>
    <w:rsid w:val="008F0E61"/>
    <w:rsid w:val="008F143B"/>
    <w:rsid w:val="008F3882"/>
    <w:rsid w:val="008F4AC4"/>
    <w:rsid w:val="008F4B7C"/>
    <w:rsid w:val="008F6F53"/>
    <w:rsid w:val="00920C74"/>
    <w:rsid w:val="0092556A"/>
    <w:rsid w:val="00926E47"/>
    <w:rsid w:val="00931CF5"/>
    <w:rsid w:val="009465FD"/>
    <w:rsid w:val="00947162"/>
    <w:rsid w:val="00953291"/>
    <w:rsid w:val="00956008"/>
    <w:rsid w:val="009610D0"/>
    <w:rsid w:val="009634B1"/>
    <w:rsid w:val="0096375C"/>
    <w:rsid w:val="009662E6"/>
    <w:rsid w:val="0097095E"/>
    <w:rsid w:val="0098592B"/>
    <w:rsid w:val="00985FC4"/>
    <w:rsid w:val="00990766"/>
    <w:rsid w:val="00991261"/>
    <w:rsid w:val="009964C4"/>
    <w:rsid w:val="009A1098"/>
    <w:rsid w:val="009A432E"/>
    <w:rsid w:val="009A5D99"/>
    <w:rsid w:val="009A7B81"/>
    <w:rsid w:val="009B011B"/>
    <w:rsid w:val="009B45E7"/>
    <w:rsid w:val="009B7EB7"/>
    <w:rsid w:val="009C2E32"/>
    <w:rsid w:val="009C5F46"/>
    <w:rsid w:val="009D01C0"/>
    <w:rsid w:val="009D5873"/>
    <w:rsid w:val="009D6A08"/>
    <w:rsid w:val="009D75F6"/>
    <w:rsid w:val="009E0842"/>
    <w:rsid w:val="009E0A16"/>
    <w:rsid w:val="009E4A10"/>
    <w:rsid w:val="009E6CB7"/>
    <w:rsid w:val="009E7970"/>
    <w:rsid w:val="009F2EAC"/>
    <w:rsid w:val="009F57E3"/>
    <w:rsid w:val="00A077A2"/>
    <w:rsid w:val="00A10F4F"/>
    <w:rsid w:val="00A11067"/>
    <w:rsid w:val="00A1704A"/>
    <w:rsid w:val="00A2680F"/>
    <w:rsid w:val="00A26E1F"/>
    <w:rsid w:val="00A36AC2"/>
    <w:rsid w:val="00A425EB"/>
    <w:rsid w:val="00A512FF"/>
    <w:rsid w:val="00A62B14"/>
    <w:rsid w:val="00A66219"/>
    <w:rsid w:val="00A6669F"/>
    <w:rsid w:val="00A67A38"/>
    <w:rsid w:val="00A67BB5"/>
    <w:rsid w:val="00A72F22"/>
    <w:rsid w:val="00A733BC"/>
    <w:rsid w:val="00A748A6"/>
    <w:rsid w:val="00A76A69"/>
    <w:rsid w:val="00A801B8"/>
    <w:rsid w:val="00A80E59"/>
    <w:rsid w:val="00A879A4"/>
    <w:rsid w:val="00A9121E"/>
    <w:rsid w:val="00AA0FF8"/>
    <w:rsid w:val="00AA59D1"/>
    <w:rsid w:val="00AB4DCA"/>
    <w:rsid w:val="00AB572F"/>
    <w:rsid w:val="00AB76FE"/>
    <w:rsid w:val="00AB7D3D"/>
    <w:rsid w:val="00AC0F2C"/>
    <w:rsid w:val="00AC502A"/>
    <w:rsid w:val="00AD60F8"/>
    <w:rsid w:val="00AE1E26"/>
    <w:rsid w:val="00AE3D64"/>
    <w:rsid w:val="00AF58C1"/>
    <w:rsid w:val="00B04A3F"/>
    <w:rsid w:val="00B04AA0"/>
    <w:rsid w:val="00B06643"/>
    <w:rsid w:val="00B15055"/>
    <w:rsid w:val="00B20551"/>
    <w:rsid w:val="00B224C2"/>
    <w:rsid w:val="00B26711"/>
    <w:rsid w:val="00B30179"/>
    <w:rsid w:val="00B31E0B"/>
    <w:rsid w:val="00B33FC7"/>
    <w:rsid w:val="00B37B15"/>
    <w:rsid w:val="00B4162A"/>
    <w:rsid w:val="00B422BE"/>
    <w:rsid w:val="00B45C02"/>
    <w:rsid w:val="00B46AF8"/>
    <w:rsid w:val="00B52049"/>
    <w:rsid w:val="00B60BD8"/>
    <w:rsid w:val="00B65A99"/>
    <w:rsid w:val="00B70B63"/>
    <w:rsid w:val="00B72A1E"/>
    <w:rsid w:val="00B76016"/>
    <w:rsid w:val="00B81E12"/>
    <w:rsid w:val="00BA339B"/>
    <w:rsid w:val="00BB0E56"/>
    <w:rsid w:val="00BB23CC"/>
    <w:rsid w:val="00BB3AC0"/>
    <w:rsid w:val="00BC1155"/>
    <w:rsid w:val="00BC1E7E"/>
    <w:rsid w:val="00BC4425"/>
    <w:rsid w:val="00BC47A0"/>
    <w:rsid w:val="00BC74E9"/>
    <w:rsid w:val="00BD3AC8"/>
    <w:rsid w:val="00BD4A7E"/>
    <w:rsid w:val="00BD5763"/>
    <w:rsid w:val="00BD5D0F"/>
    <w:rsid w:val="00BD63A6"/>
    <w:rsid w:val="00BD70A6"/>
    <w:rsid w:val="00BD7532"/>
    <w:rsid w:val="00BE36A9"/>
    <w:rsid w:val="00BE618E"/>
    <w:rsid w:val="00BE6809"/>
    <w:rsid w:val="00BE7BEC"/>
    <w:rsid w:val="00BF0A5A"/>
    <w:rsid w:val="00BF0E63"/>
    <w:rsid w:val="00BF12A3"/>
    <w:rsid w:val="00BF16D7"/>
    <w:rsid w:val="00BF2373"/>
    <w:rsid w:val="00BF279B"/>
    <w:rsid w:val="00C03E61"/>
    <w:rsid w:val="00C044E2"/>
    <w:rsid w:val="00C048CB"/>
    <w:rsid w:val="00C066F3"/>
    <w:rsid w:val="00C3248D"/>
    <w:rsid w:val="00C463DD"/>
    <w:rsid w:val="00C47D09"/>
    <w:rsid w:val="00C641B5"/>
    <w:rsid w:val="00C745C3"/>
    <w:rsid w:val="00C76742"/>
    <w:rsid w:val="00C838FE"/>
    <w:rsid w:val="00C86786"/>
    <w:rsid w:val="00C90437"/>
    <w:rsid w:val="00C92E46"/>
    <w:rsid w:val="00C978F5"/>
    <w:rsid w:val="00CA24A4"/>
    <w:rsid w:val="00CB348D"/>
    <w:rsid w:val="00CC341F"/>
    <w:rsid w:val="00CD46F5"/>
    <w:rsid w:val="00CD649D"/>
    <w:rsid w:val="00CE09C3"/>
    <w:rsid w:val="00CE48D8"/>
    <w:rsid w:val="00CE4A8F"/>
    <w:rsid w:val="00CF071D"/>
    <w:rsid w:val="00D0123D"/>
    <w:rsid w:val="00D1509F"/>
    <w:rsid w:val="00D15B04"/>
    <w:rsid w:val="00D2031B"/>
    <w:rsid w:val="00D236B5"/>
    <w:rsid w:val="00D25FE2"/>
    <w:rsid w:val="00D30E16"/>
    <w:rsid w:val="00D37DA9"/>
    <w:rsid w:val="00D406A7"/>
    <w:rsid w:val="00D41AE9"/>
    <w:rsid w:val="00D4258B"/>
    <w:rsid w:val="00D43252"/>
    <w:rsid w:val="00D44D86"/>
    <w:rsid w:val="00D50B7D"/>
    <w:rsid w:val="00D52012"/>
    <w:rsid w:val="00D52E21"/>
    <w:rsid w:val="00D704E5"/>
    <w:rsid w:val="00D72727"/>
    <w:rsid w:val="00D74F79"/>
    <w:rsid w:val="00D818A9"/>
    <w:rsid w:val="00D910D3"/>
    <w:rsid w:val="00D978C6"/>
    <w:rsid w:val="00DA029E"/>
    <w:rsid w:val="00DA0956"/>
    <w:rsid w:val="00DA357F"/>
    <w:rsid w:val="00DA3E12"/>
    <w:rsid w:val="00DB1DE1"/>
    <w:rsid w:val="00DB212E"/>
    <w:rsid w:val="00DB3550"/>
    <w:rsid w:val="00DC18AD"/>
    <w:rsid w:val="00DC32C2"/>
    <w:rsid w:val="00DD3CEF"/>
    <w:rsid w:val="00DF6349"/>
    <w:rsid w:val="00DF7CAE"/>
    <w:rsid w:val="00E1203C"/>
    <w:rsid w:val="00E20484"/>
    <w:rsid w:val="00E309C2"/>
    <w:rsid w:val="00E30B00"/>
    <w:rsid w:val="00E375B3"/>
    <w:rsid w:val="00E423C0"/>
    <w:rsid w:val="00E43A0F"/>
    <w:rsid w:val="00E46199"/>
    <w:rsid w:val="00E47B84"/>
    <w:rsid w:val="00E517C4"/>
    <w:rsid w:val="00E538D8"/>
    <w:rsid w:val="00E6414C"/>
    <w:rsid w:val="00E71D32"/>
    <w:rsid w:val="00E725BF"/>
    <w:rsid w:val="00E7260F"/>
    <w:rsid w:val="00E73048"/>
    <w:rsid w:val="00E77597"/>
    <w:rsid w:val="00E80A8E"/>
    <w:rsid w:val="00E83E79"/>
    <w:rsid w:val="00E84726"/>
    <w:rsid w:val="00E8702D"/>
    <w:rsid w:val="00E905F4"/>
    <w:rsid w:val="00E91028"/>
    <w:rsid w:val="00E916A9"/>
    <w:rsid w:val="00E916DE"/>
    <w:rsid w:val="00E925AD"/>
    <w:rsid w:val="00E96630"/>
    <w:rsid w:val="00EA3723"/>
    <w:rsid w:val="00EA4E9B"/>
    <w:rsid w:val="00EA622A"/>
    <w:rsid w:val="00EA6B59"/>
    <w:rsid w:val="00EB6A89"/>
    <w:rsid w:val="00EC14CA"/>
    <w:rsid w:val="00EC1D83"/>
    <w:rsid w:val="00ED18DC"/>
    <w:rsid w:val="00ED3952"/>
    <w:rsid w:val="00ED6201"/>
    <w:rsid w:val="00ED6C45"/>
    <w:rsid w:val="00ED7A2A"/>
    <w:rsid w:val="00EE5FB8"/>
    <w:rsid w:val="00EF1D7F"/>
    <w:rsid w:val="00EF230B"/>
    <w:rsid w:val="00F0137E"/>
    <w:rsid w:val="00F031B9"/>
    <w:rsid w:val="00F03B98"/>
    <w:rsid w:val="00F04E44"/>
    <w:rsid w:val="00F0675B"/>
    <w:rsid w:val="00F10B53"/>
    <w:rsid w:val="00F1202E"/>
    <w:rsid w:val="00F140E2"/>
    <w:rsid w:val="00F21716"/>
    <w:rsid w:val="00F21786"/>
    <w:rsid w:val="00F25D06"/>
    <w:rsid w:val="00F26FC1"/>
    <w:rsid w:val="00F31CFF"/>
    <w:rsid w:val="00F341E1"/>
    <w:rsid w:val="00F3742B"/>
    <w:rsid w:val="00F37781"/>
    <w:rsid w:val="00F41FDB"/>
    <w:rsid w:val="00F448C1"/>
    <w:rsid w:val="00F463E7"/>
    <w:rsid w:val="00F50597"/>
    <w:rsid w:val="00F505C2"/>
    <w:rsid w:val="00F56D63"/>
    <w:rsid w:val="00F609A9"/>
    <w:rsid w:val="00F733F2"/>
    <w:rsid w:val="00F76947"/>
    <w:rsid w:val="00F80C99"/>
    <w:rsid w:val="00F81C0A"/>
    <w:rsid w:val="00F867EC"/>
    <w:rsid w:val="00F91B2B"/>
    <w:rsid w:val="00F936FC"/>
    <w:rsid w:val="00FA4771"/>
    <w:rsid w:val="00FB2C52"/>
    <w:rsid w:val="00FC03CD"/>
    <w:rsid w:val="00FC0646"/>
    <w:rsid w:val="00FC519D"/>
    <w:rsid w:val="00FC68B7"/>
    <w:rsid w:val="00FC6D85"/>
    <w:rsid w:val="00FD3667"/>
    <w:rsid w:val="00FD567D"/>
    <w:rsid w:val="00FE6985"/>
    <w:rsid w:val="00FF43E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BAD4E"/>
  <w15:docId w15:val="{7876326D-CF67-4379-9DDA-56C6B39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0B1EA4"/>
    <w:rPr>
      <w:lang w:val="en-GB"/>
    </w:rPr>
  </w:style>
  <w:style w:type="character" w:customStyle="1" w:styleId="HChGChar">
    <w:name w:val="_ H _Ch_G Char"/>
    <w:link w:val="HChG"/>
    <w:qFormat/>
    <w:rsid w:val="000B1EA4"/>
    <w:rPr>
      <w:b/>
      <w:sz w:val="28"/>
      <w:lang w:val="en-GB"/>
    </w:rPr>
  </w:style>
  <w:style w:type="character" w:customStyle="1" w:styleId="H1GChar">
    <w:name w:val="_ H_1_G Char"/>
    <w:link w:val="H1G"/>
    <w:locked/>
    <w:rsid w:val="000B1EA4"/>
    <w:rPr>
      <w:b/>
      <w:sz w:val="24"/>
      <w:lang w:val="en-GB"/>
    </w:rPr>
  </w:style>
  <w:style w:type="paragraph" w:styleId="NormalWeb">
    <w:name w:val="Normal (Web)"/>
    <w:basedOn w:val="Normal"/>
    <w:uiPriority w:val="99"/>
    <w:rsid w:val="000B1EA4"/>
    <w:pPr>
      <w:suppressAutoHyphens/>
    </w:pPr>
    <w:rPr>
      <w:sz w:val="24"/>
      <w:szCs w:val="24"/>
      <w:lang w:eastAsia="en-US"/>
    </w:rPr>
  </w:style>
  <w:style w:type="paragraph" w:styleId="ListParagraph">
    <w:name w:val="List Paragraph"/>
    <w:basedOn w:val="Normal"/>
    <w:uiPriority w:val="34"/>
    <w:qFormat/>
    <w:rsid w:val="000B1EA4"/>
    <w:pPr>
      <w:suppressAutoHyphens/>
      <w:ind w:left="720"/>
      <w:contextualSpacing/>
    </w:pPr>
    <w:rPr>
      <w:rFonts w:eastAsia="MS Mincho"/>
    </w:rPr>
  </w:style>
  <w:style w:type="character" w:customStyle="1" w:styleId="Flietext">
    <w:name w:val="Fließtext_"/>
    <w:basedOn w:val="DefaultParagraphFont"/>
    <w:link w:val="Flietext0"/>
    <w:rsid w:val="000B1EA4"/>
    <w:rPr>
      <w:b/>
      <w:bCs/>
    </w:rPr>
  </w:style>
  <w:style w:type="paragraph" w:customStyle="1" w:styleId="Flietext0">
    <w:name w:val="Fließtext"/>
    <w:basedOn w:val="Normal"/>
    <w:link w:val="Flietext"/>
    <w:rsid w:val="000B1EA4"/>
    <w:pPr>
      <w:widowControl w:val="0"/>
      <w:spacing w:after="120" w:line="240" w:lineRule="auto"/>
    </w:pPr>
    <w:rPr>
      <w:b/>
      <w:bCs/>
      <w:lang w:val="fr-FR"/>
    </w:rPr>
  </w:style>
  <w:style w:type="paragraph" w:styleId="BodyText">
    <w:name w:val="Body Text"/>
    <w:basedOn w:val="Normal"/>
    <w:link w:val="BodyTextChar"/>
    <w:uiPriority w:val="1"/>
    <w:qFormat/>
    <w:rsid w:val="000B1EA4"/>
    <w:pPr>
      <w:widowControl w:val="0"/>
      <w:autoSpaceDE w:val="0"/>
      <w:autoSpaceDN w:val="0"/>
      <w:spacing w:line="240" w:lineRule="auto"/>
    </w:pPr>
    <w:rPr>
      <w:rFonts w:ascii="Courier New" w:eastAsia="Courier New" w:hAnsi="Courier New" w:cs="Courier New"/>
      <w:sz w:val="17"/>
      <w:szCs w:val="17"/>
      <w:lang w:val="en-US" w:eastAsia="en-US"/>
    </w:rPr>
  </w:style>
  <w:style w:type="character" w:customStyle="1" w:styleId="BodyTextChar">
    <w:name w:val="Body Text Char"/>
    <w:basedOn w:val="DefaultParagraphFont"/>
    <w:link w:val="BodyText"/>
    <w:uiPriority w:val="1"/>
    <w:rsid w:val="000B1EA4"/>
    <w:rPr>
      <w:rFonts w:ascii="Courier New" w:eastAsia="Courier New" w:hAnsi="Courier New" w:cs="Courier New"/>
      <w:sz w:val="17"/>
      <w:szCs w:val="17"/>
      <w:lang w:val="en-US" w:eastAsia="en-US"/>
    </w:rPr>
  </w:style>
  <w:style w:type="paragraph" w:styleId="PlainText">
    <w:name w:val="Plain Text"/>
    <w:basedOn w:val="Normal"/>
    <w:link w:val="PlainTextChar"/>
    <w:uiPriority w:val="99"/>
    <w:semiHidden/>
    <w:unhideWhenUsed/>
    <w:rsid w:val="000B1EA4"/>
    <w:pPr>
      <w:spacing w:line="240" w:lineRule="auto"/>
    </w:pPr>
    <w:rPr>
      <w:rFonts w:ascii="Arial" w:eastAsiaTheme="minorHAnsi" w:hAnsi="Arial" w:cs="Arial"/>
      <w:lang w:val="de-DE" w:eastAsia="en-US"/>
    </w:rPr>
  </w:style>
  <w:style w:type="character" w:customStyle="1" w:styleId="PlainTextChar">
    <w:name w:val="Plain Text Char"/>
    <w:basedOn w:val="DefaultParagraphFont"/>
    <w:link w:val="PlainText"/>
    <w:uiPriority w:val="99"/>
    <w:semiHidden/>
    <w:rsid w:val="000B1EA4"/>
    <w:rPr>
      <w:rFonts w:ascii="Arial" w:eastAsiaTheme="minorHAnsi" w:hAnsi="Arial" w:cs="Arial"/>
      <w:lang w:val="de-DE" w:eastAsia="en-US"/>
    </w:rPr>
  </w:style>
  <w:style w:type="paragraph" w:styleId="Revision">
    <w:name w:val="Revision"/>
    <w:hidden/>
    <w:uiPriority w:val="99"/>
    <w:semiHidden/>
    <w:rsid w:val="000846F8"/>
    <w:pPr>
      <w:spacing w:line="240" w:lineRule="auto"/>
    </w:pPr>
    <w:rPr>
      <w:lang w:val="en-GB"/>
    </w:rPr>
  </w:style>
  <w:style w:type="character" w:styleId="CommentReference">
    <w:name w:val="annotation reference"/>
    <w:basedOn w:val="DefaultParagraphFont"/>
    <w:semiHidden/>
    <w:unhideWhenUsed/>
    <w:rsid w:val="007E7053"/>
    <w:rPr>
      <w:sz w:val="16"/>
      <w:szCs w:val="16"/>
    </w:rPr>
  </w:style>
  <w:style w:type="paragraph" w:styleId="CommentText">
    <w:name w:val="annotation text"/>
    <w:basedOn w:val="Normal"/>
    <w:link w:val="CommentTextChar"/>
    <w:unhideWhenUsed/>
    <w:rsid w:val="007E7053"/>
    <w:pPr>
      <w:spacing w:line="240" w:lineRule="auto"/>
    </w:pPr>
  </w:style>
  <w:style w:type="character" w:customStyle="1" w:styleId="CommentTextChar">
    <w:name w:val="Comment Text Char"/>
    <w:basedOn w:val="DefaultParagraphFont"/>
    <w:link w:val="CommentText"/>
    <w:rsid w:val="007E7053"/>
    <w:rPr>
      <w:lang w:val="en-GB"/>
    </w:rPr>
  </w:style>
  <w:style w:type="paragraph" w:styleId="CommentSubject">
    <w:name w:val="annotation subject"/>
    <w:basedOn w:val="CommentText"/>
    <w:next w:val="CommentText"/>
    <w:link w:val="CommentSubjectChar"/>
    <w:semiHidden/>
    <w:unhideWhenUsed/>
    <w:rsid w:val="007E7053"/>
    <w:rPr>
      <w:b/>
      <w:bCs/>
    </w:rPr>
  </w:style>
  <w:style w:type="character" w:customStyle="1" w:styleId="CommentSubjectChar">
    <w:name w:val="Comment Subject Char"/>
    <w:basedOn w:val="CommentTextChar"/>
    <w:link w:val="CommentSubject"/>
    <w:semiHidden/>
    <w:rsid w:val="007E7053"/>
    <w:rPr>
      <w:b/>
      <w:bCs/>
      <w:lang w:val="en-GB"/>
    </w:rPr>
  </w:style>
  <w:style w:type="character" w:styleId="UnresolvedMention">
    <w:name w:val="Unresolved Mention"/>
    <w:basedOn w:val="DefaultParagraphFont"/>
    <w:uiPriority w:val="99"/>
    <w:semiHidden/>
    <w:unhideWhenUsed/>
    <w:rsid w:val="007E7053"/>
    <w:rPr>
      <w:color w:val="605E5C"/>
      <w:shd w:val="clear" w:color="auto" w:fill="E1DFDD"/>
    </w:rPr>
  </w:style>
  <w:style w:type="paragraph" w:customStyle="1" w:styleId="Para">
    <w:name w:val="Para"/>
    <w:basedOn w:val="Normal"/>
    <w:qFormat/>
    <w:rsid w:val="00083559"/>
    <w:pPr>
      <w:spacing w:after="120"/>
      <w:ind w:left="2268" w:right="1134" w:hanging="113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ece.org/transport/vehicle-regulations/wp29/resolu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BC7BA459-31E0-4251-BA52-97EF88C4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11</TotalTime>
  <Pages>4</Pages>
  <Words>789</Words>
  <Characters>4498</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R169 HDV-EDR for ADS vehicles</vt:lpstr>
      <vt:lpstr>R160 EDR for ADS vehicles</vt:lpstr>
      <vt:lpstr/>
    </vt:vector>
  </TitlesOfParts>
  <Company>NL</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R169 HDV-EDR for ADS vehicles</dc:title>
  <dc:subject>R169 HDV-EDR for ADS vehicles</dc:subject>
  <dc:creator>Guiting, Tim</dc:creator>
  <cp:keywords/>
  <dc:description/>
  <cp:lastModifiedBy>McKeighan, Caitlin (NHTSA)</cp:lastModifiedBy>
  <cp:revision>5</cp:revision>
  <cp:lastPrinted>2025-01-24T14:01:00Z</cp:lastPrinted>
  <dcterms:created xsi:type="dcterms:W3CDTF">2025-06-12T13:32:00Z</dcterms:created>
  <dcterms:modified xsi:type="dcterms:W3CDTF">2025-06-23T14:04:00Z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