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28BF78F9" w:rsidR="00101C00" w:rsidRPr="009641B8" w:rsidRDefault="00AE31A0" w:rsidP="00101C00">
      <w:pPr>
        <w:pStyle w:val="HChG"/>
        <w:rPr>
          <w:szCs w:val="28"/>
        </w:rPr>
      </w:pPr>
      <w:r w:rsidRPr="009641B8">
        <w:tab/>
      </w:r>
      <w:r w:rsidRPr="009641B8">
        <w:tab/>
      </w:r>
      <w:r w:rsidR="007975FA" w:rsidRPr="00FF1F8F">
        <w:rPr>
          <w:szCs w:val="28"/>
        </w:rPr>
        <w:tab/>
        <w:t>Proposal for supplement 3 to the 04 Series of Amendments to UN Regulation No.</w:t>
      </w:r>
      <w:r w:rsidR="007975FA" w:rsidRPr="00FF1F8F">
        <w:t> </w:t>
      </w:r>
      <w:r w:rsidR="007975FA" w:rsidRPr="00FF1F8F">
        <w:rPr>
          <w:szCs w:val="28"/>
        </w:rPr>
        <w:t>67 (</w:t>
      </w:r>
      <w:r w:rsidR="007975FA" w:rsidRPr="00FF1F8F">
        <w:t xml:space="preserve">LPG </w:t>
      </w:r>
      <w:r w:rsidR="007975FA">
        <w:t>V</w:t>
      </w:r>
      <w:r w:rsidR="007975FA" w:rsidRPr="00FF1F8F">
        <w:t>ehicles</w:t>
      </w:r>
      <w:r w:rsidR="007975FA" w:rsidRPr="00FF1F8F">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014F9D65"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13244D">
        <w:rPr>
          <w:b w:val="0"/>
          <w:sz w:val="20"/>
        </w:rPr>
        <w:t>G</w:t>
      </w:r>
      <w:r w:rsidR="006B0524">
        <w:rPr>
          <w:b w:val="0"/>
          <w:sz w:val="20"/>
        </w:rPr>
        <w:t>/2025/</w:t>
      </w:r>
      <w:r w:rsidR="00797D68">
        <w:rPr>
          <w:b w:val="0"/>
          <w:sz w:val="20"/>
        </w:rPr>
        <w:t>25</w:t>
      </w:r>
      <w:r w:rsidR="00973DD7">
        <w:rPr>
          <w:b w:val="0"/>
          <w:sz w:val="20"/>
        </w:rPr>
        <w:t>.</w:t>
      </w:r>
      <w:r w:rsidRPr="009641B8">
        <w:rPr>
          <w:b w:val="0"/>
          <w:sz w:val="20"/>
        </w:rPr>
        <w:t xml:space="preserve"> The modifications to </w:t>
      </w:r>
      <w:r w:rsidR="00792646">
        <w:rPr>
          <w:b w:val="0"/>
          <w:sz w:val="20"/>
        </w:rPr>
        <w:t>ECE/TRANS/GRS</w:t>
      </w:r>
      <w:r w:rsidR="0013244D">
        <w:rPr>
          <w:b w:val="0"/>
          <w:sz w:val="20"/>
        </w:rPr>
        <w:t>G</w:t>
      </w:r>
      <w:r w:rsidR="00792646">
        <w:rPr>
          <w:b w:val="0"/>
          <w:sz w:val="20"/>
        </w:rPr>
        <w:t>/2025/</w:t>
      </w:r>
      <w:r w:rsidR="00797D68">
        <w:rPr>
          <w:b w:val="0"/>
          <w:sz w:val="20"/>
        </w:rPr>
        <w:t>25</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6648326C"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Insert new paragraphs 0. and 0.1. to 0.1.3.,</w:t>
      </w:r>
      <w:r w:rsidRPr="00FF1F8F">
        <w:rPr>
          <w:rFonts w:eastAsia="DengXian"/>
          <w:iCs/>
          <w:lang w:eastAsia="zh-CN"/>
        </w:rPr>
        <w:t xml:space="preserve"> to read:</w:t>
      </w:r>
    </w:p>
    <w:p w14:paraId="7AC348F3" w14:textId="77777777" w:rsidR="00A309FE" w:rsidRPr="00FF1F8F" w:rsidRDefault="00A309FE" w:rsidP="00A309FE">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FF1F8F">
        <w:rPr>
          <w:rFonts w:eastAsia="DengXian"/>
          <w:b/>
          <w:bCs/>
          <w:iCs/>
          <w:sz w:val="28"/>
          <w:szCs w:val="28"/>
          <w:lang w:eastAsia="zh-CN"/>
        </w:rPr>
        <w:t>"0.</w:t>
      </w:r>
      <w:r w:rsidRPr="00FF1F8F">
        <w:rPr>
          <w:rFonts w:eastAsia="DengXian"/>
          <w:b/>
          <w:bCs/>
          <w:iCs/>
          <w:sz w:val="28"/>
          <w:szCs w:val="28"/>
          <w:lang w:eastAsia="zh-CN"/>
        </w:rPr>
        <w:tab/>
      </w:r>
      <w:r w:rsidRPr="00FF1F8F">
        <w:rPr>
          <w:rFonts w:eastAsia="DengXian"/>
          <w:b/>
          <w:bCs/>
          <w:iCs/>
          <w:sz w:val="28"/>
          <w:szCs w:val="28"/>
          <w:lang w:eastAsia="zh-CN"/>
        </w:rPr>
        <w:tab/>
        <w:t>Introduction</w:t>
      </w:r>
    </w:p>
    <w:p w14:paraId="70CAFD08" w14:textId="57184FDA" w:rsidR="000E4EDA" w:rsidRPr="00E3614E" w:rsidRDefault="00A309FE" w:rsidP="000E4EDA">
      <w:pPr>
        <w:pStyle w:val="SingleTxtG"/>
        <w:ind w:left="2268" w:hanging="1134"/>
      </w:pPr>
      <w:r w:rsidRPr="00A309FE">
        <w:t>0.1.</w:t>
      </w:r>
      <w:r w:rsidRPr="00A309FE">
        <w:tab/>
      </w:r>
      <w:r w:rsidRPr="00A309FE">
        <w:tab/>
        <w:t>Supplement 3 to the 04 series of amendments is introduced to take into account vehicles of categories X and Y</w:t>
      </w:r>
      <w:r w:rsidR="00B82A11">
        <w:t xml:space="preserve"> </w:t>
      </w:r>
      <w:r w:rsidR="00B82A11" w:rsidRPr="00B82A11">
        <w:rPr>
          <w:color w:val="FF0000"/>
          <w:vertAlign w:val="superscript"/>
        </w:rPr>
        <w:t>1</w:t>
      </w:r>
      <w:r w:rsidRPr="00A309FE">
        <w:t xml:space="preserve">, as well as conventional vehicles which are equipped with an Automated Driving System </w:t>
      </w:r>
      <w:r w:rsidR="000E4EDA" w:rsidRPr="00CE3A42">
        <w:rPr>
          <w:strike/>
          <w:color w:val="FF0000"/>
        </w:rPr>
        <w:t>Feature of Type 2 (ADSF-2)</w:t>
      </w:r>
      <w:r w:rsidR="000E4EDA" w:rsidRPr="00CE3A42">
        <w:rPr>
          <w:color w:val="FF0000"/>
        </w:rPr>
        <w:t xml:space="preserve"> (ADS)</w:t>
      </w:r>
      <w:r w:rsidR="00B06D62" w:rsidRPr="00B06D62">
        <w:rPr>
          <w:color w:val="FF0000"/>
          <w:vertAlign w:val="superscript"/>
        </w:rPr>
        <w:t xml:space="preserve"> </w:t>
      </w:r>
      <w:r w:rsidR="00B06D62" w:rsidRPr="00CE3A42">
        <w:rPr>
          <w:color w:val="FF0000"/>
          <w:vertAlign w:val="superscript"/>
        </w:rPr>
        <w:t>1</w:t>
      </w:r>
      <w:r w:rsidR="000E4EDA" w:rsidRPr="00E3614E">
        <w:t>.</w:t>
      </w:r>
    </w:p>
    <w:p w14:paraId="184A7605" w14:textId="365A20E8" w:rsidR="00A309FE" w:rsidRPr="00A309FE" w:rsidRDefault="00A309FE" w:rsidP="00A309FE">
      <w:pPr>
        <w:pStyle w:val="SingleTxtG"/>
        <w:ind w:left="2268" w:hanging="1134"/>
        <w:rPr>
          <w:rFonts w:eastAsiaTheme="minorEastAsia"/>
          <w:color w:val="000000" w:themeColor="text1"/>
        </w:rPr>
      </w:pPr>
      <w:r w:rsidRPr="00A309FE">
        <w:rPr>
          <w:rFonts w:eastAsiaTheme="minorEastAsia"/>
          <w:color w:val="000000" w:themeColor="text1"/>
        </w:rPr>
        <w:t xml:space="preserve">0.1.1. </w:t>
      </w:r>
      <w:r w:rsidRPr="00A309FE">
        <w:rPr>
          <w:rFonts w:eastAsiaTheme="minorEastAsia"/>
          <w:color w:val="000000" w:themeColor="text1"/>
        </w:rPr>
        <w:tab/>
      </w:r>
      <w:r w:rsidRPr="00A309FE">
        <w:rPr>
          <w:rFonts w:eastAsiaTheme="minorEastAsia"/>
        </w:rPr>
        <w:t xml:space="preserve">The Regulation was originally drafted for vehicles with driver’s compartment and manual driving controls. It is the intention of this new amendment to keep the spirit of the Regulation and to extend its application to vehicles without a driver, a driver’s compartment and without manual driving controls </w:t>
      </w:r>
      <w:r w:rsidRPr="00A309FE">
        <w:rPr>
          <w:rFonts w:eastAsiaTheme="minorEastAsia"/>
          <w:color w:val="000000" w:themeColor="text1"/>
        </w:rPr>
        <w:t>in the vehicle</w:t>
      </w:r>
      <w:r w:rsidRPr="00A309FE">
        <w:rPr>
          <w:rFonts w:eastAsiaTheme="minorEastAsia"/>
        </w:rPr>
        <w:t>. In the absence of driver/driver’s compartment/manual driving controls in the vehicle, provisions related to them shall not be taken into account if not already covered by this amendment.</w:t>
      </w:r>
    </w:p>
    <w:p w14:paraId="7B9E4DEB" w14:textId="77777777" w:rsidR="00A309FE" w:rsidRPr="00A309FE" w:rsidRDefault="00A309FE" w:rsidP="00A309FE">
      <w:pPr>
        <w:pStyle w:val="SingleTxtG"/>
        <w:ind w:left="2268" w:hanging="1134"/>
        <w:rPr>
          <w:rFonts w:eastAsiaTheme="minorEastAsia"/>
          <w:color w:val="000000" w:themeColor="text1"/>
        </w:rPr>
      </w:pPr>
      <w:r w:rsidRPr="00A309FE">
        <w:rPr>
          <w:rFonts w:eastAsiaTheme="minorEastAsia"/>
          <w:color w:val="000000" w:themeColor="text1"/>
        </w:rPr>
        <w:t xml:space="preserve">0.1.2. </w:t>
      </w:r>
      <w:r w:rsidRPr="00A309FE">
        <w:rPr>
          <w:rFonts w:eastAsiaTheme="minorEastAsia"/>
          <w:color w:val="000000" w:themeColor="text1"/>
        </w:rPr>
        <w:tab/>
        <w:t xml:space="preserve">In case of vehicles equipped with an ADS </w:t>
      </w:r>
      <w:r w:rsidRPr="00B040C0">
        <w:rPr>
          <w:rFonts w:eastAsiaTheme="minorEastAsia"/>
          <w:strike/>
          <w:color w:val="FF0000"/>
        </w:rPr>
        <w:t>other than vehicles of categories X and Y, in the manual driving mode</w:t>
      </w:r>
      <w:r w:rsidRPr="00A309FE">
        <w:rPr>
          <w:rFonts w:eastAsiaTheme="minorEastAsia"/>
          <w:color w:val="000000" w:themeColor="text1"/>
        </w:rPr>
        <w:t xml:space="preserve"> no special provisions or exemptions apply. </w:t>
      </w:r>
      <w:r w:rsidRPr="00780584">
        <w:rPr>
          <w:rFonts w:eastAsiaTheme="minorEastAsia"/>
          <w:strike/>
          <w:color w:val="FF0000"/>
        </w:rPr>
        <w:t>In a mode where an ADS feature is active, basically the same requirements apply.</w:t>
      </w:r>
    </w:p>
    <w:p w14:paraId="032021BE" w14:textId="77777777" w:rsidR="00A309FE" w:rsidRPr="00A309FE" w:rsidRDefault="00A309FE" w:rsidP="00A309FE">
      <w:pPr>
        <w:pStyle w:val="SingleTxtG"/>
        <w:ind w:left="2268" w:hanging="1134"/>
        <w:rPr>
          <w:rFonts w:eastAsiaTheme="minorEastAsia"/>
          <w:color w:val="000000" w:themeColor="text1"/>
        </w:rPr>
      </w:pPr>
      <w:r w:rsidRPr="00A309FE">
        <w:rPr>
          <w:rFonts w:eastAsiaTheme="minorEastAsia"/>
          <w:color w:val="000000" w:themeColor="text1"/>
        </w:rPr>
        <w:t>0.1.3.</w:t>
      </w:r>
      <w:r w:rsidRPr="00A309FE">
        <w:rPr>
          <w:rFonts w:eastAsiaTheme="minorEastAsia"/>
          <w:color w:val="000000" w:themeColor="text1"/>
        </w:rPr>
        <w:tab/>
        <w:t xml:space="preserve">The </w:t>
      </w:r>
      <w:r w:rsidRPr="00A309FE">
        <w:t>new paragraph 14.1.4. aims to clarify the provisions for vehicles in case of a separate driver´s compartment.</w:t>
      </w:r>
      <w:r w:rsidRPr="00A309FE">
        <w:rPr>
          <w:rFonts w:eastAsiaTheme="minorEastAsia"/>
          <w:color w:val="000000" w:themeColor="text1"/>
        </w:rPr>
        <w:t>"</w:t>
      </w:r>
    </w:p>
    <w:p w14:paraId="02BB22C2" w14:textId="77777777" w:rsidR="00A309FE" w:rsidRPr="00FF1F8F" w:rsidRDefault="00A309FE" w:rsidP="00A309FE">
      <w:pPr>
        <w:autoSpaceDE w:val="0"/>
        <w:autoSpaceDN w:val="0"/>
        <w:adjustRightInd w:val="0"/>
        <w:spacing w:before="120" w:after="120" w:line="240" w:lineRule="auto"/>
        <w:ind w:left="1134" w:right="1134"/>
        <w:jc w:val="both"/>
        <w:rPr>
          <w:rFonts w:eastAsia="DengXian"/>
          <w:i/>
          <w:lang w:eastAsia="zh-CN"/>
        </w:rPr>
      </w:pPr>
      <w:r w:rsidRPr="00FF1F8F">
        <w:rPr>
          <w:rFonts w:eastAsia="DengXian"/>
          <w:i/>
          <w:lang w:eastAsia="zh-CN"/>
        </w:rPr>
        <w:t xml:space="preserve">Paragraph 1, footnote 1, </w:t>
      </w:r>
      <w:r w:rsidRPr="00FF1F8F">
        <w:rPr>
          <w:rFonts w:eastAsia="DengXian"/>
          <w:iCs/>
          <w:lang w:eastAsia="zh-CN"/>
        </w:rPr>
        <w:t>amend to read:</w:t>
      </w:r>
    </w:p>
    <w:p w14:paraId="603130D0" w14:textId="77777777" w:rsidR="00A309FE" w:rsidRPr="00FF1F8F" w:rsidRDefault="00A309FE" w:rsidP="00A309FE">
      <w:pPr>
        <w:pStyle w:val="FootnoteText"/>
        <w:widowControl w:val="0"/>
        <w:tabs>
          <w:tab w:val="clear" w:pos="1021"/>
          <w:tab w:val="right" w:pos="1020"/>
        </w:tabs>
        <w:rPr>
          <w:szCs w:val="18"/>
        </w:rPr>
      </w:pPr>
      <w:r w:rsidRPr="00FF1F8F">
        <w:rPr>
          <w:sz w:val="20"/>
          <w:vertAlign w:val="superscript"/>
        </w:rPr>
        <w:tab/>
      </w:r>
      <w:r w:rsidRPr="00FF1F8F">
        <w:rPr>
          <w:szCs w:val="18"/>
          <w:vertAlign w:val="superscript"/>
        </w:rPr>
        <w:t>"1</w:t>
      </w:r>
      <w:r w:rsidRPr="00FF1F8F">
        <w:rPr>
          <w:szCs w:val="18"/>
          <w:vertAlign w:val="superscript"/>
        </w:rPr>
        <w:tab/>
      </w:r>
      <w:r w:rsidRPr="00FF1F8F">
        <w:rPr>
          <w:szCs w:val="18"/>
        </w:rPr>
        <w:tab/>
        <w:t>As defined in the Consolidated Resolution on the Construction of Vehicles (R.E.3.), document ECE/TRANS/WP.29/78/Rev.</w:t>
      </w:r>
      <w:r w:rsidRPr="00FF1F8F">
        <w:rPr>
          <w:strike/>
          <w:szCs w:val="18"/>
        </w:rPr>
        <w:t>6</w:t>
      </w:r>
      <w:r w:rsidRPr="00FF1F8F">
        <w:rPr>
          <w:b/>
          <w:bCs/>
          <w:szCs w:val="18"/>
        </w:rPr>
        <w:t>8</w:t>
      </w:r>
      <w:r w:rsidRPr="00FF1F8F">
        <w:rPr>
          <w:szCs w:val="18"/>
        </w:rPr>
        <w:t>, para. 2 -</w:t>
      </w:r>
      <w:r w:rsidRPr="00FF1F8F">
        <w:rPr>
          <w:szCs w:val="18"/>
        </w:rPr>
        <w:br/>
      </w:r>
      <w:hyperlink r:id="rId11" w:history="1">
        <w:r w:rsidRPr="00FF1F8F">
          <w:rPr>
            <w:rStyle w:val="Hyperlink"/>
            <w:strike/>
            <w:szCs w:val="18"/>
          </w:rPr>
          <w:t>https://unece.org/transport/standards/transport/vehicle-regulations-wp29/resolutions</w:t>
        </w:r>
      </w:hyperlink>
      <w:r w:rsidRPr="00FF1F8F">
        <w:rPr>
          <w:szCs w:val="18"/>
        </w:rPr>
        <w:t xml:space="preserve">  </w:t>
      </w:r>
    </w:p>
    <w:p w14:paraId="5A2A7F36" w14:textId="77777777" w:rsidR="00A309FE" w:rsidRPr="00FF1F8F" w:rsidRDefault="00A309FE" w:rsidP="00A309FE">
      <w:pPr>
        <w:pStyle w:val="FootnoteText"/>
        <w:widowControl w:val="0"/>
        <w:tabs>
          <w:tab w:val="clear" w:pos="1021"/>
          <w:tab w:val="right" w:pos="1020"/>
        </w:tabs>
        <w:ind w:left="2268"/>
      </w:pPr>
      <w:hyperlink r:id="rId12" w:history="1">
        <w:r w:rsidRPr="00FF1F8F">
          <w:rPr>
            <w:rStyle w:val="Hyperlink"/>
            <w:b/>
            <w:bCs/>
          </w:rPr>
          <w:t>https://unece.org/transport/vehicle-regulations/wp29/resolutions</w:t>
        </w:r>
      </w:hyperlink>
      <w:r w:rsidRPr="00FF1F8F">
        <w:t>"</w:t>
      </w:r>
    </w:p>
    <w:p w14:paraId="2B5F2325" w14:textId="77777777" w:rsidR="00A309FE" w:rsidRPr="00FF1F8F" w:rsidRDefault="00A309FE" w:rsidP="00A309FE">
      <w:pPr>
        <w:autoSpaceDE w:val="0"/>
        <w:autoSpaceDN w:val="0"/>
        <w:adjustRightInd w:val="0"/>
        <w:spacing w:before="120" w:after="120" w:line="240" w:lineRule="auto"/>
        <w:ind w:left="1134" w:right="1134"/>
        <w:jc w:val="both"/>
        <w:rPr>
          <w:rFonts w:eastAsia="DengXian"/>
          <w:i/>
          <w:lang w:eastAsia="zh-CN"/>
        </w:rPr>
      </w:pPr>
      <w:r w:rsidRPr="00FF1F8F">
        <w:rPr>
          <w:rFonts w:eastAsia="DengXian"/>
          <w:i/>
          <w:lang w:eastAsia="zh-CN"/>
        </w:rPr>
        <w:t xml:space="preserve">Paragraph 5, footnote 2, </w:t>
      </w:r>
      <w:r w:rsidRPr="00FF1F8F">
        <w:rPr>
          <w:rFonts w:eastAsia="DengXian"/>
          <w:iCs/>
          <w:lang w:eastAsia="zh-CN"/>
        </w:rPr>
        <w:t>amend to read:</w:t>
      </w:r>
    </w:p>
    <w:p w14:paraId="7BD404D3" w14:textId="77777777" w:rsidR="00A309FE" w:rsidRPr="00FF1F8F" w:rsidRDefault="00A309FE" w:rsidP="00A309FE">
      <w:pPr>
        <w:pStyle w:val="FootnoteText"/>
        <w:widowControl w:val="0"/>
        <w:tabs>
          <w:tab w:val="clear" w:pos="1021"/>
          <w:tab w:val="right" w:pos="1020"/>
        </w:tabs>
        <w:rPr>
          <w:szCs w:val="18"/>
        </w:rPr>
      </w:pPr>
      <w:r w:rsidRPr="00FF1F8F">
        <w:rPr>
          <w:szCs w:val="18"/>
        </w:rPr>
        <w:tab/>
        <w:t>"</w:t>
      </w:r>
      <w:r w:rsidRPr="00FF1F8F">
        <w:rPr>
          <w:rStyle w:val="FootnoteReference"/>
          <w:szCs w:val="18"/>
        </w:rPr>
        <w:t>2</w:t>
      </w:r>
      <w:r w:rsidRPr="00FF1F8F">
        <w:rPr>
          <w:szCs w:val="18"/>
        </w:rPr>
        <w:t xml:space="preserve"> </w:t>
      </w:r>
      <w:r w:rsidRPr="00FF1F8F">
        <w:rPr>
          <w:szCs w:val="18"/>
        </w:rPr>
        <w:tab/>
        <w:t xml:space="preserve">The distinguish numbers of the Contracting Parties to the 1958 Agreement are reproduced in Annex 3 to the Consolidated Resolution on the Construction of Vehicles (R.E.3), </w:t>
      </w:r>
      <w:r w:rsidRPr="00FF1F8F">
        <w:rPr>
          <w:rStyle w:val="FootnoteReference"/>
          <w:szCs w:val="18"/>
          <w:vertAlign w:val="baseline"/>
        </w:rPr>
        <w:t xml:space="preserve">document </w:t>
      </w:r>
      <w:r w:rsidRPr="00FF1F8F">
        <w:rPr>
          <w:szCs w:val="18"/>
        </w:rPr>
        <w:t>ECE/</w:t>
      </w:r>
      <w:r w:rsidRPr="00FF1F8F">
        <w:rPr>
          <w:rStyle w:val="FootnoteReference"/>
          <w:szCs w:val="18"/>
          <w:vertAlign w:val="baseline"/>
        </w:rPr>
        <w:t>TRANS/WP.29/78/Rev.</w:t>
      </w:r>
      <w:r w:rsidRPr="00FF1F8F">
        <w:rPr>
          <w:rStyle w:val="FootnoteReference"/>
          <w:strike/>
          <w:szCs w:val="18"/>
          <w:vertAlign w:val="baseline"/>
        </w:rPr>
        <w:t>6</w:t>
      </w:r>
      <w:r w:rsidRPr="00FF1F8F">
        <w:rPr>
          <w:b/>
          <w:bCs/>
          <w:szCs w:val="18"/>
        </w:rPr>
        <w:t>8</w:t>
      </w:r>
      <w:r w:rsidRPr="00FF1F8F">
        <w:rPr>
          <w:szCs w:val="18"/>
        </w:rPr>
        <w:t>.</w:t>
      </w:r>
      <w:r w:rsidRPr="00FF1F8F">
        <w:rPr>
          <w:szCs w:val="18"/>
        </w:rPr>
        <w:br/>
      </w:r>
      <w:hyperlink r:id="rId13" w:history="1">
        <w:r w:rsidRPr="00FF1F8F">
          <w:rPr>
            <w:rStyle w:val="Hyperlink"/>
            <w:strike/>
            <w:szCs w:val="18"/>
          </w:rPr>
          <w:t>https://unece.org/transport/standards/transport/vehicle-regulations-wp29/resolutions</w:t>
        </w:r>
      </w:hyperlink>
      <w:r w:rsidRPr="00FF1F8F">
        <w:rPr>
          <w:szCs w:val="18"/>
        </w:rPr>
        <w:t xml:space="preserve">  </w:t>
      </w:r>
    </w:p>
    <w:p w14:paraId="0FCA104F" w14:textId="77777777" w:rsidR="00A309FE" w:rsidRPr="00FF1F8F" w:rsidRDefault="00A309FE" w:rsidP="00A309FE">
      <w:pPr>
        <w:pStyle w:val="FootnoteText"/>
        <w:widowControl w:val="0"/>
        <w:tabs>
          <w:tab w:val="clear" w:pos="1021"/>
        </w:tabs>
        <w:ind w:left="2268"/>
        <w:rPr>
          <w:szCs w:val="18"/>
        </w:rPr>
      </w:pPr>
      <w:hyperlink r:id="rId14" w:history="1">
        <w:r w:rsidRPr="00FF1F8F">
          <w:rPr>
            <w:rStyle w:val="Hyperlink"/>
            <w:b/>
            <w:bCs/>
          </w:rPr>
          <w:t>https://unece.org/transport/vehicle-regulations/wp29/resolutions</w:t>
        </w:r>
      </w:hyperlink>
      <w:r w:rsidRPr="00FF1F8F">
        <w:rPr>
          <w:b/>
          <w:bCs/>
          <w:szCs w:val="18"/>
        </w:rPr>
        <w:t>"</w:t>
      </w:r>
    </w:p>
    <w:p w14:paraId="55E071B4" w14:textId="77777777" w:rsidR="00A309FE" w:rsidRPr="00FF1F8F" w:rsidRDefault="00A309FE" w:rsidP="00A309FE">
      <w:pPr>
        <w:autoSpaceDE w:val="0"/>
        <w:autoSpaceDN w:val="0"/>
        <w:adjustRightInd w:val="0"/>
        <w:spacing w:before="120" w:after="120" w:line="240" w:lineRule="auto"/>
        <w:ind w:left="1134" w:right="1134"/>
        <w:jc w:val="both"/>
        <w:rPr>
          <w:rFonts w:eastAsia="DengXian"/>
          <w:i/>
          <w:lang w:eastAsia="zh-CN"/>
        </w:rPr>
      </w:pPr>
      <w:r w:rsidRPr="00FF1F8F">
        <w:rPr>
          <w:rFonts w:eastAsia="DengXian"/>
          <w:i/>
          <w:lang w:eastAsia="zh-CN"/>
        </w:rPr>
        <w:t xml:space="preserve">Paragraph 6, footnote 3, </w:t>
      </w:r>
      <w:r w:rsidRPr="00FF1F8F">
        <w:rPr>
          <w:rFonts w:eastAsia="DengXian"/>
          <w:iCs/>
          <w:lang w:eastAsia="zh-CN"/>
        </w:rPr>
        <w:t>amend to read:</w:t>
      </w:r>
    </w:p>
    <w:p w14:paraId="1E76D96A" w14:textId="77777777" w:rsidR="00A309FE" w:rsidRPr="00FF1F8F" w:rsidRDefault="00A309FE" w:rsidP="00A309FE">
      <w:pPr>
        <w:pStyle w:val="FootnoteText"/>
        <w:widowControl w:val="0"/>
        <w:tabs>
          <w:tab w:val="clear" w:pos="1021"/>
          <w:tab w:val="right" w:pos="1020"/>
        </w:tabs>
        <w:ind w:left="2154"/>
        <w:rPr>
          <w:szCs w:val="18"/>
        </w:rPr>
      </w:pPr>
      <w:r w:rsidRPr="00FF1F8F">
        <w:rPr>
          <w:szCs w:val="18"/>
        </w:rPr>
        <w:t>"</w:t>
      </w:r>
      <w:r w:rsidRPr="00FF1F8F">
        <w:rPr>
          <w:rStyle w:val="FootnoteReference"/>
          <w:szCs w:val="18"/>
        </w:rPr>
        <w:t>3</w:t>
      </w:r>
      <w:r w:rsidRPr="00FF1F8F">
        <w:rPr>
          <w:szCs w:val="18"/>
        </w:rPr>
        <w:t xml:space="preserve"> As defined in the Consolidated Resolution on the Construction of Vehicles (R.E.3.),</w:t>
      </w:r>
    </w:p>
    <w:p w14:paraId="507F74E0" w14:textId="77777777" w:rsidR="00A309FE" w:rsidRPr="00FF1F8F" w:rsidRDefault="00A309FE" w:rsidP="00A309FE">
      <w:pPr>
        <w:pStyle w:val="FootnoteText"/>
        <w:widowControl w:val="0"/>
        <w:tabs>
          <w:tab w:val="clear" w:pos="1021"/>
          <w:tab w:val="right" w:pos="1020"/>
        </w:tabs>
        <w:ind w:left="2154" w:hanging="1020"/>
        <w:rPr>
          <w:szCs w:val="18"/>
        </w:rPr>
      </w:pPr>
      <w:r w:rsidRPr="00FF1F8F">
        <w:rPr>
          <w:szCs w:val="18"/>
        </w:rPr>
        <w:t>document ECE/TRANS/WP.29/78/Rev.</w:t>
      </w:r>
      <w:r w:rsidRPr="00FF1F8F">
        <w:rPr>
          <w:strike/>
          <w:szCs w:val="18"/>
        </w:rPr>
        <w:t>6</w:t>
      </w:r>
      <w:r w:rsidRPr="00FF1F8F">
        <w:rPr>
          <w:b/>
          <w:bCs/>
          <w:szCs w:val="18"/>
        </w:rPr>
        <w:t>8</w:t>
      </w:r>
      <w:r w:rsidRPr="00FF1F8F">
        <w:rPr>
          <w:szCs w:val="18"/>
        </w:rPr>
        <w:t xml:space="preserve">, para. 2.  </w:t>
      </w:r>
    </w:p>
    <w:p w14:paraId="44B38626" w14:textId="77777777" w:rsidR="00A309FE" w:rsidRPr="00FF1F8F" w:rsidRDefault="00A309FE" w:rsidP="00A309FE">
      <w:pPr>
        <w:pStyle w:val="FootnoteText"/>
        <w:widowControl w:val="0"/>
        <w:tabs>
          <w:tab w:val="clear" w:pos="1021"/>
          <w:tab w:val="right" w:pos="1020"/>
        </w:tabs>
        <w:rPr>
          <w:szCs w:val="18"/>
        </w:rPr>
      </w:pPr>
      <w:r w:rsidRPr="00FF1F8F">
        <w:rPr>
          <w:szCs w:val="18"/>
        </w:rPr>
        <w:tab/>
      </w:r>
      <w:r w:rsidRPr="00FF1F8F">
        <w:rPr>
          <w:szCs w:val="18"/>
        </w:rPr>
        <w:tab/>
      </w:r>
      <w:hyperlink r:id="rId15" w:history="1">
        <w:r w:rsidRPr="00FF1F8F">
          <w:rPr>
            <w:rStyle w:val="Hyperlink"/>
            <w:strike/>
            <w:szCs w:val="18"/>
          </w:rPr>
          <w:t>https://unece.org/transport/standards/transport/vehicle-regulations-wp29/resolutions</w:t>
        </w:r>
      </w:hyperlink>
      <w:r w:rsidRPr="00FF1F8F">
        <w:rPr>
          <w:szCs w:val="18"/>
        </w:rPr>
        <w:t xml:space="preserve">  </w:t>
      </w:r>
    </w:p>
    <w:p w14:paraId="362E324D" w14:textId="77777777" w:rsidR="00A309FE" w:rsidRPr="00FF1F8F" w:rsidRDefault="00A309FE" w:rsidP="00A309FE">
      <w:pPr>
        <w:pStyle w:val="FootnoteText"/>
        <w:widowControl w:val="0"/>
        <w:tabs>
          <w:tab w:val="clear" w:pos="1021"/>
        </w:tabs>
        <w:ind w:left="2268"/>
        <w:rPr>
          <w:szCs w:val="18"/>
        </w:rPr>
      </w:pPr>
      <w:hyperlink r:id="rId16" w:history="1">
        <w:r w:rsidRPr="00FF1F8F">
          <w:rPr>
            <w:rStyle w:val="Hyperlink"/>
            <w:b/>
            <w:bCs/>
          </w:rPr>
          <w:t>https://unece.org/transport/vehicle-regulations/wp29/resolutions</w:t>
        </w:r>
      </w:hyperlink>
      <w:r w:rsidRPr="00FF1F8F">
        <w:rPr>
          <w:b/>
          <w:bCs/>
          <w:szCs w:val="18"/>
        </w:rPr>
        <w:t>"</w:t>
      </w:r>
    </w:p>
    <w:p w14:paraId="254C8D4A"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6.17.2.1., </w:t>
      </w:r>
      <w:r w:rsidRPr="00FF1F8F">
        <w:rPr>
          <w:rFonts w:eastAsia="DengXian"/>
          <w:iCs/>
          <w:lang w:eastAsia="zh-CN"/>
        </w:rPr>
        <w:t>amend to read:</w:t>
      </w:r>
    </w:p>
    <w:p w14:paraId="04D51725" w14:textId="77777777" w:rsidR="00A309FE" w:rsidRPr="00FF1F8F" w:rsidRDefault="00A309FE" w:rsidP="00A309FE">
      <w:pPr>
        <w:spacing w:after="120"/>
        <w:ind w:left="2300" w:right="1134" w:hanging="1166"/>
        <w:jc w:val="both"/>
      </w:pPr>
      <w:r w:rsidRPr="00FF1F8F">
        <w:t>"6.17.2.1.</w:t>
      </w:r>
      <w:r w:rsidRPr="00FF1F8F">
        <w:tab/>
        <w:t xml:space="preserve">The electrical connections inside the boot and </w:t>
      </w:r>
      <w:r w:rsidRPr="00FF1F8F">
        <w:rPr>
          <w:strike/>
        </w:rPr>
        <w:t>passengers</w:t>
      </w:r>
      <w:r w:rsidRPr="00FF1F8F">
        <w:t xml:space="preserve"> </w:t>
      </w:r>
      <w:r w:rsidRPr="00FF1F8F">
        <w:rPr>
          <w:b/>
          <w:bCs/>
        </w:rPr>
        <w:t xml:space="preserve">occupant </w:t>
      </w:r>
      <w:r w:rsidRPr="00FF1F8F">
        <w:t>compartment shall comply with at least the minimum protection degree class IP 40 according to IEC Standard 60529-1989+A1:1999+A2:2013 or IP40 according to ISO20653:2013."</w:t>
      </w:r>
    </w:p>
    <w:p w14:paraId="7DE58FF3"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Insert new paragraph</w:t>
      </w:r>
      <w:r w:rsidRPr="0040016A">
        <w:rPr>
          <w:rFonts w:eastAsia="DengXian"/>
          <w:i/>
          <w:strike/>
          <w:color w:val="FF0000"/>
          <w:lang w:eastAsia="zh-CN"/>
        </w:rPr>
        <w:t>s</w:t>
      </w:r>
      <w:r w:rsidRPr="00FF1F8F">
        <w:rPr>
          <w:rFonts w:eastAsia="DengXian"/>
          <w:i/>
          <w:lang w:eastAsia="zh-CN"/>
        </w:rPr>
        <w:t xml:space="preserve"> 14.1.4. </w:t>
      </w:r>
      <w:r w:rsidRPr="0040016A">
        <w:rPr>
          <w:rFonts w:eastAsia="DengXian"/>
          <w:i/>
          <w:strike/>
          <w:color w:val="FF0000"/>
          <w:lang w:eastAsia="zh-CN"/>
        </w:rPr>
        <w:t>to 14.1.6.</w:t>
      </w:r>
      <w:r w:rsidRPr="00FF1F8F">
        <w:rPr>
          <w:rFonts w:eastAsia="DengXian"/>
          <w:i/>
          <w:lang w:eastAsia="zh-CN"/>
        </w:rPr>
        <w:t>,</w:t>
      </w:r>
      <w:r w:rsidRPr="00FF1F8F">
        <w:rPr>
          <w:rFonts w:eastAsia="DengXian"/>
          <w:iCs/>
          <w:lang w:eastAsia="zh-CN"/>
        </w:rPr>
        <w:t xml:space="preserve"> to read:</w:t>
      </w:r>
    </w:p>
    <w:p w14:paraId="6AD04F3E" w14:textId="77777777" w:rsidR="00A309FE" w:rsidRPr="00FF1F8F" w:rsidRDefault="00A309FE" w:rsidP="00A309FE">
      <w:pPr>
        <w:pStyle w:val="para"/>
        <w:keepNext/>
        <w:keepLines/>
        <w:rPr>
          <w:lang w:val="en-GB"/>
        </w:rPr>
      </w:pPr>
      <w:r w:rsidRPr="00FF1F8F">
        <w:rPr>
          <w:lang w:val="en-GB"/>
        </w:rPr>
        <w:t>"14.1.4</w:t>
      </w:r>
      <w:r>
        <w:rPr>
          <w:lang w:val="en-GB"/>
        </w:rPr>
        <w:t>.</w:t>
      </w:r>
      <w:r w:rsidRPr="00FF1F8F">
        <w:rPr>
          <w:lang w:val="en-GB"/>
        </w:rPr>
        <w:tab/>
        <w:t>"</w:t>
      </w:r>
      <w:r w:rsidRPr="00FF1F8F">
        <w:rPr>
          <w:i/>
          <w:lang w:val="en-GB"/>
        </w:rPr>
        <w:t>Occupant compartment</w:t>
      </w:r>
      <w:r w:rsidRPr="00FF1F8F">
        <w:rPr>
          <w:lang w:val="en-GB"/>
        </w:rPr>
        <w:t>" means the space for occupant (driver and/or passengers) accommodation bounded by the roof, floor, side walls, doors, outside glazing, front bulkhead, and the plane of the rear compartment bulkhead or the plane of the rear seat back support;</w:t>
      </w:r>
    </w:p>
    <w:p w14:paraId="547CE200" w14:textId="77777777" w:rsidR="00A309FE" w:rsidRPr="0040016A" w:rsidRDefault="00A309FE" w:rsidP="00A309FE">
      <w:pPr>
        <w:pStyle w:val="para"/>
        <w:rPr>
          <w:strike/>
          <w:color w:val="FF0000"/>
          <w:lang w:val="en-GB"/>
        </w:rPr>
      </w:pPr>
      <w:r w:rsidRPr="0040016A">
        <w:rPr>
          <w:strike/>
          <w:color w:val="FF0000"/>
          <w:lang w:val="en-GB"/>
        </w:rPr>
        <w:t>14.1.5.</w:t>
      </w:r>
      <w:r w:rsidRPr="0040016A">
        <w:rPr>
          <w:strike/>
          <w:color w:val="FF0000"/>
          <w:lang w:val="en-GB"/>
        </w:rPr>
        <w:tab/>
        <w:t>"</w:t>
      </w:r>
      <w:r w:rsidRPr="0040016A">
        <w:rPr>
          <w:i/>
          <w:strike/>
          <w:color w:val="FF0000"/>
          <w:lang w:val="en-GB"/>
        </w:rPr>
        <w:t>ADS feature of type 1 (ADSF-1)</w:t>
      </w:r>
      <w:r w:rsidRPr="0040016A">
        <w:rPr>
          <w:strike/>
          <w:color w:val="FF0000"/>
          <w:lang w:val="en-GB"/>
        </w:rPr>
        <w:t>" means an ADS feature which includes an ADS fallback response requiring a fallback user</w:t>
      </w:r>
    </w:p>
    <w:p w14:paraId="55F70A2B" w14:textId="77777777" w:rsidR="00A309FE" w:rsidRPr="00FF1F8F" w:rsidRDefault="00A309FE" w:rsidP="00A309FE">
      <w:pPr>
        <w:pStyle w:val="para"/>
        <w:rPr>
          <w:lang w:val="en-GB"/>
        </w:rPr>
      </w:pPr>
      <w:r w:rsidRPr="0040016A">
        <w:rPr>
          <w:strike/>
          <w:color w:val="FF0000"/>
          <w:lang w:val="en-GB"/>
        </w:rPr>
        <w:lastRenderedPageBreak/>
        <w:t>14.1.6.</w:t>
      </w:r>
      <w:r w:rsidRPr="0040016A">
        <w:rPr>
          <w:strike/>
          <w:color w:val="FF0000"/>
          <w:lang w:val="en-GB"/>
        </w:rPr>
        <w:tab/>
      </w:r>
      <w:r w:rsidRPr="0040016A">
        <w:rPr>
          <w:i/>
          <w:iCs/>
          <w:strike/>
          <w:color w:val="FF0000"/>
          <w:lang w:val="en-GB"/>
        </w:rPr>
        <w:t>"ADS feature of type 2 (ADSF-2)"</w:t>
      </w:r>
      <w:r w:rsidRPr="0040016A">
        <w:rPr>
          <w:strike/>
          <w:color w:val="FF0000"/>
          <w:lang w:val="en-GB"/>
        </w:rPr>
        <w:t xml:space="preserve"> means an ADS feature which does not include an ADS fallback response requiring a fallback user.</w:t>
      </w:r>
      <w:r w:rsidRPr="00FF1F8F">
        <w:rPr>
          <w:lang w:val="en-GB"/>
        </w:rPr>
        <w:t>"</w:t>
      </w:r>
    </w:p>
    <w:p w14:paraId="014DEA3E" w14:textId="77777777" w:rsidR="00A309FE" w:rsidRPr="00FF1F8F" w:rsidRDefault="00A309FE" w:rsidP="00A309FE">
      <w:pPr>
        <w:autoSpaceDE w:val="0"/>
        <w:autoSpaceDN w:val="0"/>
        <w:adjustRightInd w:val="0"/>
        <w:spacing w:before="120" w:after="120" w:line="240" w:lineRule="auto"/>
        <w:ind w:left="1134" w:right="1134"/>
        <w:jc w:val="both"/>
        <w:rPr>
          <w:rFonts w:eastAsia="DengXian"/>
          <w:i/>
          <w:lang w:eastAsia="zh-CN"/>
        </w:rPr>
      </w:pPr>
      <w:r w:rsidRPr="00FF1F8F">
        <w:rPr>
          <w:rFonts w:eastAsia="DengXian"/>
          <w:i/>
          <w:lang w:eastAsia="zh-CN"/>
        </w:rPr>
        <w:t xml:space="preserve">Paragraph 16, footnote 4, </w:t>
      </w:r>
      <w:r w:rsidRPr="00FF1F8F">
        <w:rPr>
          <w:rFonts w:eastAsia="DengXian"/>
          <w:iCs/>
          <w:lang w:eastAsia="zh-CN"/>
        </w:rPr>
        <w:t>amend to read:</w:t>
      </w:r>
    </w:p>
    <w:p w14:paraId="251FFF1A" w14:textId="77777777" w:rsidR="00A309FE" w:rsidRPr="00FF1F8F" w:rsidRDefault="00A309FE" w:rsidP="00A309FE">
      <w:pPr>
        <w:pStyle w:val="FootnoteText"/>
        <w:widowControl w:val="0"/>
        <w:tabs>
          <w:tab w:val="clear" w:pos="1021"/>
          <w:tab w:val="right" w:pos="993"/>
        </w:tabs>
        <w:rPr>
          <w:szCs w:val="18"/>
        </w:rPr>
      </w:pPr>
      <w:r w:rsidRPr="00FF1F8F">
        <w:rPr>
          <w:szCs w:val="18"/>
        </w:rPr>
        <w:tab/>
        <w:t>"</w:t>
      </w:r>
      <w:r w:rsidRPr="00FF1F8F">
        <w:rPr>
          <w:rStyle w:val="FootnoteReference"/>
          <w:szCs w:val="18"/>
        </w:rPr>
        <w:t>4</w:t>
      </w:r>
      <w:r w:rsidRPr="00FF1F8F">
        <w:rPr>
          <w:szCs w:val="18"/>
        </w:rPr>
        <w:t xml:space="preserve"> </w:t>
      </w:r>
      <w:r w:rsidRPr="00FF1F8F">
        <w:rPr>
          <w:szCs w:val="18"/>
        </w:rPr>
        <w:tab/>
        <w:t>The distinguish numbers of the Contracting Parties to the 1958 Agreement are reproduced in Annex 3 to the Consolidated Resolution on the Construction of Vehicles (R.E.3), document ECE/TRANS/WP.29/78/Rev.</w:t>
      </w:r>
      <w:r w:rsidRPr="00FF1F8F">
        <w:rPr>
          <w:strike/>
          <w:szCs w:val="18"/>
        </w:rPr>
        <w:t>6</w:t>
      </w:r>
      <w:r w:rsidRPr="00FF1F8F">
        <w:rPr>
          <w:b/>
          <w:bCs/>
          <w:szCs w:val="18"/>
        </w:rPr>
        <w:t>8</w:t>
      </w:r>
      <w:r w:rsidRPr="00FF1F8F">
        <w:rPr>
          <w:szCs w:val="18"/>
        </w:rPr>
        <w:t xml:space="preserve">  </w:t>
      </w:r>
    </w:p>
    <w:p w14:paraId="578A5339" w14:textId="77777777" w:rsidR="00A309FE" w:rsidRPr="00FF1F8F" w:rsidRDefault="00A309FE" w:rsidP="00A309FE">
      <w:pPr>
        <w:pStyle w:val="FootnoteText"/>
        <w:widowControl w:val="0"/>
        <w:tabs>
          <w:tab w:val="clear" w:pos="1021"/>
          <w:tab w:val="right" w:pos="1020"/>
        </w:tabs>
        <w:rPr>
          <w:szCs w:val="18"/>
        </w:rPr>
      </w:pPr>
      <w:r w:rsidRPr="00FF1F8F">
        <w:tab/>
      </w:r>
      <w:r w:rsidRPr="00FF1F8F">
        <w:tab/>
      </w:r>
      <w:hyperlink r:id="rId17" w:history="1">
        <w:r w:rsidRPr="00FF1F8F">
          <w:rPr>
            <w:rStyle w:val="Hyperlink"/>
            <w:strike/>
            <w:szCs w:val="18"/>
          </w:rPr>
          <w:t>https://unece.org/transport/standards/transport/vehicle-regulations-wp29/resolutions</w:t>
        </w:r>
      </w:hyperlink>
      <w:r w:rsidRPr="00FF1F8F">
        <w:rPr>
          <w:szCs w:val="18"/>
        </w:rPr>
        <w:t xml:space="preserve">  </w:t>
      </w:r>
    </w:p>
    <w:p w14:paraId="70A7A1AF" w14:textId="77777777" w:rsidR="00A309FE" w:rsidRPr="00FF1F8F" w:rsidRDefault="00A309FE" w:rsidP="00A309FE">
      <w:pPr>
        <w:pStyle w:val="FootnoteText"/>
        <w:widowControl w:val="0"/>
        <w:tabs>
          <w:tab w:val="right" w:pos="993"/>
        </w:tabs>
        <w:ind w:left="1020"/>
        <w:rPr>
          <w:b/>
          <w:bCs/>
          <w:szCs w:val="18"/>
        </w:rPr>
      </w:pPr>
      <w:r w:rsidRPr="00FF1F8F">
        <w:rPr>
          <w:b/>
          <w:bCs/>
        </w:rPr>
        <w:tab/>
      </w:r>
      <w:r w:rsidRPr="00FF1F8F">
        <w:rPr>
          <w:b/>
          <w:bCs/>
        </w:rPr>
        <w:tab/>
      </w:r>
      <w:r w:rsidRPr="00FF1F8F">
        <w:rPr>
          <w:b/>
          <w:bCs/>
        </w:rPr>
        <w:tab/>
      </w:r>
      <w:r w:rsidRPr="00FF1F8F">
        <w:rPr>
          <w:b/>
          <w:bCs/>
        </w:rPr>
        <w:tab/>
      </w:r>
      <w:hyperlink r:id="rId18" w:history="1">
        <w:r w:rsidRPr="00FF1F8F">
          <w:rPr>
            <w:rStyle w:val="Hyperlink"/>
            <w:b/>
            <w:bCs/>
          </w:rPr>
          <w:t>https://unece.org/transport/vehicle-regulations/wp29/resolutions</w:t>
        </w:r>
      </w:hyperlink>
      <w:r w:rsidRPr="00FF1F8F">
        <w:rPr>
          <w:b/>
          <w:bCs/>
          <w:szCs w:val="18"/>
        </w:rPr>
        <w:t>"</w:t>
      </w:r>
    </w:p>
    <w:p w14:paraId="69F2B55A" w14:textId="77777777" w:rsidR="00A309FE" w:rsidRPr="00FF1F8F" w:rsidRDefault="00A309FE" w:rsidP="00A309FE">
      <w:pPr>
        <w:autoSpaceDE w:val="0"/>
        <w:autoSpaceDN w:val="0"/>
        <w:adjustRightInd w:val="0"/>
        <w:spacing w:before="120" w:after="120" w:line="240" w:lineRule="auto"/>
        <w:ind w:left="1134" w:right="1134"/>
        <w:jc w:val="both"/>
        <w:rPr>
          <w:rFonts w:eastAsia="DengXian"/>
          <w:i/>
          <w:lang w:eastAsia="zh-CN"/>
        </w:rPr>
      </w:pPr>
      <w:r w:rsidRPr="00FF1F8F">
        <w:rPr>
          <w:rFonts w:eastAsia="DengXian"/>
          <w:i/>
          <w:lang w:eastAsia="zh-CN"/>
        </w:rPr>
        <w:t xml:space="preserve">Paragraph 17, footnote 5, </w:t>
      </w:r>
      <w:r w:rsidRPr="00FF1F8F">
        <w:rPr>
          <w:rFonts w:eastAsia="DengXian"/>
          <w:iCs/>
          <w:lang w:eastAsia="zh-CN"/>
        </w:rPr>
        <w:t>amend to read:</w:t>
      </w:r>
    </w:p>
    <w:p w14:paraId="1F24246D" w14:textId="77777777" w:rsidR="00A309FE" w:rsidRPr="00FF1F8F" w:rsidRDefault="00A309FE" w:rsidP="00A309FE">
      <w:pPr>
        <w:pStyle w:val="FootnoteText"/>
        <w:widowControl w:val="0"/>
        <w:tabs>
          <w:tab w:val="clear" w:pos="1021"/>
          <w:tab w:val="right" w:pos="1020"/>
        </w:tabs>
        <w:rPr>
          <w:szCs w:val="18"/>
        </w:rPr>
      </w:pPr>
      <w:r w:rsidRPr="00FF1F8F">
        <w:rPr>
          <w:szCs w:val="18"/>
        </w:rPr>
        <w:tab/>
        <w:t>"</w:t>
      </w:r>
      <w:r w:rsidRPr="00FF1F8F">
        <w:rPr>
          <w:rStyle w:val="FootnoteReference"/>
          <w:szCs w:val="18"/>
        </w:rPr>
        <w:t>5</w:t>
      </w:r>
      <w:r w:rsidRPr="00FF1F8F">
        <w:rPr>
          <w:szCs w:val="18"/>
        </w:rPr>
        <w:t xml:space="preserve"> </w:t>
      </w:r>
      <w:r w:rsidRPr="00FF1F8F">
        <w:rPr>
          <w:szCs w:val="18"/>
        </w:rPr>
        <w:tab/>
      </w:r>
      <w:r w:rsidRPr="00FF1F8F">
        <w:rPr>
          <w:szCs w:val="18"/>
        </w:rPr>
        <w:tab/>
        <w:t>As defined in the Consolidated Resolution on the Construction of Vehicles (R.E.3.),</w:t>
      </w:r>
    </w:p>
    <w:p w14:paraId="48961E32" w14:textId="77777777" w:rsidR="00A309FE" w:rsidRPr="00FF1F8F" w:rsidRDefault="00A309FE" w:rsidP="00A309FE">
      <w:pPr>
        <w:pStyle w:val="FootnoteText"/>
        <w:widowControl w:val="0"/>
        <w:tabs>
          <w:tab w:val="clear" w:pos="1021"/>
          <w:tab w:val="right" w:pos="1020"/>
        </w:tabs>
        <w:rPr>
          <w:szCs w:val="18"/>
        </w:rPr>
      </w:pPr>
      <w:r w:rsidRPr="00FF1F8F">
        <w:rPr>
          <w:szCs w:val="18"/>
        </w:rPr>
        <w:tab/>
      </w:r>
      <w:r w:rsidRPr="00FF1F8F">
        <w:rPr>
          <w:szCs w:val="18"/>
        </w:rPr>
        <w:tab/>
        <w:t>document ECE/TRANS/WP.29/78/Rev.</w:t>
      </w:r>
      <w:r w:rsidRPr="00FF1F8F">
        <w:rPr>
          <w:strike/>
          <w:szCs w:val="18"/>
        </w:rPr>
        <w:t xml:space="preserve"> 6</w:t>
      </w:r>
      <w:r w:rsidRPr="00FF1F8F">
        <w:rPr>
          <w:b/>
          <w:bCs/>
          <w:szCs w:val="18"/>
        </w:rPr>
        <w:t>8</w:t>
      </w:r>
      <w:r w:rsidRPr="00FF1F8F">
        <w:rPr>
          <w:szCs w:val="18"/>
        </w:rPr>
        <w:t xml:space="preserve">, para. 2.  </w:t>
      </w:r>
    </w:p>
    <w:p w14:paraId="421151A2" w14:textId="77777777" w:rsidR="00A309FE" w:rsidRPr="00FF1F8F" w:rsidRDefault="00A309FE" w:rsidP="00A309FE">
      <w:pPr>
        <w:pStyle w:val="FootnoteText"/>
        <w:widowControl w:val="0"/>
        <w:tabs>
          <w:tab w:val="clear" w:pos="1021"/>
          <w:tab w:val="right" w:pos="1020"/>
        </w:tabs>
        <w:rPr>
          <w:szCs w:val="18"/>
        </w:rPr>
      </w:pPr>
      <w:r w:rsidRPr="00FF1F8F">
        <w:rPr>
          <w:szCs w:val="18"/>
        </w:rPr>
        <w:tab/>
      </w:r>
      <w:r w:rsidRPr="00FF1F8F">
        <w:rPr>
          <w:szCs w:val="18"/>
        </w:rPr>
        <w:tab/>
      </w:r>
      <w:hyperlink r:id="rId19" w:history="1">
        <w:r w:rsidRPr="00FF1F8F">
          <w:rPr>
            <w:rStyle w:val="Hyperlink"/>
            <w:strike/>
            <w:szCs w:val="18"/>
          </w:rPr>
          <w:t>https://unece.org/transport/standards/transport/vehicle-regulations-wp29/resolutions</w:t>
        </w:r>
      </w:hyperlink>
      <w:r w:rsidRPr="00FF1F8F">
        <w:rPr>
          <w:szCs w:val="18"/>
        </w:rPr>
        <w:t xml:space="preserve">  </w:t>
      </w:r>
    </w:p>
    <w:p w14:paraId="2D759C27" w14:textId="77777777" w:rsidR="00A309FE" w:rsidRPr="00FF1F8F" w:rsidRDefault="00A309FE" w:rsidP="00A309FE">
      <w:pPr>
        <w:pStyle w:val="FootnoteText"/>
        <w:widowControl w:val="0"/>
        <w:ind w:left="2154" w:hanging="1020"/>
        <w:rPr>
          <w:b/>
          <w:bCs/>
          <w:sz w:val="20"/>
        </w:rPr>
      </w:pPr>
      <w:hyperlink r:id="rId20" w:history="1">
        <w:r w:rsidRPr="00FF1F8F">
          <w:rPr>
            <w:rStyle w:val="Hyperlink"/>
            <w:b/>
            <w:bCs/>
          </w:rPr>
          <w:t>https://unece.org/transport/vehicle-regulations/wp29/resolutions</w:t>
        </w:r>
      </w:hyperlink>
      <w:r w:rsidRPr="00FF1F8F">
        <w:rPr>
          <w:b/>
          <w:bCs/>
          <w:szCs w:val="18"/>
        </w:rPr>
        <w:t>"</w:t>
      </w:r>
    </w:p>
    <w:p w14:paraId="13F45804"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17.1.7.1., </w:t>
      </w:r>
      <w:r w:rsidRPr="00FF1F8F">
        <w:rPr>
          <w:rFonts w:eastAsia="DengXian"/>
          <w:iCs/>
          <w:lang w:eastAsia="zh-CN"/>
        </w:rPr>
        <w:t>amend to read:</w:t>
      </w:r>
    </w:p>
    <w:p w14:paraId="1FE14EBF" w14:textId="77777777" w:rsidR="00A309FE" w:rsidRPr="00FF1F8F" w:rsidRDefault="00A309FE" w:rsidP="00A309FE">
      <w:pPr>
        <w:pStyle w:val="Para0"/>
        <w:keepNext/>
        <w:keepLines/>
      </w:pPr>
      <w:r w:rsidRPr="00FF1F8F">
        <w:t>"17.1.7.1.</w:t>
      </w:r>
      <w:r w:rsidRPr="00FF1F8F">
        <w:tab/>
        <w:t>Notwithstanding the provisions of paragraph 17.1.7. above, motor vehicles of categories M</w:t>
      </w:r>
      <w:r w:rsidRPr="00FF1F8F">
        <w:rPr>
          <w:vertAlign w:val="subscript"/>
        </w:rPr>
        <w:t>2</w:t>
      </w:r>
      <w:r w:rsidRPr="00FF1F8F">
        <w:t>, M</w:t>
      </w:r>
      <w:r w:rsidRPr="00FF1F8F">
        <w:rPr>
          <w:vertAlign w:val="subscript"/>
        </w:rPr>
        <w:t>3</w:t>
      </w:r>
      <w:r w:rsidRPr="00FF1F8F">
        <w:t>, N</w:t>
      </w:r>
      <w:r w:rsidRPr="00FF1F8F">
        <w:rPr>
          <w:vertAlign w:val="subscript"/>
        </w:rPr>
        <w:t>2</w:t>
      </w:r>
      <w:r w:rsidRPr="00FF1F8F">
        <w:t>, N</w:t>
      </w:r>
      <w:r w:rsidRPr="00FF1F8F">
        <w:rPr>
          <w:vertAlign w:val="subscript"/>
        </w:rPr>
        <w:t>3</w:t>
      </w:r>
      <w:r w:rsidRPr="00FF1F8F">
        <w:t xml:space="preserve"> and M</w:t>
      </w:r>
      <w:r w:rsidRPr="00FF1F8F">
        <w:rPr>
          <w:vertAlign w:val="subscript"/>
        </w:rPr>
        <w:t>1</w:t>
      </w:r>
      <w:r w:rsidRPr="00FF1F8F">
        <w:t xml:space="preserve"> having either a maximum total </w:t>
      </w:r>
      <w:r w:rsidRPr="00FF1F8F">
        <w:br/>
        <w:t>mass &gt; 3500 kg or a body type SA</w:t>
      </w:r>
      <w:r w:rsidRPr="00FF1F8F">
        <w:rPr>
          <w:vertAlign w:val="superscript"/>
        </w:rPr>
        <w:t>1</w:t>
      </w:r>
      <w:r w:rsidRPr="00FF1F8F">
        <w:t xml:space="preserve">,  may be fitted with a heating system to heat the </w:t>
      </w:r>
      <w:r w:rsidRPr="00FF1F8F">
        <w:rPr>
          <w:strike/>
        </w:rPr>
        <w:t>passenger</w:t>
      </w:r>
      <w:r w:rsidRPr="00FF1F8F">
        <w:t xml:space="preserve"> </w:t>
      </w:r>
      <w:r w:rsidRPr="00FF1F8F">
        <w:rPr>
          <w:b/>
          <w:bCs/>
        </w:rPr>
        <w:t>occupant</w:t>
      </w:r>
      <w:r w:rsidRPr="00FF1F8F">
        <w:t xml:space="preserve"> compartment </w:t>
      </w:r>
      <w:r w:rsidRPr="00FF1F8F">
        <w:rPr>
          <w:b/>
          <w:bCs/>
        </w:rPr>
        <w:t>(if fitted)</w:t>
      </w:r>
      <w:r w:rsidRPr="00FF1F8F">
        <w:t xml:space="preserve"> which is connected to the LPG system."</w:t>
      </w:r>
    </w:p>
    <w:p w14:paraId="2196BF31"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17.8.8., </w:t>
      </w:r>
      <w:r w:rsidRPr="00FF1F8F">
        <w:rPr>
          <w:rFonts w:eastAsia="DengXian"/>
          <w:iCs/>
          <w:lang w:eastAsia="zh-CN"/>
        </w:rPr>
        <w:t>amend to read:</w:t>
      </w:r>
    </w:p>
    <w:p w14:paraId="2F31916B" w14:textId="0DE25655" w:rsidR="00A309FE" w:rsidRPr="00FF1F8F" w:rsidRDefault="00A309FE" w:rsidP="00A309FE">
      <w:pPr>
        <w:pStyle w:val="Para0"/>
        <w:keepNext/>
        <w:keepLines/>
      </w:pPr>
      <w:r w:rsidRPr="00FF1F8F">
        <w:t>"17.8.8.</w:t>
      </w:r>
      <w:r w:rsidRPr="00FF1F8F">
        <w:tab/>
        <w:t>In a</w:t>
      </w:r>
      <w:r w:rsidR="0081721A" w:rsidRPr="0081721A">
        <w:rPr>
          <w:b/>
          <w:bCs/>
          <w:color w:val="FF0000"/>
        </w:rPr>
        <w:t>n</w:t>
      </w:r>
      <w:r w:rsidRPr="00FF1F8F">
        <w:t xml:space="preserve"> </w:t>
      </w:r>
      <w:r w:rsidRPr="00FF1F8F">
        <w:rPr>
          <w:strike/>
        </w:rPr>
        <w:t>passenger</w:t>
      </w:r>
      <w:r w:rsidRPr="00FF1F8F">
        <w:t xml:space="preserve"> </w:t>
      </w:r>
      <w:r w:rsidRPr="00FF1F8F">
        <w:rPr>
          <w:b/>
          <w:bCs/>
        </w:rPr>
        <w:t>occupant</w:t>
      </w:r>
      <w:r w:rsidRPr="00FF1F8F">
        <w:t xml:space="preserve"> compartment or enclosed luggage compartment</w:t>
      </w:r>
      <w:r w:rsidRPr="00FF1F8F">
        <w:rPr>
          <w:b/>
          <w:bCs/>
        </w:rPr>
        <w:t xml:space="preserve"> </w:t>
      </w:r>
      <w:r w:rsidRPr="00FF1F8F">
        <w:t xml:space="preserve">the gas tube or hose shall be no longer than reasonably required; this provision is fulfilled when the gas tube or hose does not extend further than from the fuel container to the side of vehicle." </w:t>
      </w:r>
    </w:p>
    <w:p w14:paraId="1BA48ED0"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17.8.8.1., </w:t>
      </w:r>
      <w:r w:rsidRPr="00FF1F8F">
        <w:rPr>
          <w:rFonts w:eastAsia="DengXian"/>
          <w:iCs/>
          <w:lang w:eastAsia="zh-CN"/>
        </w:rPr>
        <w:t>amend to read:</w:t>
      </w:r>
    </w:p>
    <w:p w14:paraId="13078C58" w14:textId="77777777" w:rsidR="00A309FE" w:rsidRPr="00FF1F8F" w:rsidRDefault="00A309FE" w:rsidP="00A309FE">
      <w:pPr>
        <w:pStyle w:val="Para0"/>
      </w:pPr>
      <w:r w:rsidRPr="00FF1F8F">
        <w:t>"17.8.8.1.</w:t>
      </w:r>
      <w:r w:rsidRPr="00FF1F8F">
        <w:tab/>
        <w:t xml:space="preserve">There shall be no gas-conveying connections in the </w:t>
      </w:r>
      <w:r w:rsidRPr="00FF1F8F">
        <w:rPr>
          <w:strike/>
        </w:rPr>
        <w:t>passenger</w:t>
      </w:r>
      <w:r w:rsidRPr="00FF1F8F">
        <w:t xml:space="preserve"> </w:t>
      </w:r>
      <w:r w:rsidRPr="00FF1F8F">
        <w:rPr>
          <w:b/>
          <w:bCs/>
        </w:rPr>
        <w:t>occupant</w:t>
      </w:r>
      <w:r w:rsidRPr="00FF1F8F">
        <w:rPr>
          <w:highlight w:val="yellow"/>
        </w:rPr>
        <w:t xml:space="preserve"> </w:t>
      </w:r>
      <w:r w:rsidRPr="00FF1F8F">
        <w:t>compartment or enclosed luggage compartment</w:t>
      </w:r>
      <w:r w:rsidRPr="00FF1F8F">
        <w:rPr>
          <w:b/>
          <w:bCs/>
        </w:rPr>
        <w:t xml:space="preserve"> </w:t>
      </w:r>
      <w:r w:rsidRPr="00FF1F8F">
        <w:t>with the exception of:</w:t>
      </w:r>
    </w:p>
    <w:p w14:paraId="239FCA16" w14:textId="77777777" w:rsidR="00A309FE" w:rsidRPr="00FF1F8F" w:rsidRDefault="00A309FE" w:rsidP="00A309FE">
      <w:pPr>
        <w:pStyle w:val="a0"/>
        <w:rPr>
          <w:lang w:val="en-GB"/>
        </w:rPr>
      </w:pPr>
      <w:r w:rsidRPr="00FF1F8F">
        <w:rPr>
          <w:lang w:val="en-GB"/>
        </w:rPr>
        <w:t>(a)</w:t>
      </w:r>
      <w:r w:rsidRPr="00FF1F8F">
        <w:rPr>
          <w:lang w:val="en-GB"/>
        </w:rPr>
        <w:tab/>
        <w:t>The connections on the gas-tight housing; and</w:t>
      </w:r>
    </w:p>
    <w:p w14:paraId="441877B9" w14:textId="77777777" w:rsidR="00A309FE" w:rsidRPr="00FF1F8F" w:rsidRDefault="00A309FE" w:rsidP="00A309FE">
      <w:pPr>
        <w:pStyle w:val="a0"/>
        <w:rPr>
          <w:lang w:val="en-GB"/>
        </w:rPr>
      </w:pPr>
      <w:r w:rsidRPr="00FF1F8F">
        <w:rPr>
          <w:lang w:val="en-GB"/>
        </w:rPr>
        <w:t>(b)</w:t>
      </w:r>
      <w:r w:rsidRPr="00FF1F8F">
        <w:rPr>
          <w:lang w:val="en-GB"/>
        </w:rPr>
        <w:tab/>
        <w:t>The connection between the gas tube or hose and the filling unit if this connection is fitted with a sleeve which is resistant against LPG and any leaking gas will be discharged directly into the atmosphere."</w:t>
      </w:r>
    </w:p>
    <w:p w14:paraId="79B5C3DA"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17.10.2., </w:t>
      </w:r>
      <w:r w:rsidRPr="00FF1F8F">
        <w:rPr>
          <w:rFonts w:eastAsia="DengXian"/>
          <w:iCs/>
          <w:lang w:eastAsia="zh-CN"/>
        </w:rPr>
        <w:t>amend to read:</w:t>
      </w:r>
    </w:p>
    <w:p w14:paraId="4D27859E" w14:textId="77777777" w:rsidR="00A309FE" w:rsidRPr="00FF1F8F" w:rsidRDefault="00A309FE" w:rsidP="00A309FE">
      <w:pPr>
        <w:pStyle w:val="Para0"/>
      </w:pPr>
      <w:r w:rsidRPr="00FF1F8F">
        <w:t>"17.10.2.</w:t>
      </w:r>
      <w:r w:rsidRPr="00FF1F8F">
        <w:tab/>
        <w:t xml:space="preserve">When the LPG container is installed in the </w:t>
      </w:r>
      <w:r w:rsidRPr="00FF1F8F">
        <w:rPr>
          <w:strike/>
        </w:rPr>
        <w:t>passenger</w:t>
      </w:r>
      <w:r w:rsidRPr="00FF1F8F">
        <w:t xml:space="preserve"> </w:t>
      </w:r>
      <w:r w:rsidRPr="00FF1F8F">
        <w:rPr>
          <w:b/>
          <w:bCs/>
        </w:rPr>
        <w:t>occupant</w:t>
      </w:r>
      <w:r w:rsidRPr="00FF1F8F">
        <w:t xml:space="preserve"> compartment or enclosed (luggage) compartment</w:t>
      </w:r>
      <w:r w:rsidRPr="00FF1F8F">
        <w:rPr>
          <w:b/>
          <w:bCs/>
        </w:rPr>
        <w:t xml:space="preserve"> </w:t>
      </w:r>
      <w:r w:rsidRPr="00FF1F8F">
        <w:t>the filling unit shall be located at the outside of the vehicle."</w:t>
      </w:r>
    </w:p>
    <w:p w14:paraId="003DEF52"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17.11.4., </w:t>
      </w:r>
      <w:r w:rsidRPr="00FF1F8F">
        <w:rPr>
          <w:rFonts w:eastAsia="DengXian"/>
          <w:iCs/>
          <w:lang w:eastAsia="zh-CN"/>
        </w:rPr>
        <w:t>amend to read:</w:t>
      </w:r>
    </w:p>
    <w:p w14:paraId="6312C5FF" w14:textId="77777777" w:rsidR="00A309FE" w:rsidRPr="00FF1F8F" w:rsidRDefault="00A309FE" w:rsidP="00A309FE">
      <w:pPr>
        <w:pStyle w:val="Para0"/>
        <w:rPr>
          <w:b/>
          <w:bCs/>
        </w:rPr>
      </w:pPr>
      <w:r w:rsidRPr="00FF1F8F">
        <w:t>"17.11.4.</w:t>
      </w:r>
      <w:r w:rsidRPr="00FF1F8F">
        <w:tab/>
      </w:r>
      <w:r w:rsidRPr="00FF1F8F">
        <w:rPr>
          <w:spacing w:val="2"/>
        </w:rPr>
        <w:t xml:space="preserve">Electrical cables shall be adequately protected against damage. The electrical connections inside the boot and </w:t>
      </w:r>
      <w:r w:rsidRPr="00FF1F8F">
        <w:rPr>
          <w:strike/>
        </w:rPr>
        <w:t>passengers</w:t>
      </w:r>
      <w:r w:rsidRPr="00FF1F8F">
        <w:t xml:space="preserve"> </w:t>
      </w:r>
      <w:r w:rsidRPr="00FF1F8F">
        <w:rPr>
          <w:b/>
          <w:bCs/>
        </w:rPr>
        <w:t xml:space="preserve">occupant </w:t>
      </w:r>
      <w:r w:rsidRPr="00FF1F8F">
        <w:rPr>
          <w:spacing w:val="2"/>
        </w:rPr>
        <w:t>compartment shall comply with protection degree class IP 40 according to IEC Standard 60529-</w:t>
      </w:r>
      <w:r w:rsidRPr="00FF1F8F">
        <w:t>1989+A1:1999. All other electrical connections shall comply with protection degree class IP 54 according to IEC Standard 60529-1989+A1:1999."</w:t>
      </w:r>
    </w:p>
    <w:p w14:paraId="6242C418"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Paragraph 17.13.2.3., </w:t>
      </w:r>
      <w:r w:rsidRPr="00FF1F8F">
        <w:rPr>
          <w:rFonts w:eastAsia="DengXian"/>
          <w:iCs/>
          <w:lang w:eastAsia="zh-CN"/>
        </w:rPr>
        <w:t>amend to read:</w:t>
      </w:r>
    </w:p>
    <w:p w14:paraId="3669A9A1" w14:textId="77777777" w:rsidR="00A309FE" w:rsidRPr="00FF1F8F" w:rsidRDefault="00A309FE" w:rsidP="00A309FE">
      <w:pPr>
        <w:tabs>
          <w:tab w:val="left" w:pos="2835"/>
          <w:tab w:val="left" w:pos="8505"/>
        </w:tabs>
        <w:spacing w:before="120" w:after="120"/>
        <w:ind w:left="2268" w:right="1134" w:hanging="1134"/>
        <w:jc w:val="both"/>
        <w:rPr>
          <w:bCs/>
        </w:rPr>
      </w:pPr>
      <w:r w:rsidRPr="00FF1F8F">
        <w:rPr>
          <w:bCs/>
        </w:rPr>
        <w:t>"17.13.2.3.</w:t>
      </w:r>
      <w:r w:rsidRPr="00FF1F8F">
        <w:rPr>
          <w:bCs/>
        </w:rPr>
        <w:tab/>
        <w:t>Means shall be provided to prevent that flows of petrol into the LPG fuel container could lead to a content of petrol higher than 16 per cent of the actual volume contained in the LPG tank.</w:t>
      </w:r>
    </w:p>
    <w:p w14:paraId="0E9D6852" w14:textId="77777777" w:rsidR="00A309FE" w:rsidRPr="00FF1F8F" w:rsidRDefault="00A309FE" w:rsidP="00A309FE">
      <w:pPr>
        <w:tabs>
          <w:tab w:val="left" w:pos="2835"/>
          <w:tab w:val="left" w:pos="8505"/>
        </w:tabs>
        <w:spacing w:before="120" w:after="120"/>
        <w:ind w:left="2268" w:right="1134"/>
        <w:jc w:val="both"/>
        <w:rPr>
          <w:bCs/>
        </w:rPr>
      </w:pPr>
      <w:r w:rsidRPr="00FF1F8F">
        <w:rPr>
          <w:bCs/>
        </w:rPr>
        <w:t>This measure shall be demonstrated in accordance with the procedures laid down in Annex 20.</w:t>
      </w:r>
    </w:p>
    <w:p w14:paraId="47B7DBAB" w14:textId="77777777" w:rsidR="00A309FE" w:rsidRPr="00FF1F8F" w:rsidRDefault="00A309FE" w:rsidP="00A309FE">
      <w:pPr>
        <w:spacing w:line="240" w:lineRule="auto"/>
        <w:ind w:left="2268" w:right="1134" w:hanging="1134"/>
        <w:jc w:val="both"/>
        <w:rPr>
          <w:b/>
          <w:bCs/>
          <w:szCs w:val="16"/>
        </w:rPr>
      </w:pPr>
      <w:r w:rsidRPr="00FF1F8F">
        <w:rPr>
          <w:bCs/>
        </w:rPr>
        <w:lastRenderedPageBreak/>
        <w:tab/>
        <w:t>The present requirement shall be fulfilled also in case of faults by use of a malfunction indication to the driver</w:t>
      </w:r>
      <w:r w:rsidRPr="00FF1F8F">
        <w:rPr>
          <w:b/>
          <w:bCs/>
        </w:rPr>
        <w:t xml:space="preserve"> or sent as a logic signal to </w:t>
      </w:r>
      <w:r w:rsidRPr="00FF1F8F">
        <w:rPr>
          <w:b/>
          <w:bCs/>
          <w:color w:val="000000"/>
          <w:lang w:eastAsia="en-GB"/>
        </w:rPr>
        <w:t>ADS</w:t>
      </w:r>
      <w:r w:rsidRPr="00FF1F8F">
        <w:rPr>
          <w:bCs/>
        </w:rPr>
        <w:t>, and optionally activation of limp home mode. "</w:t>
      </w:r>
    </w:p>
    <w:p w14:paraId="73730CB4" w14:textId="77777777" w:rsidR="00A309FE" w:rsidRPr="00FF1F8F" w:rsidRDefault="00A309FE" w:rsidP="00A309FE">
      <w:pPr>
        <w:autoSpaceDE w:val="0"/>
        <w:autoSpaceDN w:val="0"/>
        <w:adjustRightInd w:val="0"/>
        <w:spacing w:before="120" w:after="120" w:line="240" w:lineRule="auto"/>
        <w:ind w:left="1134" w:right="1134"/>
        <w:jc w:val="both"/>
        <w:rPr>
          <w:rFonts w:eastAsia="DengXian"/>
          <w:iCs/>
          <w:lang w:eastAsia="zh-CN"/>
        </w:rPr>
      </w:pPr>
      <w:r w:rsidRPr="00FF1F8F">
        <w:rPr>
          <w:rFonts w:eastAsia="DengXian"/>
          <w:i/>
          <w:lang w:eastAsia="zh-CN"/>
        </w:rPr>
        <w:t xml:space="preserve">Annex 14, </w:t>
      </w:r>
      <w:r>
        <w:rPr>
          <w:rFonts w:eastAsia="DengXian"/>
          <w:i/>
          <w:lang w:eastAsia="zh-CN"/>
        </w:rPr>
        <w:t>p</w:t>
      </w:r>
      <w:r w:rsidRPr="00FF1F8F">
        <w:rPr>
          <w:rFonts w:eastAsia="DengXian"/>
          <w:i/>
          <w:lang w:eastAsia="zh-CN"/>
        </w:rPr>
        <w:t xml:space="preserve">aragraph 6., </w:t>
      </w:r>
      <w:r w:rsidRPr="00FF1F8F">
        <w:rPr>
          <w:rFonts w:eastAsia="DengXian"/>
          <w:iCs/>
          <w:lang w:eastAsia="zh-CN"/>
        </w:rPr>
        <w:t>amend to read:</w:t>
      </w:r>
    </w:p>
    <w:p w14:paraId="1FBB5093" w14:textId="77777777" w:rsidR="00A309FE" w:rsidRPr="00FF1F8F" w:rsidRDefault="00A309FE" w:rsidP="00A309FE">
      <w:pPr>
        <w:tabs>
          <w:tab w:val="left" w:pos="2835"/>
          <w:tab w:val="left" w:pos="8505"/>
        </w:tabs>
        <w:spacing w:before="120" w:after="120"/>
        <w:ind w:left="2268" w:right="1134" w:hanging="1134"/>
        <w:jc w:val="both"/>
      </w:pPr>
      <w:r w:rsidRPr="00FF1F8F">
        <w:t>"6.</w:t>
      </w:r>
      <w:r w:rsidRPr="00FF1F8F">
        <w:tab/>
        <w:t xml:space="preserve">When the Electronic Control Unit (ECU) is intended to be fitted as a component of an </w:t>
      </w:r>
      <w:r w:rsidRPr="00FF1F8F">
        <w:rPr>
          <w:bCs/>
        </w:rPr>
        <w:t>interconnected</w:t>
      </w:r>
      <w:r w:rsidRPr="00FF1F8F">
        <w:t xml:space="preserve"> LPG-system, it shall inhibit, by controlling the fuel selection system, the vehicle operation in petrol mode after each switch-over operation to LPG mode until a volume of liquid fuel equivalent to that flown into the LPG tank during such an operation is consumed.</w:t>
      </w:r>
    </w:p>
    <w:p w14:paraId="700EE28E" w14:textId="77777777" w:rsidR="00A309FE" w:rsidRPr="00FF1F8F" w:rsidRDefault="00A309FE" w:rsidP="00A309FE">
      <w:pPr>
        <w:spacing w:line="240" w:lineRule="auto"/>
        <w:ind w:left="2268" w:right="1134" w:hanging="1134"/>
        <w:jc w:val="both"/>
        <w:rPr>
          <w:b/>
          <w:bCs/>
          <w:szCs w:val="16"/>
        </w:rPr>
      </w:pPr>
      <w:r w:rsidRPr="00FF1F8F">
        <w:tab/>
        <w:t xml:space="preserve">Notwithstanding this, the ECU may permit the switch over to petrol mode if </w:t>
      </w:r>
      <w:r w:rsidRPr="00FF1F8F">
        <w:rPr>
          <w:bCs/>
        </w:rPr>
        <w:t>a fault in the LPG-system determines the inoperability of the system. Such a fault shall be clearly indicated to the driver</w:t>
      </w:r>
      <w:r w:rsidRPr="00FF1F8F">
        <w:rPr>
          <w:b/>
          <w:bCs/>
        </w:rPr>
        <w:t xml:space="preserve"> or sent as a logic signal to </w:t>
      </w:r>
      <w:r w:rsidRPr="00FF1F8F">
        <w:rPr>
          <w:b/>
          <w:bCs/>
          <w:color w:val="000000"/>
          <w:lang w:eastAsia="en-GB"/>
        </w:rPr>
        <w:t>ADS.</w:t>
      </w:r>
    </w:p>
    <w:p w14:paraId="0616428C" w14:textId="77777777" w:rsidR="00A309FE" w:rsidRPr="00FF1F8F" w:rsidRDefault="00A309FE" w:rsidP="00A309FE">
      <w:pPr>
        <w:tabs>
          <w:tab w:val="left" w:pos="2835"/>
          <w:tab w:val="left" w:pos="8505"/>
        </w:tabs>
        <w:spacing w:before="120" w:after="120"/>
        <w:ind w:left="2268" w:right="1134" w:hanging="1134"/>
        <w:jc w:val="both"/>
        <w:rPr>
          <w:bCs/>
        </w:rPr>
      </w:pPr>
      <w:r w:rsidRPr="00FF1F8F">
        <w:rPr>
          <w:bCs/>
        </w:rPr>
        <w:tab/>
        <w:t>In case of the inoperability of the LPG-system, a remotely controlled shut-off valve complying with the requirements of paragraph 6.17.3.3. shall be installed along the flow line in order to prevent any flow of petrol into the LPG container after switching-over to petrol mode."</w:t>
      </w:r>
    </w:p>
    <w:p w14:paraId="1F03AA23" w14:textId="77777777" w:rsidR="00A309FE" w:rsidRPr="00FF1F8F" w:rsidRDefault="00A309FE" w:rsidP="00A309FE">
      <w:pPr>
        <w:spacing w:before="240"/>
        <w:jc w:val="center"/>
        <w:rPr>
          <w:u w:val="single"/>
        </w:rPr>
      </w:pPr>
      <w:r w:rsidRPr="00FF1F8F">
        <w:rPr>
          <w:u w:val="single"/>
        </w:rPr>
        <w:tab/>
      </w:r>
      <w:r w:rsidRPr="00FF1F8F">
        <w:rPr>
          <w:u w:val="single"/>
        </w:rPr>
        <w:tab/>
      </w:r>
      <w:r w:rsidRPr="00FF1F8F">
        <w:rPr>
          <w:u w:val="single"/>
        </w:rPr>
        <w:tab/>
      </w:r>
    </w:p>
    <w:p w14:paraId="6AA2B9CF" w14:textId="77777777" w:rsidR="00A309FE" w:rsidRPr="00FF1F8F" w:rsidRDefault="00A309FE" w:rsidP="00A309FE">
      <w:pPr>
        <w:pStyle w:val="Para0"/>
      </w:pPr>
    </w:p>
    <w:p w14:paraId="704C99A9" w14:textId="77777777" w:rsidR="00C53E43" w:rsidRPr="009641B8" w:rsidRDefault="00C53E43" w:rsidP="00E3614E">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4123" w14:textId="77777777" w:rsidR="007F4886" w:rsidRDefault="007F4886"/>
  </w:endnote>
  <w:endnote w:type="continuationSeparator" w:id="0">
    <w:p w14:paraId="18A508FD" w14:textId="77777777" w:rsidR="007F4886" w:rsidRDefault="007F4886"/>
  </w:endnote>
  <w:endnote w:type="continuationNotice" w:id="1">
    <w:p w14:paraId="28A114A1" w14:textId="77777777" w:rsidR="007F4886" w:rsidRDefault="007F4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B086" w14:textId="77777777" w:rsidR="003C3BE8" w:rsidRDefault="003C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4AD4" w14:textId="77777777" w:rsidR="007F4886" w:rsidRPr="000B175B" w:rsidRDefault="007F4886" w:rsidP="000B175B">
      <w:pPr>
        <w:tabs>
          <w:tab w:val="right" w:pos="2155"/>
        </w:tabs>
        <w:spacing w:after="80"/>
        <w:ind w:left="680"/>
        <w:rPr>
          <w:u w:val="single"/>
        </w:rPr>
      </w:pPr>
      <w:r>
        <w:rPr>
          <w:u w:val="single"/>
        </w:rPr>
        <w:tab/>
      </w:r>
    </w:p>
  </w:footnote>
  <w:footnote w:type="continuationSeparator" w:id="0">
    <w:p w14:paraId="5A70614E" w14:textId="77777777" w:rsidR="007F4886" w:rsidRPr="00FC68B7" w:rsidRDefault="007F4886" w:rsidP="00FC68B7">
      <w:pPr>
        <w:tabs>
          <w:tab w:val="left" w:pos="2155"/>
        </w:tabs>
        <w:spacing w:after="80"/>
        <w:ind w:left="680"/>
        <w:rPr>
          <w:u w:val="single"/>
        </w:rPr>
      </w:pPr>
      <w:r>
        <w:rPr>
          <w:u w:val="single"/>
        </w:rPr>
        <w:tab/>
      </w:r>
    </w:p>
  </w:footnote>
  <w:footnote w:type="continuationNotice" w:id="1">
    <w:p w14:paraId="7383364A" w14:textId="77777777" w:rsidR="007F4886" w:rsidRDefault="007F4886"/>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76543E">
      <w:tc>
        <w:tcPr>
          <w:tcW w:w="5279" w:type="dxa"/>
        </w:tcPr>
        <w:p w14:paraId="6702877C" w14:textId="0A678C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 </w:t>
          </w:r>
          <w:r w:rsidR="0076543E">
            <w:rPr>
              <w:b w:val="0"/>
              <w:sz w:val="20"/>
            </w:rPr>
            <w:t xml:space="preserve">Kingdom of the </w:t>
          </w:r>
          <w:r w:rsidR="00101C00">
            <w:rPr>
              <w:b w:val="0"/>
              <w:sz w:val="20"/>
            </w:rPr>
            <w:t>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21065D2D"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3C3BE8">
              <w:t>62</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1506E"/>
    <w:rsid w:val="000209FB"/>
    <w:rsid w:val="00024031"/>
    <w:rsid w:val="00027624"/>
    <w:rsid w:val="00030D43"/>
    <w:rsid w:val="00033BCB"/>
    <w:rsid w:val="00040D69"/>
    <w:rsid w:val="00041AEC"/>
    <w:rsid w:val="000426E7"/>
    <w:rsid w:val="00044611"/>
    <w:rsid w:val="00050B0A"/>
    <w:rsid w:val="00050F6B"/>
    <w:rsid w:val="00053B1A"/>
    <w:rsid w:val="00065916"/>
    <w:rsid w:val="000673CF"/>
    <w:rsid w:val="000678CD"/>
    <w:rsid w:val="00071008"/>
    <w:rsid w:val="00072C8C"/>
    <w:rsid w:val="00081CE0"/>
    <w:rsid w:val="00084D30"/>
    <w:rsid w:val="00087DDC"/>
    <w:rsid w:val="00090320"/>
    <w:rsid w:val="000919DA"/>
    <w:rsid w:val="000929A7"/>
    <w:rsid w:val="000931C0"/>
    <w:rsid w:val="00095BBA"/>
    <w:rsid w:val="000964E3"/>
    <w:rsid w:val="00097003"/>
    <w:rsid w:val="000A2E09"/>
    <w:rsid w:val="000A6FBE"/>
    <w:rsid w:val="000B175B"/>
    <w:rsid w:val="000B3A0F"/>
    <w:rsid w:val="000B5650"/>
    <w:rsid w:val="000B743B"/>
    <w:rsid w:val="000C11A4"/>
    <w:rsid w:val="000C3D1C"/>
    <w:rsid w:val="000D3A4E"/>
    <w:rsid w:val="000D41C6"/>
    <w:rsid w:val="000D7431"/>
    <w:rsid w:val="000E0415"/>
    <w:rsid w:val="000E4EDA"/>
    <w:rsid w:val="000E57EF"/>
    <w:rsid w:val="000E7406"/>
    <w:rsid w:val="000F19E4"/>
    <w:rsid w:val="000F7715"/>
    <w:rsid w:val="00100555"/>
    <w:rsid w:val="00101C00"/>
    <w:rsid w:val="00112120"/>
    <w:rsid w:val="0013206D"/>
    <w:rsid w:val="0013244D"/>
    <w:rsid w:val="001374ED"/>
    <w:rsid w:val="0013785F"/>
    <w:rsid w:val="00145183"/>
    <w:rsid w:val="00154999"/>
    <w:rsid w:val="00156B99"/>
    <w:rsid w:val="0015765A"/>
    <w:rsid w:val="0016113F"/>
    <w:rsid w:val="0016358F"/>
    <w:rsid w:val="00166124"/>
    <w:rsid w:val="00175911"/>
    <w:rsid w:val="00184DDA"/>
    <w:rsid w:val="001900CD"/>
    <w:rsid w:val="001A0452"/>
    <w:rsid w:val="001B4B04"/>
    <w:rsid w:val="001B5875"/>
    <w:rsid w:val="001B5A4C"/>
    <w:rsid w:val="001C4B9C"/>
    <w:rsid w:val="001C5DE5"/>
    <w:rsid w:val="001C6663"/>
    <w:rsid w:val="001C7895"/>
    <w:rsid w:val="001D140E"/>
    <w:rsid w:val="001D26DF"/>
    <w:rsid w:val="001D41E6"/>
    <w:rsid w:val="001D50B3"/>
    <w:rsid w:val="001F1599"/>
    <w:rsid w:val="001F19C4"/>
    <w:rsid w:val="00201DB7"/>
    <w:rsid w:val="002043F0"/>
    <w:rsid w:val="00205A9B"/>
    <w:rsid w:val="002070F0"/>
    <w:rsid w:val="00210338"/>
    <w:rsid w:val="00211E0B"/>
    <w:rsid w:val="0021471A"/>
    <w:rsid w:val="00215B45"/>
    <w:rsid w:val="00232575"/>
    <w:rsid w:val="00232E9E"/>
    <w:rsid w:val="002364DA"/>
    <w:rsid w:val="002422F2"/>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1B9C"/>
    <w:rsid w:val="002974E9"/>
    <w:rsid w:val="002A306B"/>
    <w:rsid w:val="002A6510"/>
    <w:rsid w:val="002A7F94"/>
    <w:rsid w:val="002B0039"/>
    <w:rsid w:val="002B0371"/>
    <w:rsid w:val="002B109A"/>
    <w:rsid w:val="002B425E"/>
    <w:rsid w:val="002C14D6"/>
    <w:rsid w:val="002C2F57"/>
    <w:rsid w:val="002C35DC"/>
    <w:rsid w:val="002C6077"/>
    <w:rsid w:val="002C6D45"/>
    <w:rsid w:val="002D0088"/>
    <w:rsid w:val="002D4DAA"/>
    <w:rsid w:val="002D4F0C"/>
    <w:rsid w:val="002D6E53"/>
    <w:rsid w:val="002E56BB"/>
    <w:rsid w:val="002F046D"/>
    <w:rsid w:val="002F1A48"/>
    <w:rsid w:val="002F3023"/>
    <w:rsid w:val="00301764"/>
    <w:rsid w:val="003019EB"/>
    <w:rsid w:val="003028EC"/>
    <w:rsid w:val="00303079"/>
    <w:rsid w:val="00320BE3"/>
    <w:rsid w:val="00321716"/>
    <w:rsid w:val="003229D8"/>
    <w:rsid w:val="003279AA"/>
    <w:rsid w:val="00336C97"/>
    <w:rsid w:val="00337F88"/>
    <w:rsid w:val="00341548"/>
    <w:rsid w:val="00342432"/>
    <w:rsid w:val="00347F11"/>
    <w:rsid w:val="00351902"/>
    <w:rsid w:val="0035223F"/>
    <w:rsid w:val="00352D4B"/>
    <w:rsid w:val="00352FC9"/>
    <w:rsid w:val="0035638C"/>
    <w:rsid w:val="00356564"/>
    <w:rsid w:val="003752E3"/>
    <w:rsid w:val="00375867"/>
    <w:rsid w:val="003814AF"/>
    <w:rsid w:val="00384CF4"/>
    <w:rsid w:val="0038536B"/>
    <w:rsid w:val="0039621D"/>
    <w:rsid w:val="003A11A6"/>
    <w:rsid w:val="003A3B4C"/>
    <w:rsid w:val="003A3F6E"/>
    <w:rsid w:val="003A4205"/>
    <w:rsid w:val="003A46BB"/>
    <w:rsid w:val="003A4EC7"/>
    <w:rsid w:val="003A7295"/>
    <w:rsid w:val="003B1F60"/>
    <w:rsid w:val="003B5048"/>
    <w:rsid w:val="003C14F7"/>
    <w:rsid w:val="003C2CC4"/>
    <w:rsid w:val="003C3529"/>
    <w:rsid w:val="003C3BE8"/>
    <w:rsid w:val="003D04D1"/>
    <w:rsid w:val="003D3C1A"/>
    <w:rsid w:val="003D3F06"/>
    <w:rsid w:val="003D4B23"/>
    <w:rsid w:val="003D5880"/>
    <w:rsid w:val="003D5A65"/>
    <w:rsid w:val="003E0092"/>
    <w:rsid w:val="003E278A"/>
    <w:rsid w:val="003E4FFF"/>
    <w:rsid w:val="003E603C"/>
    <w:rsid w:val="003E78BC"/>
    <w:rsid w:val="003F1529"/>
    <w:rsid w:val="0040016A"/>
    <w:rsid w:val="00400A60"/>
    <w:rsid w:val="00400F4B"/>
    <w:rsid w:val="00405F46"/>
    <w:rsid w:val="00413520"/>
    <w:rsid w:val="0041433F"/>
    <w:rsid w:val="00414B22"/>
    <w:rsid w:val="00415590"/>
    <w:rsid w:val="00425255"/>
    <w:rsid w:val="004325CB"/>
    <w:rsid w:val="004353FE"/>
    <w:rsid w:val="00440A07"/>
    <w:rsid w:val="00441C59"/>
    <w:rsid w:val="00442466"/>
    <w:rsid w:val="004557C4"/>
    <w:rsid w:val="00462880"/>
    <w:rsid w:val="0046461C"/>
    <w:rsid w:val="004667F1"/>
    <w:rsid w:val="00467350"/>
    <w:rsid w:val="0047134C"/>
    <w:rsid w:val="00476F24"/>
    <w:rsid w:val="00477DA4"/>
    <w:rsid w:val="00480745"/>
    <w:rsid w:val="004A0575"/>
    <w:rsid w:val="004A3900"/>
    <w:rsid w:val="004A5D33"/>
    <w:rsid w:val="004B0CFA"/>
    <w:rsid w:val="004C55B0"/>
    <w:rsid w:val="004C75DC"/>
    <w:rsid w:val="004D370B"/>
    <w:rsid w:val="004E1D67"/>
    <w:rsid w:val="004E4B57"/>
    <w:rsid w:val="004F59A0"/>
    <w:rsid w:val="004F6BA0"/>
    <w:rsid w:val="00503BEA"/>
    <w:rsid w:val="00505701"/>
    <w:rsid w:val="005068E2"/>
    <w:rsid w:val="00507C5A"/>
    <w:rsid w:val="00513A97"/>
    <w:rsid w:val="00531864"/>
    <w:rsid w:val="00533616"/>
    <w:rsid w:val="00535ABA"/>
    <w:rsid w:val="0053768B"/>
    <w:rsid w:val="005420F2"/>
    <w:rsid w:val="0054285C"/>
    <w:rsid w:val="005443E7"/>
    <w:rsid w:val="00544EE3"/>
    <w:rsid w:val="00553288"/>
    <w:rsid w:val="00561168"/>
    <w:rsid w:val="0056351C"/>
    <w:rsid w:val="00566E14"/>
    <w:rsid w:val="005670E7"/>
    <w:rsid w:val="005702D5"/>
    <w:rsid w:val="00584173"/>
    <w:rsid w:val="00584618"/>
    <w:rsid w:val="005862DF"/>
    <w:rsid w:val="005862EB"/>
    <w:rsid w:val="00592B12"/>
    <w:rsid w:val="0059355C"/>
    <w:rsid w:val="00593DDD"/>
    <w:rsid w:val="00595520"/>
    <w:rsid w:val="005A1488"/>
    <w:rsid w:val="005A44B9"/>
    <w:rsid w:val="005B1260"/>
    <w:rsid w:val="005B1BA0"/>
    <w:rsid w:val="005B3DB3"/>
    <w:rsid w:val="005B57B2"/>
    <w:rsid w:val="005B5855"/>
    <w:rsid w:val="005C0268"/>
    <w:rsid w:val="005C4DE7"/>
    <w:rsid w:val="005C649B"/>
    <w:rsid w:val="005D15CA"/>
    <w:rsid w:val="005D246B"/>
    <w:rsid w:val="005E5C75"/>
    <w:rsid w:val="005F08DF"/>
    <w:rsid w:val="005F3066"/>
    <w:rsid w:val="005F3E61"/>
    <w:rsid w:val="005F4E24"/>
    <w:rsid w:val="00600EC9"/>
    <w:rsid w:val="00604DDD"/>
    <w:rsid w:val="006060B1"/>
    <w:rsid w:val="006115CC"/>
    <w:rsid w:val="00611FC4"/>
    <w:rsid w:val="006176FB"/>
    <w:rsid w:val="00626F97"/>
    <w:rsid w:val="00630FCB"/>
    <w:rsid w:val="00633124"/>
    <w:rsid w:val="00640B26"/>
    <w:rsid w:val="0065582D"/>
    <w:rsid w:val="0065766B"/>
    <w:rsid w:val="006770B2"/>
    <w:rsid w:val="00686A48"/>
    <w:rsid w:val="00687245"/>
    <w:rsid w:val="0068763C"/>
    <w:rsid w:val="0069081F"/>
    <w:rsid w:val="0069264A"/>
    <w:rsid w:val="006940E1"/>
    <w:rsid w:val="006944A9"/>
    <w:rsid w:val="00694708"/>
    <w:rsid w:val="006A0492"/>
    <w:rsid w:val="006A3C72"/>
    <w:rsid w:val="006A427B"/>
    <w:rsid w:val="006A7392"/>
    <w:rsid w:val="006B03A1"/>
    <w:rsid w:val="006B0524"/>
    <w:rsid w:val="006B67D9"/>
    <w:rsid w:val="006C452E"/>
    <w:rsid w:val="006C5535"/>
    <w:rsid w:val="006C5932"/>
    <w:rsid w:val="006C6F86"/>
    <w:rsid w:val="006D003D"/>
    <w:rsid w:val="006D0589"/>
    <w:rsid w:val="006D39C5"/>
    <w:rsid w:val="006D5E87"/>
    <w:rsid w:val="006E1ABE"/>
    <w:rsid w:val="006E564B"/>
    <w:rsid w:val="006E7154"/>
    <w:rsid w:val="006F245B"/>
    <w:rsid w:val="006F3E33"/>
    <w:rsid w:val="006F688D"/>
    <w:rsid w:val="007003CD"/>
    <w:rsid w:val="00706214"/>
    <w:rsid w:val="0070671C"/>
    <w:rsid w:val="0070701E"/>
    <w:rsid w:val="00707A50"/>
    <w:rsid w:val="007228D5"/>
    <w:rsid w:val="0072632A"/>
    <w:rsid w:val="00726497"/>
    <w:rsid w:val="007300BF"/>
    <w:rsid w:val="007358E8"/>
    <w:rsid w:val="00736ECE"/>
    <w:rsid w:val="007416DA"/>
    <w:rsid w:val="00742F86"/>
    <w:rsid w:val="0074533B"/>
    <w:rsid w:val="00751B23"/>
    <w:rsid w:val="0075492A"/>
    <w:rsid w:val="00756AC0"/>
    <w:rsid w:val="00762145"/>
    <w:rsid w:val="007643BC"/>
    <w:rsid w:val="00764E14"/>
    <w:rsid w:val="0076543E"/>
    <w:rsid w:val="00766554"/>
    <w:rsid w:val="00773BF8"/>
    <w:rsid w:val="00780584"/>
    <w:rsid w:val="00780C68"/>
    <w:rsid w:val="00784FA1"/>
    <w:rsid w:val="0079080A"/>
    <w:rsid w:val="00792646"/>
    <w:rsid w:val="007959FE"/>
    <w:rsid w:val="00796B4C"/>
    <w:rsid w:val="007975FA"/>
    <w:rsid w:val="00797D68"/>
    <w:rsid w:val="00797E79"/>
    <w:rsid w:val="007A084E"/>
    <w:rsid w:val="007A0CF1"/>
    <w:rsid w:val="007B6BA5"/>
    <w:rsid w:val="007B7A9B"/>
    <w:rsid w:val="007C3390"/>
    <w:rsid w:val="007C42D8"/>
    <w:rsid w:val="007C4F4B"/>
    <w:rsid w:val="007C5517"/>
    <w:rsid w:val="007D6F65"/>
    <w:rsid w:val="007D7362"/>
    <w:rsid w:val="007E1FEF"/>
    <w:rsid w:val="007E2132"/>
    <w:rsid w:val="007E312C"/>
    <w:rsid w:val="007E4080"/>
    <w:rsid w:val="007F3D01"/>
    <w:rsid w:val="007F4886"/>
    <w:rsid w:val="007F5CE2"/>
    <w:rsid w:val="007F6611"/>
    <w:rsid w:val="008024CF"/>
    <w:rsid w:val="00804A98"/>
    <w:rsid w:val="008053E1"/>
    <w:rsid w:val="00810BAC"/>
    <w:rsid w:val="00810D66"/>
    <w:rsid w:val="0081721A"/>
    <w:rsid w:val="008175E9"/>
    <w:rsid w:val="00820F2F"/>
    <w:rsid w:val="00822CED"/>
    <w:rsid w:val="008242D7"/>
    <w:rsid w:val="008253C4"/>
    <w:rsid w:val="0082577B"/>
    <w:rsid w:val="00825CB5"/>
    <w:rsid w:val="0082768F"/>
    <w:rsid w:val="008328CF"/>
    <w:rsid w:val="00834124"/>
    <w:rsid w:val="008506B6"/>
    <w:rsid w:val="00852671"/>
    <w:rsid w:val="00857A35"/>
    <w:rsid w:val="00860E3D"/>
    <w:rsid w:val="0086358D"/>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6F87"/>
    <w:rsid w:val="008A7045"/>
    <w:rsid w:val="008B389E"/>
    <w:rsid w:val="008B7EA4"/>
    <w:rsid w:val="008C0C40"/>
    <w:rsid w:val="008C638C"/>
    <w:rsid w:val="008C6479"/>
    <w:rsid w:val="008D045E"/>
    <w:rsid w:val="008D27FC"/>
    <w:rsid w:val="008D3F25"/>
    <w:rsid w:val="008D4D82"/>
    <w:rsid w:val="008E0E46"/>
    <w:rsid w:val="008E1104"/>
    <w:rsid w:val="008E7116"/>
    <w:rsid w:val="008F143B"/>
    <w:rsid w:val="008F1576"/>
    <w:rsid w:val="008F1A15"/>
    <w:rsid w:val="008F25B8"/>
    <w:rsid w:val="008F3882"/>
    <w:rsid w:val="008F4B7C"/>
    <w:rsid w:val="00915888"/>
    <w:rsid w:val="009173AD"/>
    <w:rsid w:val="0092315E"/>
    <w:rsid w:val="00926E47"/>
    <w:rsid w:val="009369A9"/>
    <w:rsid w:val="00941468"/>
    <w:rsid w:val="00941A6D"/>
    <w:rsid w:val="0094343D"/>
    <w:rsid w:val="00944583"/>
    <w:rsid w:val="00947162"/>
    <w:rsid w:val="009610D0"/>
    <w:rsid w:val="0096375C"/>
    <w:rsid w:val="009641B8"/>
    <w:rsid w:val="009662E6"/>
    <w:rsid w:val="00967118"/>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1E7"/>
    <w:rsid w:val="009B7EB7"/>
    <w:rsid w:val="009C2D39"/>
    <w:rsid w:val="009D01C0"/>
    <w:rsid w:val="009D0EB3"/>
    <w:rsid w:val="009D55AE"/>
    <w:rsid w:val="009D6A08"/>
    <w:rsid w:val="009E0A16"/>
    <w:rsid w:val="009E6CB7"/>
    <w:rsid w:val="009E7970"/>
    <w:rsid w:val="009F004A"/>
    <w:rsid w:val="009F1206"/>
    <w:rsid w:val="009F2EAC"/>
    <w:rsid w:val="009F57E3"/>
    <w:rsid w:val="00A03B6B"/>
    <w:rsid w:val="00A04300"/>
    <w:rsid w:val="00A067B2"/>
    <w:rsid w:val="00A079B5"/>
    <w:rsid w:val="00A10F4F"/>
    <w:rsid w:val="00A11067"/>
    <w:rsid w:val="00A117E2"/>
    <w:rsid w:val="00A1227C"/>
    <w:rsid w:val="00A13048"/>
    <w:rsid w:val="00A1704A"/>
    <w:rsid w:val="00A23529"/>
    <w:rsid w:val="00A23C35"/>
    <w:rsid w:val="00A309FE"/>
    <w:rsid w:val="00A36AC2"/>
    <w:rsid w:val="00A401D2"/>
    <w:rsid w:val="00A41372"/>
    <w:rsid w:val="00A416EA"/>
    <w:rsid w:val="00A425EB"/>
    <w:rsid w:val="00A45B84"/>
    <w:rsid w:val="00A5475D"/>
    <w:rsid w:val="00A54DEB"/>
    <w:rsid w:val="00A629C7"/>
    <w:rsid w:val="00A65754"/>
    <w:rsid w:val="00A66072"/>
    <w:rsid w:val="00A701DA"/>
    <w:rsid w:val="00A70AF0"/>
    <w:rsid w:val="00A72DAF"/>
    <w:rsid w:val="00A72F22"/>
    <w:rsid w:val="00A733BC"/>
    <w:rsid w:val="00A748A6"/>
    <w:rsid w:val="00A76A69"/>
    <w:rsid w:val="00A850D1"/>
    <w:rsid w:val="00A879A4"/>
    <w:rsid w:val="00AA0FF8"/>
    <w:rsid w:val="00AA2E18"/>
    <w:rsid w:val="00AA4789"/>
    <w:rsid w:val="00AA49E6"/>
    <w:rsid w:val="00AA798F"/>
    <w:rsid w:val="00AB7352"/>
    <w:rsid w:val="00AC07CD"/>
    <w:rsid w:val="00AC0F2C"/>
    <w:rsid w:val="00AC110E"/>
    <w:rsid w:val="00AC1603"/>
    <w:rsid w:val="00AC38EF"/>
    <w:rsid w:val="00AC502A"/>
    <w:rsid w:val="00AC5804"/>
    <w:rsid w:val="00AD66C2"/>
    <w:rsid w:val="00AD7DBC"/>
    <w:rsid w:val="00AE0666"/>
    <w:rsid w:val="00AE1C81"/>
    <w:rsid w:val="00AE1E26"/>
    <w:rsid w:val="00AE31A0"/>
    <w:rsid w:val="00AF19C2"/>
    <w:rsid w:val="00AF56D8"/>
    <w:rsid w:val="00AF587D"/>
    <w:rsid w:val="00AF58C1"/>
    <w:rsid w:val="00B01B1A"/>
    <w:rsid w:val="00B02176"/>
    <w:rsid w:val="00B03ACF"/>
    <w:rsid w:val="00B040C0"/>
    <w:rsid w:val="00B04A3F"/>
    <w:rsid w:val="00B06643"/>
    <w:rsid w:val="00B06D62"/>
    <w:rsid w:val="00B1073B"/>
    <w:rsid w:val="00B11A3F"/>
    <w:rsid w:val="00B12456"/>
    <w:rsid w:val="00B15055"/>
    <w:rsid w:val="00B20551"/>
    <w:rsid w:val="00B232AF"/>
    <w:rsid w:val="00B24BA7"/>
    <w:rsid w:val="00B26922"/>
    <w:rsid w:val="00B30179"/>
    <w:rsid w:val="00B31E0B"/>
    <w:rsid w:val="00B32865"/>
    <w:rsid w:val="00B33D9E"/>
    <w:rsid w:val="00B33FC7"/>
    <w:rsid w:val="00B3782D"/>
    <w:rsid w:val="00B37B15"/>
    <w:rsid w:val="00B4162A"/>
    <w:rsid w:val="00B437DB"/>
    <w:rsid w:val="00B45C02"/>
    <w:rsid w:val="00B471CD"/>
    <w:rsid w:val="00B502D6"/>
    <w:rsid w:val="00B50F76"/>
    <w:rsid w:val="00B61B62"/>
    <w:rsid w:val="00B627E0"/>
    <w:rsid w:val="00B633D0"/>
    <w:rsid w:val="00B63DDE"/>
    <w:rsid w:val="00B6590B"/>
    <w:rsid w:val="00B70B63"/>
    <w:rsid w:val="00B71B9F"/>
    <w:rsid w:val="00B71D0B"/>
    <w:rsid w:val="00B72A1E"/>
    <w:rsid w:val="00B74724"/>
    <w:rsid w:val="00B75E69"/>
    <w:rsid w:val="00B770FC"/>
    <w:rsid w:val="00B81E12"/>
    <w:rsid w:val="00B82A11"/>
    <w:rsid w:val="00B917F0"/>
    <w:rsid w:val="00B91AC9"/>
    <w:rsid w:val="00BA06F6"/>
    <w:rsid w:val="00BA339B"/>
    <w:rsid w:val="00BA5547"/>
    <w:rsid w:val="00BA5D6B"/>
    <w:rsid w:val="00BB23CC"/>
    <w:rsid w:val="00BB6BE1"/>
    <w:rsid w:val="00BC1E7E"/>
    <w:rsid w:val="00BC5CE3"/>
    <w:rsid w:val="00BC6DFE"/>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4F27"/>
    <w:rsid w:val="00C17ED2"/>
    <w:rsid w:val="00C21B75"/>
    <w:rsid w:val="00C261FE"/>
    <w:rsid w:val="00C32822"/>
    <w:rsid w:val="00C33FAF"/>
    <w:rsid w:val="00C37129"/>
    <w:rsid w:val="00C463DD"/>
    <w:rsid w:val="00C47969"/>
    <w:rsid w:val="00C53E43"/>
    <w:rsid w:val="00C5647D"/>
    <w:rsid w:val="00C63517"/>
    <w:rsid w:val="00C745C3"/>
    <w:rsid w:val="00C8021A"/>
    <w:rsid w:val="00C838ED"/>
    <w:rsid w:val="00C85ED5"/>
    <w:rsid w:val="00C91A7B"/>
    <w:rsid w:val="00C97011"/>
    <w:rsid w:val="00C978F5"/>
    <w:rsid w:val="00CA24A4"/>
    <w:rsid w:val="00CA3572"/>
    <w:rsid w:val="00CB0EA5"/>
    <w:rsid w:val="00CB280F"/>
    <w:rsid w:val="00CB330B"/>
    <w:rsid w:val="00CB348D"/>
    <w:rsid w:val="00CB40FB"/>
    <w:rsid w:val="00CC1D22"/>
    <w:rsid w:val="00CD019B"/>
    <w:rsid w:val="00CD10D0"/>
    <w:rsid w:val="00CD1BCA"/>
    <w:rsid w:val="00CD32B9"/>
    <w:rsid w:val="00CD44D2"/>
    <w:rsid w:val="00CD46F5"/>
    <w:rsid w:val="00CD6F60"/>
    <w:rsid w:val="00CE1E94"/>
    <w:rsid w:val="00CE3A42"/>
    <w:rsid w:val="00CE4A8F"/>
    <w:rsid w:val="00CE57B1"/>
    <w:rsid w:val="00CF071D"/>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5222F"/>
    <w:rsid w:val="00D704E5"/>
    <w:rsid w:val="00D70F05"/>
    <w:rsid w:val="00D72727"/>
    <w:rsid w:val="00D740B6"/>
    <w:rsid w:val="00D741E7"/>
    <w:rsid w:val="00D85BF2"/>
    <w:rsid w:val="00D927DF"/>
    <w:rsid w:val="00D943A5"/>
    <w:rsid w:val="00D95950"/>
    <w:rsid w:val="00D978C6"/>
    <w:rsid w:val="00DA0956"/>
    <w:rsid w:val="00DA357F"/>
    <w:rsid w:val="00DA3E12"/>
    <w:rsid w:val="00DA460A"/>
    <w:rsid w:val="00DA7582"/>
    <w:rsid w:val="00DB23CE"/>
    <w:rsid w:val="00DB2B22"/>
    <w:rsid w:val="00DB6E6F"/>
    <w:rsid w:val="00DC18AD"/>
    <w:rsid w:val="00DC39E4"/>
    <w:rsid w:val="00DD2071"/>
    <w:rsid w:val="00DD2143"/>
    <w:rsid w:val="00DD6844"/>
    <w:rsid w:val="00DE1258"/>
    <w:rsid w:val="00DE12D6"/>
    <w:rsid w:val="00DE6FB2"/>
    <w:rsid w:val="00DF133C"/>
    <w:rsid w:val="00DF7CAE"/>
    <w:rsid w:val="00E012D3"/>
    <w:rsid w:val="00E0615E"/>
    <w:rsid w:val="00E15610"/>
    <w:rsid w:val="00E16C85"/>
    <w:rsid w:val="00E202C5"/>
    <w:rsid w:val="00E30F47"/>
    <w:rsid w:val="00E32281"/>
    <w:rsid w:val="00E3614E"/>
    <w:rsid w:val="00E423C0"/>
    <w:rsid w:val="00E53FB8"/>
    <w:rsid w:val="00E54E90"/>
    <w:rsid w:val="00E56A08"/>
    <w:rsid w:val="00E6414C"/>
    <w:rsid w:val="00E64D13"/>
    <w:rsid w:val="00E64DFE"/>
    <w:rsid w:val="00E67904"/>
    <w:rsid w:val="00E71624"/>
    <w:rsid w:val="00E71A29"/>
    <w:rsid w:val="00E7260F"/>
    <w:rsid w:val="00E75620"/>
    <w:rsid w:val="00E83D85"/>
    <w:rsid w:val="00E8702D"/>
    <w:rsid w:val="00E875E1"/>
    <w:rsid w:val="00E905F4"/>
    <w:rsid w:val="00E916A9"/>
    <w:rsid w:val="00E916DE"/>
    <w:rsid w:val="00E925AD"/>
    <w:rsid w:val="00E96630"/>
    <w:rsid w:val="00EA330F"/>
    <w:rsid w:val="00EA4B87"/>
    <w:rsid w:val="00EA72CB"/>
    <w:rsid w:val="00EB135D"/>
    <w:rsid w:val="00EB3752"/>
    <w:rsid w:val="00EC039D"/>
    <w:rsid w:val="00EC62F7"/>
    <w:rsid w:val="00EC7678"/>
    <w:rsid w:val="00EC7CA0"/>
    <w:rsid w:val="00ED1573"/>
    <w:rsid w:val="00ED18DC"/>
    <w:rsid w:val="00ED1AFB"/>
    <w:rsid w:val="00ED3866"/>
    <w:rsid w:val="00ED50B4"/>
    <w:rsid w:val="00ED5D17"/>
    <w:rsid w:val="00ED61A8"/>
    <w:rsid w:val="00ED6201"/>
    <w:rsid w:val="00ED67F0"/>
    <w:rsid w:val="00ED7A2A"/>
    <w:rsid w:val="00EE3E3A"/>
    <w:rsid w:val="00EF1D7F"/>
    <w:rsid w:val="00EF20C2"/>
    <w:rsid w:val="00F0137E"/>
    <w:rsid w:val="00F03B47"/>
    <w:rsid w:val="00F04E44"/>
    <w:rsid w:val="00F0761D"/>
    <w:rsid w:val="00F101C2"/>
    <w:rsid w:val="00F20ED8"/>
    <w:rsid w:val="00F21786"/>
    <w:rsid w:val="00F25D06"/>
    <w:rsid w:val="00F27DDD"/>
    <w:rsid w:val="00F314A5"/>
    <w:rsid w:val="00F31CFF"/>
    <w:rsid w:val="00F37391"/>
    <w:rsid w:val="00F3742B"/>
    <w:rsid w:val="00F41FDB"/>
    <w:rsid w:val="00F50597"/>
    <w:rsid w:val="00F5649E"/>
    <w:rsid w:val="00F56D63"/>
    <w:rsid w:val="00F609A9"/>
    <w:rsid w:val="00F72C5B"/>
    <w:rsid w:val="00F77AF2"/>
    <w:rsid w:val="00F80C99"/>
    <w:rsid w:val="00F8510B"/>
    <w:rsid w:val="00F85FB3"/>
    <w:rsid w:val="00F867EC"/>
    <w:rsid w:val="00F9152E"/>
    <w:rsid w:val="00F91B2B"/>
    <w:rsid w:val="00FA1967"/>
    <w:rsid w:val="00FA2BEF"/>
    <w:rsid w:val="00FA70DC"/>
    <w:rsid w:val="00FB146B"/>
    <w:rsid w:val="00FB359A"/>
    <w:rsid w:val="00FC03CD"/>
    <w:rsid w:val="00FC0646"/>
    <w:rsid w:val="00FC68B7"/>
    <w:rsid w:val="00FC6C10"/>
    <w:rsid w:val="00FD2653"/>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 w:type="paragraph" w:customStyle="1" w:styleId="a0">
    <w:name w:val="(a)"/>
    <w:basedOn w:val="Normal"/>
    <w:qFormat/>
    <w:rsid w:val="00A309FE"/>
    <w:pPr>
      <w:widowControl w:val="0"/>
      <w:suppressAutoHyphens w:val="0"/>
      <w:spacing w:after="120" w:line="240" w:lineRule="exact"/>
      <w:ind w:left="2835" w:right="1134" w:hanging="567"/>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standards/transport/vehicle-regulations-wp29/resolutions" TargetMode="External"/><Relationship Id="rId18" Type="http://schemas.openxmlformats.org/officeDocument/2006/relationships/hyperlink" Target="https://unece.org/transport/vehicle-regulations/wp29/resolution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yperlink" Target="https://unece.org/transport/standards/transport/vehicle-regulations-wp29/resolu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hyperlink" Target="https://unece.org/transport/vehicle-regulations/wp29/resolu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standards/transport/vehicle-regulations-wp29/resolution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nece.org/transport/standards/transport/vehicle-regulations-wp29/resolut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ece.org/transport/standards/transport/vehicle-regulations-wp29/resol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Props1.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3.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4.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7161</Characters>
  <Application>Microsoft Office Word</Application>
  <DocSecurity>4</DocSecurity>
  <Lines>152</Lines>
  <Paragraphs>61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2025-10-09T07:39:00Z</dcterms:created>
  <dcterms:modified xsi:type="dcterms:W3CDTF">2025-10-09T07:39:00Z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