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36489" w14:textId="202366E6" w:rsidR="00321FAE" w:rsidRDefault="00321FAE" w:rsidP="00321FAE">
      <w:pPr>
        <w:pStyle w:val="HChG"/>
      </w:pPr>
      <w:r>
        <w:tab/>
      </w:r>
      <w:r>
        <w:tab/>
      </w:r>
      <w:r w:rsidRPr="0079666C">
        <w:t xml:space="preserve">Proposal for </w:t>
      </w:r>
      <w:r w:rsidR="00F97D43" w:rsidRPr="00394C5D">
        <w:t xml:space="preserve">supplement 1 to the 05 </w:t>
      </w:r>
      <w:r w:rsidR="0003592F">
        <w:t>s</w:t>
      </w:r>
      <w:r w:rsidR="00F97D43" w:rsidRPr="00394C5D">
        <w:t xml:space="preserve">eries of </w:t>
      </w:r>
      <w:r w:rsidR="0003592F">
        <w:t>a</w:t>
      </w:r>
      <w:r w:rsidR="00F97D43" w:rsidRPr="00394C5D">
        <w:t>mendments to UN Regulation No. 100 (Electric power trained vehicles</w:t>
      </w:r>
      <w:r w:rsidR="00F97D43" w:rsidRPr="009246C2">
        <w:t>)</w:t>
      </w:r>
    </w:p>
    <w:p w14:paraId="1E84BF47" w14:textId="61DE6CB8" w:rsidR="00321FAE" w:rsidRDefault="00321FAE" w:rsidP="00321FAE">
      <w:pPr>
        <w:pStyle w:val="H1G"/>
        <w:rPr>
          <w:sz w:val="20"/>
        </w:rPr>
      </w:pPr>
      <w:r>
        <w:tab/>
      </w:r>
      <w:r>
        <w:tab/>
        <w:t xml:space="preserve">Submitted by the </w:t>
      </w:r>
      <w:r>
        <w:rPr>
          <w:spacing w:val="-4"/>
        </w:rPr>
        <w:t>expert from</w:t>
      </w:r>
      <w:r w:rsidR="002868E4">
        <w:rPr>
          <w:spacing w:val="-4"/>
        </w:rPr>
        <w:t xml:space="preserve"> </w:t>
      </w:r>
      <w:r w:rsidR="002868E4" w:rsidRPr="00394C5D">
        <w:t>Germany on behalf of the</w:t>
      </w:r>
      <w:r w:rsidR="002868E4" w:rsidRPr="00BD1759">
        <w:t xml:space="preserve"> </w:t>
      </w:r>
      <w:r w:rsidR="00112138" w:rsidRPr="00CD08B8">
        <w:t>GRSP Task Force on Automated Vehicles Regulation Screening</w:t>
      </w:r>
      <w:r w:rsidR="00112138">
        <w:t xml:space="preserve"> </w:t>
      </w:r>
      <w:r w:rsidR="00112138" w:rsidRPr="00CD08B8">
        <w:t>(</w:t>
      </w:r>
      <w:r w:rsidR="00112138">
        <w:t>TF-</w:t>
      </w:r>
      <w:r w:rsidR="00112138" w:rsidRPr="00CD08B8">
        <w:t>AVRS)</w:t>
      </w:r>
      <w:r>
        <w:rPr>
          <w:spacing w:val="-4"/>
        </w:rPr>
        <w:t xml:space="preserve"> </w:t>
      </w:r>
      <w:r w:rsidRPr="00122355">
        <w:rPr>
          <w:rStyle w:val="FootnoteReference"/>
          <w:sz w:val="20"/>
          <w:vertAlign w:val="baseline"/>
        </w:rPr>
        <w:footnoteReference w:customMarkFollows="1" w:id="2"/>
        <w:t>*</w:t>
      </w:r>
    </w:p>
    <w:p w14:paraId="65AAC2A9" w14:textId="566DBB5E" w:rsidR="00321FAE" w:rsidRDefault="00321FAE" w:rsidP="00321FAE">
      <w:pPr>
        <w:pStyle w:val="SingleTxtG"/>
      </w:pPr>
      <w:r>
        <w:rPr>
          <w:rStyle w:val="FootnoteReference"/>
          <w:sz w:val="20"/>
          <w:vertAlign w:val="baseline"/>
        </w:rPr>
        <w:tab/>
      </w:r>
      <w:r w:rsidRPr="004E3F12">
        <w:rPr>
          <w:rStyle w:val="FootnoteReference"/>
          <w:sz w:val="20"/>
          <w:vertAlign w:val="baseline"/>
        </w:rPr>
        <w:t xml:space="preserve">The text reproduced below </w:t>
      </w:r>
      <w:r w:rsidR="00E8235D" w:rsidRPr="00143CF1">
        <w:t xml:space="preserve">was prepared by the </w:t>
      </w:r>
      <w:r w:rsidR="00E8235D">
        <w:t xml:space="preserve">expert from Germany on behalf of </w:t>
      </w:r>
      <w:r w:rsidR="00112138">
        <w:t>TF-</w:t>
      </w:r>
      <w:r w:rsidR="00112138" w:rsidRPr="00CD08B8">
        <w:t>AVRS</w:t>
      </w:r>
      <w:r w:rsidR="00E8235D">
        <w:t xml:space="preserve">, </w:t>
      </w:r>
      <w:r w:rsidR="00E8235D" w:rsidRPr="00A772BD">
        <w:t xml:space="preserve">to enable the application of the regulation to vehicles equipped with an </w:t>
      </w:r>
      <w:r w:rsidR="00FC5295" w:rsidRPr="00E5405C">
        <w:rPr>
          <w:rFonts w:eastAsiaTheme="minorEastAsia"/>
        </w:rPr>
        <w:t>Automated Driving System (ADS)</w:t>
      </w:r>
      <w:r w:rsidR="00E8235D" w:rsidRPr="00A772BD">
        <w:t>.</w:t>
      </w:r>
      <w:r w:rsidR="00E8235D" w:rsidRPr="00143CF1">
        <w:t xml:space="preserve"> The modifications to the existing text of the UN Regulation are marked in </w:t>
      </w:r>
      <w:r w:rsidR="00E8235D" w:rsidRPr="004D6B96">
        <w:rPr>
          <w:bCs/>
        </w:rPr>
        <w:t>bold</w:t>
      </w:r>
      <w:r w:rsidR="00E8235D">
        <w:t xml:space="preserve"> </w:t>
      </w:r>
      <w:r w:rsidR="00E8235D" w:rsidRPr="00143CF1">
        <w:t xml:space="preserve">for new or strikethrough for deleted </w:t>
      </w:r>
      <w:r w:rsidR="00E8235D" w:rsidRPr="00394C5D">
        <w:t xml:space="preserve">characters. </w:t>
      </w:r>
      <w:bookmarkStart w:id="0" w:name="_Hlk214981588"/>
      <w:r w:rsidR="00267F68" w:rsidRPr="00267F68">
        <w:rPr>
          <w:color w:val="FF0000"/>
        </w:rPr>
        <w:t>This document is superseding</w:t>
      </w:r>
      <w:r w:rsidR="00267F68" w:rsidRPr="00267F68">
        <w:rPr>
          <w:rFonts w:hint="eastAsia"/>
          <w:color w:val="FF0000"/>
          <w:lang w:eastAsia="ja-JP"/>
        </w:rPr>
        <w:t xml:space="preserve"> working </w:t>
      </w:r>
      <w:r w:rsidR="00267F68" w:rsidRPr="00267F68">
        <w:rPr>
          <w:color w:val="FF0000"/>
        </w:rPr>
        <w:t>document ECE/TRANS/WP.29/GRSP/2025/</w:t>
      </w:r>
      <w:r w:rsidR="00267F68" w:rsidRPr="00267F68">
        <w:rPr>
          <w:rFonts w:hint="eastAsia"/>
          <w:color w:val="FF0000"/>
          <w:lang w:eastAsia="ja-JP"/>
        </w:rPr>
        <w:t>33</w:t>
      </w:r>
      <w:r w:rsidR="00267F68" w:rsidRPr="00106E2E">
        <w:rPr>
          <w:color w:val="FF0000"/>
        </w:rPr>
        <w:t>.</w:t>
      </w:r>
      <w:bookmarkEnd w:id="0"/>
    </w:p>
    <w:p w14:paraId="62FAAC40" w14:textId="77777777" w:rsidR="00321FAE" w:rsidRDefault="00321FAE" w:rsidP="00321FAE">
      <w:r>
        <w:br w:type="page"/>
      </w:r>
    </w:p>
    <w:p w14:paraId="45AF11CE" w14:textId="77777777" w:rsidR="00321FAE" w:rsidRPr="004E3F12" w:rsidRDefault="00321FAE" w:rsidP="00321FAE">
      <w:pPr>
        <w:pStyle w:val="HChG"/>
      </w:pPr>
      <w:r>
        <w:lastRenderedPageBreak/>
        <w:tab/>
        <w:t>I.</w:t>
      </w:r>
      <w:r>
        <w:tab/>
      </w:r>
      <w:r w:rsidRPr="004E3F12">
        <w:t>Proposal</w:t>
      </w:r>
    </w:p>
    <w:p w14:paraId="12F661A5" w14:textId="05B7999A" w:rsidR="00BD762C" w:rsidRPr="007455C2" w:rsidRDefault="00BD762C" w:rsidP="00C6345D">
      <w:pPr>
        <w:pStyle w:val="SingleTxtG"/>
        <w:tabs>
          <w:tab w:val="clear" w:pos="1701"/>
          <w:tab w:val="clear" w:pos="2268"/>
          <w:tab w:val="clear" w:pos="2835"/>
        </w:tabs>
        <w:ind w:left="2268" w:hanging="1134"/>
        <w:rPr>
          <w:i/>
          <w:iCs/>
        </w:rPr>
      </w:pPr>
      <w:r>
        <w:rPr>
          <w:i/>
          <w:iCs/>
        </w:rPr>
        <w:t>Insert</w:t>
      </w:r>
      <w:r w:rsidRPr="007455C2">
        <w:rPr>
          <w:i/>
          <w:iCs/>
        </w:rPr>
        <w:t xml:space="preserve"> a new paragraph 0</w:t>
      </w:r>
      <w:r w:rsidR="00F05FDE">
        <w:rPr>
          <w:i/>
          <w:iCs/>
        </w:rPr>
        <w:t>.</w:t>
      </w:r>
      <w:r>
        <w:rPr>
          <w:i/>
          <w:iCs/>
        </w:rPr>
        <w:t xml:space="preserve">, </w:t>
      </w:r>
      <w:r w:rsidRPr="00686EBC">
        <w:t>to read:</w:t>
      </w:r>
    </w:p>
    <w:p w14:paraId="5FEEEAC5" w14:textId="77777777" w:rsidR="00A11A89" w:rsidRDefault="00C6345D" w:rsidP="00A11A89">
      <w:pPr>
        <w:pStyle w:val="SingleTxtG"/>
        <w:tabs>
          <w:tab w:val="clear" w:pos="1701"/>
          <w:tab w:val="clear" w:pos="2268"/>
          <w:tab w:val="clear" w:pos="2835"/>
        </w:tabs>
        <w:ind w:left="2268" w:hanging="1134"/>
        <w:rPr>
          <w:rFonts w:eastAsiaTheme="minorEastAsia"/>
        </w:rPr>
      </w:pPr>
      <w:r>
        <w:rPr>
          <w:rFonts w:eastAsiaTheme="minorEastAsia"/>
        </w:rPr>
        <w:t>“</w:t>
      </w:r>
      <w:r w:rsidR="00BD762C" w:rsidRPr="00E5405C">
        <w:rPr>
          <w:rFonts w:eastAsiaTheme="minorEastAsia"/>
        </w:rPr>
        <w:t>0.</w:t>
      </w:r>
      <w:r w:rsidR="00BD762C" w:rsidRPr="00E5405C">
        <w:rPr>
          <w:rFonts w:eastAsiaTheme="minorEastAsia"/>
        </w:rPr>
        <w:tab/>
        <w:t>Introduction</w:t>
      </w:r>
    </w:p>
    <w:p w14:paraId="5A997F8B" w14:textId="602E77FF" w:rsidR="00BD762C" w:rsidRPr="00E5405C" w:rsidRDefault="00126CE4" w:rsidP="00A11A89">
      <w:pPr>
        <w:pStyle w:val="SingleTxtG"/>
        <w:tabs>
          <w:tab w:val="clear" w:pos="1701"/>
          <w:tab w:val="clear" w:pos="2268"/>
          <w:tab w:val="clear" w:pos="2835"/>
        </w:tabs>
        <w:ind w:left="2268" w:hanging="1134"/>
        <w:rPr>
          <w:rFonts w:eastAsiaTheme="minorEastAsia"/>
        </w:rPr>
      </w:pPr>
      <w:r>
        <w:rPr>
          <w:rFonts w:eastAsiaTheme="minorEastAsia"/>
        </w:rPr>
        <w:t>0.1.</w:t>
      </w:r>
      <w:r>
        <w:rPr>
          <w:rFonts w:eastAsiaTheme="minorEastAsia"/>
        </w:rPr>
        <w:tab/>
      </w:r>
      <w:r w:rsidR="00BD762C" w:rsidRPr="00E5405C">
        <w:rPr>
          <w:rFonts w:eastAsiaTheme="minorEastAsia"/>
        </w:rPr>
        <w:t xml:space="preserve">For </w:t>
      </w:r>
      <w:r w:rsidR="00BD762C" w:rsidRPr="00E5405C">
        <w:t xml:space="preserve">supplement 1 to the 05 </w:t>
      </w:r>
      <w:r w:rsidR="00F756D4">
        <w:t>s</w:t>
      </w:r>
      <w:r w:rsidR="00BD762C" w:rsidRPr="00E5405C">
        <w:t xml:space="preserve">eries of </w:t>
      </w:r>
      <w:r w:rsidR="00F756D4">
        <w:t>a</w:t>
      </w:r>
      <w:r w:rsidR="00BD762C" w:rsidRPr="00E5405C">
        <w:t>mendments:</w:t>
      </w:r>
      <w:r w:rsidR="00BD762C" w:rsidRPr="00E5405C">
        <w:rPr>
          <w:rFonts w:eastAsiaTheme="minorEastAsia"/>
        </w:rPr>
        <w:t xml:space="preserve"> </w:t>
      </w:r>
    </w:p>
    <w:p w14:paraId="2F432174" w14:textId="77777777" w:rsidR="00BD762C" w:rsidRPr="00E5405C" w:rsidRDefault="00BD762C" w:rsidP="00C6345D">
      <w:pPr>
        <w:pStyle w:val="SingleTxtG"/>
        <w:tabs>
          <w:tab w:val="clear" w:pos="1701"/>
          <w:tab w:val="clear" w:pos="2268"/>
          <w:tab w:val="clear" w:pos="2835"/>
        </w:tabs>
        <w:ind w:left="2268" w:hanging="1134"/>
        <w:rPr>
          <w:rFonts w:eastAsiaTheme="minorEastAsia"/>
          <w:color w:val="000000" w:themeColor="text1"/>
        </w:rPr>
      </w:pPr>
      <w:r w:rsidRPr="00E5405C">
        <w:rPr>
          <w:rFonts w:eastAsiaTheme="minorEastAsia"/>
          <w:color w:val="000000" w:themeColor="text1"/>
        </w:rPr>
        <w:t>0.1.1.</w:t>
      </w:r>
      <w:r w:rsidRPr="00E5405C">
        <w:rPr>
          <w:rFonts w:eastAsiaTheme="minorEastAsia"/>
          <w:color w:val="000000" w:themeColor="text1"/>
        </w:rPr>
        <w:tab/>
      </w:r>
      <w:bookmarkStart w:id="1" w:name="_Hlk188257662"/>
      <w:r w:rsidRPr="00E5405C">
        <w:rPr>
          <w:rFonts w:eastAsiaTheme="minorEastAsia"/>
          <w:color w:val="000000" w:themeColor="text1"/>
        </w:rPr>
        <w:t xml:space="preserve">The Regulation is amended to account for vehicles of category </w:t>
      </w:r>
      <w:r w:rsidRPr="00E5405C">
        <w:rPr>
          <w:rFonts w:eastAsiaTheme="minorEastAsia"/>
        </w:rPr>
        <w:t>X</w:t>
      </w:r>
      <w:r w:rsidRPr="00E5405C">
        <w:rPr>
          <w:vertAlign w:val="superscript"/>
          <w:lang w:val="en-IE" w:eastAsia="en-IE"/>
        </w:rPr>
        <w:t>1</w:t>
      </w:r>
      <w:r w:rsidRPr="00E5405C">
        <w:rPr>
          <w:rFonts w:eastAsiaTheme="minorEastAsia"/>
        </w:rPr>
        <w:t xml:space="preserve"> and Y</w:t>
      </w:r>
      <w:bookmarkEnd w:id="1"/>
      <w:r w:rsidRPr="00E5405C">
        <w:rPr>
          <w:vertAlign w:val="superscript"/>
          <w:lang w:val="en-IE" w:eastAsia="en-IE"/>
        </w:rPr>
        <w:t>1</w:t>
      </w:r>
      <w:r w:rsidRPr="00E5405C">
        <w:rPr>
          <w:rFonts w:eastAsiaTheme="minorEastAsia"/>
        </w:rPr>
        <w:t>.</w:t>
      </w:r>
    </w:p>
    <w:p w14:paraId="3C27252D" w14:textId="77777777" w:rsidR="00BD762C" w:rsidRPr="00E5405C" w:rsidRDefault="00BD762C" w:rsidP="00C6345D">
      <w:pPr>
        <w:pStyle w:val="SingleTxtG"/>
        <w:tabs>
          <w:tab w:val="clear" w:pos="1701"/>
          <w:tab w:val="clear" w:pos="2268"/>
          <w:tab w:val="clear" w:pos="2835"/>
        </w:tabs>
        <w:ind w:left="2268" w:hanging="1134"/>
        <w:rPr>
          <w:rFonts w:eastAsiaTheme="minorEastAsia"/>
          <w:color w:val="000000" w:themeColor="text1"/>
        </w:rPr>
      </w:pPr>
      <w:r w:rsidRPr="00E5405C">
        <w:rPr>
          <w:rFonts w:eastAsiaTheme="minorEastAsia"/>
          <w:color w:val="000000" w:themeColor="text1"/>
        </w:rPr>
        <w:t xml:space="preserve">0.1.2. </w:t>
      </w:r>
      <w:r w:rsidRPr="00E5405C">
        <w:rPr>
          <w:rFonts w:eastAsiaTheme="minorEastAsia"/>
          <w:color w:val="000000" w:themeColor="text1"/>
        </w:rPr>
        <w:tab/>
        <w:t xml:space="preserve">The Regulation was originally drafted for vehicles with driver and manual driving controls. It is the intention of this </w:t>
      </w:r>
      <w:r w:rsidRPr="00267F68">
        <w:rPr>
          <w:rFonts w:eastAsiaTheme="minorEastAsia"/>
          <w:strike/>
          <w:color w:val="FF0000"/>
        </w:rPr>
        <w:t xml:space="preserve">new </w:t>
      </w:r>
      <w:r w:rsidRPr="00E5405C">
        <w:rPr>
          <w:rFonts w:eastAsiaTheme="minorEastAsia"/>
          <w:color w:val="000000" w:themeColor="text1"/>
        </w:rPr>
        <w:t xml:space="preserve">amendment to keep the spirit of the regulation and to extend its application to vehicles without driver and without manual driving controls inside the vehicle. In the absence of driver/manual driving controls in the vehicle, provisions related to them shall not be </w:t>
      </w:r>
      <w:proofErr w:type="gramStart"/>
      <w:r w:rsidRPr="00E5405C">
        <w:rPr>
          <w:rFonts w:eastAsiaTheme="minorEastAsia"/>
          <w:color w:val="000000" w:themeColor="text1"/>
        </w:rPr>
        <w:t>taken into account</w:t>
      </w:r>
      <w:proofErr w:type="gramEnd"/>
      <w:r w:rsidRPr="00E5405C">
        <w:rPr>
          <w:rFonts w:eastAsiaTheme="minorEastAsia"/>
          <w:color w:val="000000" w:themeColor="text1"/>
        </w:rPr>
        <w:t xml:space="preserve"> if not already covered by this amendment.</w:t>
      </w:r>
    </w:p>
    <w:p w14:paraId="028AF2FC" w14:textId="77777777" w:rsidR="00267F68" w:rsidRDefault="00BD762C" w:rsidP="00C6345D">
      <w:pPr>
        <w:pStyle w:val="SingleTxtG"/>
        <w:tabs>
          <w:tab w:val="clear" w:pos="1701"/>
          <w:tab w:val="clear" w:pos="2268"/>
          <w:tab w:val="clear" w:pos="2835"/>
        </w:tabs>
        <w:ind w:left="2268" w:hanging="1134"/>
        <w:rPr>
          <w:lang w:eastAsia="ja-JP"/>
        </w:rPr>
      </w:pPr>
      <w:r w:rsidRPr="00E5405C">
        <w:rPr>
          <w:rFonts w:eastAsiaTheme="minorEastAsia"/>
        </w:rPr>
        <w:t>0.1.3.</w:t>
      </w:r>
      <w:r w:rsidRPr="00E5405C">
        <w:rPr>
          <w:rFonts w:eastAsiaTheme="minorEastAsia"/>
        </w:rPr>
        <w:tab/>
        <w:t>In case of vehicles equipped with an Automated Driving System (ADS)</w:t>
      </w:r>
      <w:r w:rsidRPr="00E5405C">
        <w:rPr>
          <w:vertAlign w:val="superscript"/>
          <w:lang w:val="en-IE" w:eastAsia="en-IE"/>
        </w:rPr>
        <w:t xml:space="preserve"> 1</w:t>
      </w:r>
      <w:r w:rsidRPr="00E5405C">
        <w:rPr>
          <w:rFonts w:eastAsiaTheme="minorEastAsia"/>
        </w:rPr>
        <w:t xml:space="preserve"> other than vehicles of categories X and Y, in the manual driving mode no special provisions or exemptions apply. In a mode where an ADS feature is active the relevant ADS requirements apply.</w:t>
      </w:r>
    </w:p>
    <w:p w14:paraId="13768324" w14:textId="3AA299C2" w:rsidR="00BD762C" w:rsidRPr="00E5405C" w:rsidRDefault="00267F68" w:rsidP="00C6345D">
      <w:pPr>
        <w:pStyle w:val="SingleTxtG"/>
        <w:tabs>
          <w:tab w:val="clear" w:pos="1701"/>
          <w:tab w:val="clear" w:pos="2268"/>
          <w:tab w:val="clear" w:pos="2835"/>
        </w:tabs>
        <w:ind w:left="2268" w:hanging="1134"/>
        <w:rPr>
          <w:rFonts w:eastAsiaTheme="minorEastAsia"/>
        </w:rPr>
      </w:pPr>
      <w:r w:rsidRPr="00267F68">
        <w:rPr>
          <w:rFonts w:eastAsiaTheme="minorEastAsia"/>
          <w:color w:val="FF0000"/>
        </w:rPr>
        <w:t>0.1.4.</w:t>
      </w:r>
      <w:r w:rsidRPr="00267F68">
        <w:rPr>
          <w:rFonts w:eastAsiaTheme="minorEastAsia"/>
          <w:color w:val="FF0000"/>
        </w:rPr>
        <w:tab/>
        <w:t>In case of vehicles of category Y, the mechanical integrity of the REESS may be validated at component level using the component-based alternative.</w:t>
      </w:r>
      <w:r w:rsidR="00C6345D">
        <w:rPr>
          <w:rFonts w:eastAsiaTheme="minorEastAsia"/>
        </w:rPr>
        <w:t>”</w:t>
      </w:r>
    </w:p>
    <w:p w14:paraId="268F6F29" w14:textId="13A9F369" w:rsidR="00BD762C" w:rsidRPr="00805384" w:rsidRDefault="00BD762C" w:rsidP="00C6345D">
      <w:pPr>
        <w:pStyle w:val="SingleTxtG"/>
        <w:tabs>
          <w:tab w:val="clear" w:pos="1701"/>
          <w:tab w:val="clear" w:pos="2268"/>
          <w:tab w:val="clear" w:pos="2835"/>
        </w:tabs>
        <w:ind w:left="2268" w:hanging="1134"/>
        <w:rPr>
          <w:rFonts w:eastAsia="DengXian"/>
          <w:i/>
          <w:lang w:eastAsia="zh-CN"/>
        </w:rPr>
      </w:pPr>
      <w:r w:rsidRPr="00805384">
        <w:rPr>
          <w:rFonts w:eastAsia="DengXian"/>
          <w:i/>
          <w:lang w:eastAsia="zh-CN"/>
        </w:rPr>
        <w:t>Paragraph 1.1</w:t>
      </w:r>
      <w:r w:rsidR="00F41D4F">
        <w:rPr>
          <w:rFonts w:eastAsia="DengXian"/>
          <w:i/>
          <w:lang w:eastAsia="zh-CN"/>
        </w:rPr>
        <w:t>.</w:t>
      </w:r>
      <w:r w:rsidRPr="00805384">
        <w:rPr>
          <w:rFonts w:eastAsia="DengXian"/>
          <w:i/>
          <w:lang w:eastAsia="zh-CN"/>
        </w:rPr>
        <w:t xml:space="preserve">, footnote 1, </w:t>
      </w:r>
      <w:r w:rsidRPr="00805384">
        <w:rPr>
          <w:rFonts w:eastAsia="DengXian"/>
          <w:iCs/>
          <w:lang w:eastAsia="zh-CN"/>
        </w:rPr>
        <w:t>amend to read:</w:t>
      </w:r>
    </w:p>
    <w:p w14:paraId="67A84AC3" w14:textId="146CBFEB" w:rsidR="00BD762C" w:rsidRPr="00C6345D" w:rsidRDefault="00C6345D" w:rsidP="00C6345D">
      <w:pPr>
        <w:pStyle w:val="SingleTxtG"/>
        <w:tabs>
          <w:tab w:val="clear" w:pos="1701"/>
          <w:tab w:val="clear" w:pos="2268"/>
          <w:tab w:val="clear" w:pos="2835"/>
        </w:tabs>
        <w:ind w:left="2268" w:hanging="1134"/>
        <w:rPr>
          <w:iCs/>
          <w:color w:val="0000FF"/>
          <w:szCs w:val="18"/>
        </w:rPr>
      </w:pPr>
      <w:r>
        <w:rPr>
          <w:szCs w:val="18"/>
          <w:lang w:val="en-US"/>
        </w:rPr>
        <w:t>“</w:t>
      </w:r>
      <w:r w:rsidR="00BD762C" w:rsidRPr="00C6345D">
        <w:rPr>
          <w:szCs w:val="18"/>
          <w:vertAlign w:val="superscript"/>
        </w:rPr>
        <w:t>1</w:t>
      </w:r>
      <w:r w:rsidRPr="00C6345D">
        <w:rPr>
          <w:szCs w:val="18"/>
        </w:rPr>
        <w:tab/>
      </w:r>
      <w:r w:rsidR="00BD762C" w:rsidRPr="00C6345D">
        <w:rPr>
          <w:szCs w:val="18"/>
        </w:rPr>
        <w:t>As defined in the Consolidated Resolution on the Construction of Vehicles (R.E.3.), document ECE/TRANS/WP.29/78/Rev.</w:t>
      </w:r>
      <w:r w:rsidR="00BD762C" w:rsidRPr="00C6345D">
        <w:rPr>
          <w:strike/>
          <w:szCs w:val="18"/>
        </w:rPr>
        <w:t>7</w:t>
      </w:r>
      <w:r w:rsidR="00BD762C" w:rsidRPr="00C6345D">
        <w:rPr>
          <w:b/>
          <w:bCs/>
          <w:szCs w:val="18"/>
        </w:rPr>
        <w:t>8</w:t>
      </w:r>
      <w:r w:rsidR="00BD762C" w:rsidRPr="00C6345D">
        <w:rPr>
          <w:szCs w:val="18"/>
        </w:rPr>
        <w:t xml:space="preserve">, para. 2 - </w:t>
      </w:r>
      <w:r w:rsidR="00BD762C" w:rsidRPr="00C6345D">
        <w:rPr>
          <w:szCs w:val="18"/>
        </w:rPr>
        <w:br/>
      </w:r>
      <w:hyperlink r:id="rId11" w:history="1">
        <w:r w:rsidR="00BD762C" w:rsidRPr="00C6345D">
          <w:rPr>
            <w:rStyle w:val="Hyperlink"/>
            <w:szCs w:val="18"/>
          </w:rPr>
          <w:t>https://unece.org/transport/vehicle-regulations/wp29/resolutions</w:t>
        </w:r>
      </w:hyperlink>
      <w:r>
        <w:rPr>
          <w:rStyle w:val="Hyperlink"/>
          <w:iCs/>
          <w:color w:val="auto"/>
          <w:szCs w:val="18"/>
        </w:rPr>
        <w:t>”</w:t>
      </w:r>
    </w:p>
    <w:p w14:paraId="578C916A" w14:textId="79EBB0B3" w:rsidR="00BD762C" w:rsidRPr="00B676E2" w:rsidRDefault="00BD762C" w:rsidP="00C6345D">
      <w:pPr>
        <w:pStyle w:val="SingleTxtG"/>
        <w:tabs>
          <w:tab w:val="clear" w:pos="1701"/>
          <w:tab w:val="clear" w:pos="2268"/>
          <w:tab w:val="clear" w:pos="2835"/>
        </w:tabs>
        <w:ind w:left="2268" w:hanging="1134"/>
      </w:pPr>
      <w:r>
        <w:rPr>
          <w:i/>
          <w:iCs/>
        </w:rPr>
        <w:t>P</w:t>
      </w:r>
      <w:r w:rsidRPr="00CC48B3">
        <w:rPr>
          <w:i/>
          <w:iCs/>
        </w:rPr>
        <w:t xml:space="preserve">aragraph </w:t>
      </w:r>
      <w:r>
        <w:rPr>
          <w:i/>
          <w:iCs/>
        </w:rPr>
        <w:t>2.1.</w:t>
      </w:r>
      <w:r w:rsidR="00F41D4F">
        <w:rPr>
          <w:i/>
          <w:iCs/>
        </w:rPr>
        <w:t>,</w:t>
      </w:r>
      <w:r>
        <w:rPr>
          <w:i/>
          <w:iCs/>
        </w:rPr>
        <w:t xml:space="preserve"> </w:t>
      </w:r>
      <w:r w:rsidRPr="00B676E2">
        <w:t xml:space="preserve">amend to read: </w:t>
      </w:r>
    </w:p>
    <w:p w14:paraId="46B36FDE" w14:textId="77777777" w:rsidR="00BD762C" w:rsidRPr="00C51053" w:rsidRDefault="00BD762C" w:rsidP="00C6345D">
      <w:pPr>
        <w:pStyle w:val="SingleTxtG"/>
        <w:tabs>
          <w:tab w:val="clear" w:pos="1701"/>
          <w:tab w:val="clear" w:pos="2268"/>
          <w:tab w:val="clear" w:pos="2835"/>
        </w:tabs>
        <w:ind w:left="2268" w:hanging="1134"/>
      </w:pPr>
      <w:r>
        <w:rPr>
          <w:lang w:val="en-IE" w:eastAsia="en-IE"/>
        </w:rPr>
        <w:t>“2.1</w:t>
      </w:r>
      <w:r>
        <w:rPr>
          <w:lang w:val="en-IE" w:eastAsia="en-IE"/>
        </w:rPr>
        <w:tab/>
      </w:r>
      <w:r w:rsidRPr="00805384">
        <w:rPr>
          <w:lang w:val="en-IE" w:eastAsia="en-IE"/>
        </w:rPr>
        <w:t xml:space="preserve">"Active driving possible mode" means the vehicle mode when application of pressure to the accelerator pedal (or activation of an equivalent control) or release of the brake system will cause the electric power train to move the vehicle or in case of a vehicle of category O, the vehicle mode when coupled with a towing vehicle in active driving possible mode. </w:t>
      </w:r>
      <w:r w:rsidRPr="00805384">
        <w:rPr>
          <w:b/>
          <w:bCs/>
          <w:lang w:val="en-IE" w:eastAsia="en-IE"/>
        </w:rPr>
        <w:t xml:space="preserve">Whilst the </w:t>
      </w:r>
      <w:bookmarkStart w:id="2" w:name="_Hlk207893037"/>
      <w:r w:rsidRPr="00805384">
        <w:rPr>
          <w:b/>
          <w:bCs/>
          <w:lang w:val="en-IE" w:eastAsia="en-IE"/>
        </w:rPr>
        <w:t>ADS</w:t>
      </w:r>
      <w:bookmarkEnd w:id="2"/>
      <w:r w:rsidRPr="00805384">
        <w:rPr>
          <w:b/>
          <w:bCs/>
          <w:vertAlign w:val="superscript"/>
          <w:lang w:val="en-IE" w:eastAsia="en-IE"/>
        </w:rPr>
        <w:t xml:space="preserve"> </w:t>
      </w:r>
      <w:r w:rsidRPr="00805384">
        <w:rPr>
          <w:b/>
          <w:bCs/>
          <w:lang w:val="en-IE" w:eastAsia="en-IE"/>
        </w:rPr>
        <w:t>is active, the active driving possible mode means the vehicle mode when the signals sent by the ADS will cause the electric power train to move the vehicle.</w:t>
      </w:r>
      <w:r w:rsidRPr="00C6345D">
        <w:rPr>
          <w:lang w:val="en-IE" w:eastAsia="en-IE"/>
        </w:rPr>
        <w:t>”</w:t>
      </w:r>
    </w:p>
    <w:p w14:paraId="1DCDF53E" w14:textId="69A0A56D" w:rsidR="00BD762C" w:rsidRPr="00E5405C" w:rsidRDefault="00BD762C" w:rsidP="00C6345D">
      <w:pPr>
        <w:pStyle w:val="SingleTxtG"/>
        <w:tabs>
          <w:tab w:val="clear" w:pos="1701"/>
          <w:tab w:val="clear" w:pos="2268"/>
          <w:tab w:val="clear" w:pos="2835"/>
        </w:tabs>
        <w:ind w:left="2268" w:hanging="1134"/>
      </w:pPr>
      <w:r w:rsidRPr="00E5405C">
        <w:rPr>
          <w:i/>
        </w:rPr>
        <w:t>Insert new paragraphs 2.57</w:t>
      </w:r>
      <w:r w:rsidR="00F41D4F">
        <w:rPr>
          <w:i/>
        </w:rPr>
        <w:t>.</w:t>
      </w:r>
      <w:r w:rsidRPr="00E5405C">
        <w:rPr>
          <w:i/>
        </w:rPr>
        <w:t xml:space="preserve"> to 2.58</w:t>
      </w:r>
      <w:r w:rsidR="00F41D4F">
        <w:rPr>
          <w:i/>
        </w:rPr>
        <w:t>.</w:t>
      </w:r>
      <w:r w:rsidRPr="00E5405C">
        <w:t>:</w:t>
      </w:r>
    </w:p>
    <w:p w14:paraId="014613FC" w14:textId="727A08FF" w:rsidR="00BD762C" w:rsidRPr="00E5405C" w:rsidRDefault="00C6345D" w:rsidP="00C6345D">
      <w:pPr>
        <w:pStyle w:val="SingleTxtG"/>
        <w:tabs>
          <w:tab w:val="clear" w:pos="1701"/>
          <w:tab w:val="clear" w:pos="2268"/>
          <w:tab w:val="clear" w:pos="2835"/>
        </w:tabs>
        <w:ind w:left="2268" w:hanging="1134"/>
      </w:pPr>
      <w:r>
        <w:rPr>
          <w:lang w:val="en-US"/>
        </w:rPr>
        <w:t>“</w:t>
      </w:r>
      <w:r w:rsidR="00BD762C" w:rsidRPr="00E5405C">
        <w:rPr>
          <w:lang w:val="en-US"/>
        </w:rPr>
        <w:t>2.57.</w:t>
      </w:r>
      <w:r w:rsidR="00BD762C" w:rsidRPr="00E5405C">
        <w:rPr>
          <w:lang w:val="en-US"/>
        </w:rPr>
        <w:tab/>
      </w:r>
      <w:r w:rsidR="00BD762C" w:rsidRPr="00E5405C">
        <w:t>"</w:t>
      </w:r>
      <w:r w:rsidR="00BD762C" w:rsidRPr="00E5405C">
        <w:rPr>
          <w:i/>
        </w:rPr>
        <w:t>ADS feature of type 1 (ADSF-1)</w:t>
      </w:r>
      <w:r w:rsidR="00BD762C" w:rsidRPr="00E5405C">
        <w:t>" means an ADS</w:t>
      </w:r>
      <w:r w:rsidR="00BD762C" w:rsidRPr="00E5405C">
        <w:rPr>
          <w:szCs w:val="18"/>
          <w:vertAlign w:val="superscript"/>
          <w:lang w:val="en-US"/>
        </w:rPr>
        <w:t>1</w:t>
      </w:r>
      <w:r w:rsidR="00BD762C" w:rsidRPr="00E5405C">
        <w:t xml:space="preserve"> feature which includes an ADS fallback response requiring a fallback user</w:t>
      </w:r>
      <w:r w:rsidR="00E4121C">
        <w:t>.</w:t>
      </w:r>
    </w:p>
    <w:p w14:paraId="78795075" w14:textId="387C5CC0" w:rsidR="00BD762C" w:rsidRPr="00E5405C" w:rsidRDefault="00BD762C" w:rsidP="00C6345D">
      <w:pPr>
        <w:pStyle w:val="SingleTxtG"/>
        <w:tabs>
          <w:tab w:val="clear" w:pos="1701"/>
          <w:tab w:val="clear" w:pos="2268"/>
          <w:tab w:val="clear" w:pos="2835"/>
        </w:tabs>
        <w:ind w:left="2268" w:hanging="1134"/>
      </w:pPr>
      <w:r w:rsidRPr="00E5405C">
        <w:t>2.58.</w:t>
      </w:r>
      <w:r w:rsidRPr="00E5405C">
        <w:tab/>
      </w:r>
      <w:r w:rsidRPr="00E5405C">
        <w:rPr>
          <w:i/>
          <w:iCs/>
        </w:rPr>
        <w:t>“ADS feature of type 2 (ADSF-2)”</w:t>
      </w:r>
      <w:r w:rsidRPr="00E5405C">
        <w:t xml:space="preserve"> means an ADS feature which does not include an ADS fallback response requiring a fallback user.</w:t>
      </w:r>
      <w:r w:rsidR="00C6345D">
        <w:t>”</w:t>
      </w:r>
    </w:p>
    <w:p w14:paraId="4DD1B9AD" w14:textId="77777777" w:rsidR="00470ECF" w:rsidRPr="00267F68" w:rsidRDefault="00470ECF" w:rsidP="00470ECF">
      <w:pPr>
        <w:pStyle w:val="SingleTxtG"/>
        <w:keepNext/>
        <w:rPr>
          <w:i/>
          <w:iCs/>
          <w:color w:val="FF0000"/>
          <w:lang w:val="en-US"/>
        </w:rPr>
      </w:pPr>
      <w:r w:rsidRPr="00267F68">
        <w:rPr>
          <w:i/>
          <w:iCs/>
          <w:color w:val="FF0000"/>
        </w:rPr>
        <w:t>Paragraph 4.</w:t>
      </w:r>
      <w:r w:rsidRPr="00267F68">
        <w:rPr>
          <w:rFonts w:hint="eastAsia"/>
          <w:i/>
          <w:iCs/>
          <w:color w:val="FF0000"/>
          <w:lang w:eastAsia="ja-JP"/>
        </w:rPr>
        <w:t>3</w:t>
      </w:r>
      <w:r w:rsidRPr="00267F68">
        <w:rPr>
          <w:i/>
          <w:iCs/>
          <w:color w:val="FF0000"/>
        </w:rPr>
        <w:t xml:space="preserve">.1 footnote </w:t>
      </w:r>
      <w:r w:rsidRPr="00267F68">
        <w:rPr>
          <w:rFonts w:hint="eastAsia"/>
          <w:i/>
          <w:iCs/>
          <w:color w:val="FF0000"/>
          <w:lang w:eastAsia="ja-JP"/>
        </w:rPr>
        <w:t>3</w:t>
      </w:r>
      <w:r w:rsidRPr="00267F68">
        <w:rPr>
          <w:i/>
          <w:iCs/>
          <w:color w:val="FF0000"/>
          <w:lang w:val="en-US"/>
        </w:rPr>
        <w:t xml:space="preserve">, </w:t>
      </w:r>
      <w:r w:rsidRPr="00267F68">
        <w:rPr>
          <w:color w:val="FF0000"/>
        </w:rPr>
        <w:t>amend to read:</w:t>
      </w:r>
      <w:r w:rsidRPr="00267F68">
        <w:rPr>
          <w:i/>
          <w:iCs/>
          <w:color w:val="FF0000"/>
          <w:lang w:val="en-US"/>
        </w:rPr>
        <w:t>  </w:t>
      </w:r>
    </w:p>
    <w:p w14:paraId="01CCFB8A" w14:textId="77777777" w:rsidR="00470ECF" w:rsidRPr="00267F68" w:rsidRDefault="00470ECF" w:rsidP="00470ECF">
      <w:pPr>
        <w:pStyle w:val="SingleTxtG"/>
        <w:keepNext/>
        <w:tabs>
          <w:tab w:val="clear" w:pos="1701"/>
        </w:tabs>
        <w:ind w:leftChars="567" w:left="2268" w:hangingChars="567" w:hanging="1134"/>
        <w:rPr>
          <w:color w:val="FF0000"/>
          <w:lang w:val="en-US"/>
        </w:rPr>
      </w:pPr>
      <w:r w:rsidRPr="00267F68">
        <w:rPr>
          <w:color w:val="FF0000"/>
          <w:lang w:val="en-US"/>
        </w:rPr>
        <w:t>“</w:t>
      </w:r>
      <w:r w:rsidRPr="00267F68">
        <w:rPr>
          <w:rFonts w:hint="eastAsia"/>
          <w:color w:val="FF0000"/>
          <w:vertAlign w:val="superscript"/>
          <w:lang w:eastAsia="ja-JP"/>
        </w:rPr>
        <w:t>3</w:t>
      </w:r>
      <w:r w:rsidRPr="00267F68">
        <w:rPr>
          <w:color w:val="FF0000"/>
          <w:lang w:val="en-US"/>
        </w:rPr>
        <w:tab/>
      </w:r>
      <w:r w:rsidRPr="00267F68">
        <w:rPr>
          <w:color w:val="FF0000"/>
        </w:rPr>
        <w:t>The distinguishing numbers of the Contracting Parties to the 1958 Agreement are reproduced in Annex 3 to</w:t>
      </w:r>
      <w:r w:rsidRPr="00267F68">
        <w:rPr>
          <w:color w:val="FF0000"/>
          <w:lang w:val="en-US"/>
        </w:rPr>
        <w:t xml:space="preserve"> </w:t>
      </w:r>
      <w:r w:rsidRPr="00267F68">
        <w:rPr>
          <w:color w:val="FF0000"/>
        </w:rPr>
        <w:t>the Consolidated Resolution on the Construction of Vehicles (R.E.3), document ECE/TRANS/WP.29/78/Rev.</w:t>
      </w:r>
      <w:r w:rsidRPr="00267F68">
        <w:rPr>
          <w:strike/>
          <w:color w:val="FF0000"/>
        </w:rPr>
        <w:t>7</w:t>
      </w:r>
      <w:r w:rsidRPr="00267F68">
        <w:rPr>
          <w:b/>
          <w:bCs/>
          <w:color w:val="FF0000"/>
        </w:rPr>
        <w:t>8</w:t>
      </w:r>
      <w:r w:rsidRPr="00267F68">
        <w:rPr>
          <w:color w:val="FF0000"/>
          <w:lang w:val="en-US"/>
        </w:rPr>
        <w:t xml:space="preserve">, </w:t>
      </w:r>
      <w:r w:rsidRPr="00267F68">
        <w:rPr>
          <w:color w:val="FF0000"/>
        </w:rPr>
        <w:t>Annex 3</w:t>
      </w:r>
      <w:r w:rsidRPr="00267F68">
        <w:rPr>
          <w:color w:val="FF0000"/>
          <w:lang w:val="en-US"/>
        </w:rPr>
        <w:t xml:space="preserve"> </w:t>
      </w:r>
      <w:r w:rsidRPr="00267F68">
        <w:rPr>
          <w:color w:val="FF0000"/>
        </w:rPr>
        <w:t>- https://unece.org/transport/vehicle-regulations/wp29/resolutions</w:t>
      </w:r>
      <w:r w:rsidRPr="00267F68">
        <w:rPr>
          <w:color w:val="FF0000"/>
          <w:lang w:val="en-US"/>
        </w:rPr>
        <w:t>”</w:t>
      </w:r>
    </w:p>
    <w:p w14:paraId="543AFAFD" w14:textId="52F7248F" w:rsidR="00BD762C" w:rsidRDefault="00BD762C" w:rsidP="00C6345D">
      <w:pPr>
        <w:pStyle w:val="SingleTxtG"/>
        <w:tabs>
          <w:tab w:val="clear" w:pos="1701"/>
          <w:tab w:val="clear" w:pos="2268"/>
          <w:tab w:val="clear" w:pos="2835"/>
        </w:tabs>
        <w:ind w:left="2268" w:hanging="1134"/>
      </w:pPr>
      <w:r>
        <w:rPr>
          <w:i/>
          <w:iCs/>
        </w:rPr>
        <w:t>P</w:t>
      </w:r>
      <w:r w:rsidRPr="005D764E">
        <w:rPr>
          <w:i/>
          <w:iCs/>
        </w:rPr>
        <w:t xml:space="preserve">aragraph </w:t>
      </w:r>
      <w:r w:rsidRPr="008A25E5">
        <w:rPr>
          <w:i/>
          <w:iCs/>
        </w:rPr>
        <w:t>5.1.4.4</w:t>
      </w:r>
      <w:r w:rsidRPr="005D764E">
        <w:rPr>
          <w:i/>
          <w:iCs/>
        </w:rPr>
        <w:t>.</w:t>
      </w:r>
      <w:r w:rsidR="00F41D4F">
        <w:rPr>
          <w:i/>
          <w:iCs/>
        </w:rPr>
        <w:t>,</w:t>
      </w:r>
      <w:r>
        <w:rPr>
          <w:i/>
          <w:iCs/>
        </w:rPr>
        <w:t xml:space="preserve"> </w:t>
      </w:r>
      <w:r>
        <w:t>amend to read:</w:t>
      </w:r>
    </w:p>
    <w:p w14:paraId="75BB98F8" w14:textId="77777777" w:rsidR="00BD762C" w:rsidRDefault="00BD762C" w:rsidP="00C6345D">
      <w:pPr>
        <w:pStyle w:val="SingleTxtG"/>
        <w:tabs>
          <w:tab w:val="clear" w:pos="1701"/>
          <w:tab w:val="clear" w:pos="2268"/>
          <w:tab w:val="clear" w:pos="2835"/>
        </w:tabs>
        <w:ind w:left="2268" w:hanging="1134"/>
        <w:rPr>
          <w:lang w:val="en-IE" w:eastAsia="en-IE"/>
        </w:rPr>
      </w:pPr>
      <w:r>
        <w:rPr>
          <w:lang w:val="en-IE" w:eastAsia="en-IE"/>
        </w:rPr>
        <w:t>“5.1.4.4.</w:t>
      </w:r>
      <w:r>
        <w:rPr>
          <w:lang w:val="en-IE" w:eastAsia="en-IE"/>
        </w:rPr>
        <w:tab/>
      </w:r>
      <w:r w:rsidRPr="00CC48B3">
        <w:rPr>
          <w:lang w:val="en-IE" w:eastAsia="en-IE"/>
        </w:rPr>
        <w:t>If an isolation resistance monitoring system is provided, and the isolation resistance less than the requirements given in paragraph 5.1.3. is detected, a warning shall be indicated to the driver</w:t>
      </w:r>
      <w:r>
        <w:rPr>
          <w:lang w:val="en-IE" w:eastAsia="en-IE"/>
        </w:rPr>
        <w:t>.</w:t>
      </w:r>
      <w:r w:rsidRPr="00CC48B3">
        <w:rPr>
          <w:lang w:val="en-IE" w:eastAsia="en-IE"/>
        </w:rPr>
        <w:t xml:space="preserve"> </w:t>
      </w:r>
    </w:p>
    <w:p w14:paraId="43BFA9FF" w14:textId="51878883" w:rsidR="00BD762C" w:rsidRDefault="00E4121C" w:rsidP="00E4121C">
      <w:pPr>
        <w:pStyle w:val="SingleTxtG"/>
        <w:tabs>
          <w:tab w:val="clear" w:pos="1701"/>
          <w:tab w:val="clear" w:pos="2268"/>
          <w:tab w:val="clear" w:pos="2835"/>
        </w:tabs>
        <w:ind w:left="2268" w:hanging="1134"/>
        <w:rPr>
          <w:i/>
          <w:iCs/>
        </w:rPr>
      </w:pPr>
      <w:r>
        <w:rPr>
          <w:b/>
          <w:bCs/>
          <w:lang w:val="en-IE" w:eastAsia="en-IE"/>
        </w:rPr>
        <w:tab/>
      </w:r>
      <w:r w:rsidR="00BD762C" w:rsidRPr="00CE7C3C">
        <w:rPr>
          <w:b/>
          <w:bCs/>
          <w:lang w:val="en-IE" w:eastAsia="en-IE"/>
        </w:rPr>
        <w:t>Whilst an ADSF-2 is active, the warning shall be transmitted as a logic signal to the ADS</w:t>
      </w:r>
      <w:r w:rsidR="00BD762C" w:rsidRPr="00CC48B3">
        <w:rPr>
          <w:b/>
          <w:bCs/>
          <w:lang w:val="en-IE" w:eastAsia="en-IE"/>
        </w:rPr>
        <w:t>.</w:t>
      </w:r>
      <w:r w:rsidR="00BD762C" w:rsidRPr="00CC48B3">
        <w:rPr>
          <w:lang w:val="en-IE" w:eastAsia="en-IE"/>
        </w:rPr>
        <w:t xml:space="preserve"> The function of the on-board isolation resistance monitoring system shall be confirmed as described in Annex</w:t>
      </w:r>
      <w:r w:rsidR="00BD762C">
        <w:rPr>
          <w:lang w:val="en-IE" w:eastAsia="en-IE"/>
        </w:rPr>
        <w:t xml:space="preserve"> </w:t>
      </w:r>
      <w:r w:rsidR="00BD762C" w:rsidRPr="00CC48B3">
        <w:rPr>
          <w:lang w:val="en-IE" w:eastAsia="en-IE"/>
        </w:rPr>
        <w:t>6.</w:t>
      </w:r>
      <w:r>
        <w:rPr>
          <w:lang w:val="en-IE" w:eastAsia="en-IE"/>
        </w:rPr>
        <w:t>”</w:t>
      </w:r>
    </w:p>
    <w:p w14:paraId="2AE980F1" w14:textId="77777777" w:rsidR="00BD762C" w:rsidRDefault="00BD762C" w:rsidP="00C6345D">
      <w:pPr>
        <w:pStyle w:val="SingleTxtG"/>
        <w:tabs>
          <w:tab w:val="clear" w:pos="1701"/>
          <w:tab w:val="clear" w:pos="2268"/>
          <w:tab w:val="clear" w:pos="2835"/>
        </w:tabs>
        <w:ind w:left="2268" w:hanging="1134"/>
      </w:pPr>
      <w:r>
        <w:rPr>
          <w:i/>
          <w:iCs/>
        </w:rPr>
        <w:t>P</w:t>
      </w:r>
      <w:r w:rsidRPr="005D764E">
        <w:rPr>
          <w:i/>
          <w:iCs/>
        </w:rPr>
        <w:t>aragraph</w:t>
      </w:r>
      <w:r>
        <w:rPr>
          <w:i/>
          <w:iCs/>
        </w:rPr>
        <w:t>s</w:t>
      </w:r>
      <w:r w:rsidRPr="005D764E">
        <w:rPr>
          <w:i/>
          <w:iCs/>
        </w:rPr>
        <w:t xml:space="preserve"> </w:t>
      </w:r>
      <w:r w:rsidRPr="008A25E5">
        <w:rPr>
          <w:i/>
          <w:iCs/>
        </w:rPr>
        <w:t>5.2.3.</w:t>
      </w:r>
      <w:r>
        <w:rPr>
          <w:i/>
          <w:iCs/>
        </w:rPr>
        <w:t xml:space="preserve"> and </w:t>
      </w:r>
      <w:r w:rsidRPr="008A25E5">
        <w:rPr>
          <w:i/>
          <w:iCs/>
        </w:rPr>
        <w:t>5.2.4</w:t>
      </w:r>
      <w:r w:rsidRPr="005D764E">
        <w:rPr>
          <w:i/>
          <w:iCs/>
        </w:rPr>
        <w:t>.</w:t>
      </w:r>
      <w:r>
        <w:rPr>
          <w:i/>
          <w:iCs/>
        </w:rPr>
        <w:t xml:space="preserve">, </w:t>
      </w:r>
      <w:r>
        <w:t>amend to read:</w:t>
      </w:r>
    </w:p>
    <w:p w14:paraId="5B046734" w14:textId="77777777" w:rsidR="00BD762C" w:rsidRDefault="00BD762C" w:rsidP="00C6345D">
      <w:pPr>
        <w:pStyle w:val="SingleTxtG"/>
        <w:tabs>
          <w:tab w:val="clear" w:pos="1701"/>
          <w:tab w:val="clear" w:pos="2268"/>
          <w:tab w:val="clear" w:pos="2835"/>
        </w:tabs>
        <w:ind w:left="2268" w:hanging="1134"/>
        <w:rPr>
          <w:lang w:val="en-IE" w:eastAsia="en-IE"/>
        </w:rPr>
      </w:pPr>
      <w:r>
        <w:rPr>
          <w:bCs/>
          <w:lang w:val="en-IE" w:eastAsia="en-IE"/>
        </w:rPr>
        <w:lastRenderedPageBreak/>
        <w:t>“</w:t>
      </w:r>
      <w:r w:rsidRPr="003920B7">
        <w:rPr>
          <w:bCs/>
          <w:lang w:val="en-IE" w:eastAsia="en-IE"/>
        </w:rPr>
        <w:t>5.2.3</w:t>
      </w:r>
      <w:r>
        <w:rPr>
          <w:bCs/>
          <w:lang w:val="en-IE" w:eastAsia="en-IE"/>
        </w:rPr>
        <w:t>.</w:t>
      </w:r>
      <w:r>
        <w:rPr>
          <w:lang w:val="en-IE" w:eastAsia="en-IE"/>
        </w:rPr>
        <w:tab/>
      </w:r>
      <w:r w:rsidRPr="00CC48B3">
        <w:rPr>
          <w:lang w:val="en-IE" w:eastAsia="en-IE"/>
        </w:rPr>
        <w:t>Warning</w:t>
      </w:r>
      <w:r>
        <w:rPr>
          <w:lang w:val="en-IE" w:eastAsia="en-IE"/>
        </w:rPr>
        <w:t xml:space="preserve"> in the event of failure in REESS</w:t>
      </w:r>
    </w:p>
    <w:p w14:paraId="52F824EF" w14:textId="578CE022" w:rsidR="00BD762C" w:rsidRPr="00263A16" w:rsidRDefault="00E4121C" w:rsidP="00C6345D">
      <w:pPr>
        <w:pStyle w:val="SingleTxtG"/>
        <w:tabs>
          <w:tab w:val="clear" w:pos="1701"/>
          <w:tab w:val="clear" w:pos="2268"/>
          <w:tab w:val="clear" w:pos="2835"/>
        </w:tabs>
        <w:ind w:left="2268" w:hanging="1134"/>
        <w:rPr>
          <w:b/>
          <w:bCs/>
          <w:lang w:val="en-IE" w:eastAsia="en-IE"/>
        </w:rPr>
      </w:pPr>
      <w:r>
        <w:rPr>
          <w:lang w:val="en-IE" w:eastAsia="en-IE"/>
        </w:rPr>
        <w:tab/>
      </w:r>
      <w:r w:rsidR="00BD762C" w:rsidRPr="00263A16">
        <w:rPr>
          <w:lang w:val="en-IE" w:eastAsia="en-IE"/>
        </w:rPr>
        <w:t xml:space="preserve">The vehicle shall provide a warning to the driver when the vehicle is in active driving possible mode in the event specified in paragraphs 6.13. to 6.15. </w:t>
      </w:r>
      <w:r w:rsidR="00BD762C">
        <w:rPr>
          <w:b/>
          <w:bCs/>
          <w:lang w:val="en-IE" w:eastAsia="en-IE"/>
        </w:rPr>
        <w:t>W</w:t>
      </w:r>
      <w:r w:rsidR="00BD762C" w:rsidRPr="00263A16">
        <w:rPr>
          <w:b/>
          <w:bCs/>
          <w:lang w:val="en-IE" w:eastAsia="en-IE"/>
        </w:rPr>
        <w:t>hilst the ADSF-2</w:t>
      </w:r>
      <w:r w:rsidR="00BD762C" w:rsidRPr="00263A16">
        <w:rPr>
          <w:b/>
          <w:bCs/>
          <w:lang w:eastAsia="en-GB"/>
        </w:rPr>
        <w:t xml:space="preserve"> </w:t>
      </w:r>
      <w:r w:rsidR="00BD762C" w:rsidRPr="00263A16">
        <w:rPr>
          <w:b/>
          <w:bCs/>
          <w:lang w:val="en-IE" w:eastAsia="en-IE"/>
        </w:rPr>
        <w:t>is active, the warning shall be transmitted as a logic signal to the ADS.</w:t>
      </w:r>
    </w:p>
    <w:p w14:paraId="14ADC602" w14:textId="58A9F94A" w:rsidR="00BD762C" w:rsidRPr="00263A16" w:rsidRDefault="00E4121C" w:rsidP="00C6345D">
      <w:pPr>
        <w:pStyle w:val="SingleTxtG"/>
        <w:tabs>
          <w:tab w:val="clear" w:pos="1701"/>
          <w:tab w:val="clear" w:pos="2268"/>
          <w:tab w:val="clear" w:pos="2835"/>
        </w:tabs>
        <w:ind w:left="2268" w:hanging="1134"/>
        <w:rPr>
          <w:b/>
          <w:bCs/>
          <w:lang w:val="en-IE" w:eastAsia="en-IE"/>
        </w:rPr>
      </w:pPr>
      <w:r>
        <w:rPr>
          <w:lang w:val="en-IE" w:eastAsia="en-IE"/>
        </w:rPr>
        <w:tab/>
      </w:r>
      <w:r w:rsidR="00BD762C" w:rsidRPr="00263A16">
        <w:rPr>
          <w:lang w:val="en-IE" w:eastAsia="en-IE"/>
        </w:rPr>
        <w:t xml:space="preserve">In case of optical warning, the tell-tale shall, when illuminated, be sufficiently bright to be visible to the driver under both daylight and night-time driving conditions, when the driver has adapted to the ambient roadway light conditions. </w:t>
      </w:r>
      <w:r w:rsidR="00267F68" w:rsidRPr="00267F68">
        <w:rPr>
          <w:rFonts w:hint="eastAsia"/>
          <w:color w:val="FF0000"/>
          <w:lang w:val="en-IE" w:eastAsia="ja-JP"/>
        </w:rPr>
        <w:t>[</w:t>
      </w:r>
      <w:r w:rsidR="00BD762C" w:rsidRPr="00267F68">
        <w:rPr>
          <w:b/>
          <w:bCs/>
          <w:strike/>
          <w:color w:val="FF0000"/>
          <w:lang w:val="en-IE" w:eastAsia="en-IE"/>
        </w:rPr>
        <w:t>In case of optical warnings provided by an ADSF-2, the warning shall be visible to occupants under similar condition.</w:t>
      </w:r>
      <w:r w:rsidR="00267F68" w:rsidRPr="00267F68">
        <w:rPr>
          <w:rFonts w:hint="eastAsia"/>
          <w:b/>
          <w:bCs/>
          <w:color w:val="FF0000"/>
          <w:lang w:val="en-IE" w:eastAsia="ja-JP"/>
        </w:rPr>
        <w:t>]</w:t>
      </w:r>
      <w:r w:rsidR="00BD762C" w:rsidRPr="00267F68">
        <w:rPr>
          <w:b/>
          <w:bCs/>
          <w:color w:val="FF0000"/>
          <w:lang w:val="en-IE" w:eastAsia="en-IE"/>
        </w:rPr>
        <w:t xml:space="preserve"> </w:t>
      </w:r>
    </w:p>
    <w:p w14:paraId="699204C1" w14:textId="42AC67B0" w:rsidR="00BD762C" w:rsidRPr="00263A16" w:rsidRDefault="00E4121C" w:rsidP="00C6345D">
      <w:pPr>
        <w:pStyle w:val="SingleTxtG"/>
        <w:tabs>
          <w:tab w:val="clear" w:pos="1701"/>
          <w:tab w:val="clear" w:pos="2268"/>
          <w:tab w:val="clear" w:pos="2835"/>
        </w:tabs>
        <w:ind w:left="2268" w:hanging="1134"/>
        <w:rPr>
          <w:b/>
          <w:bCs/>
          <w:lang w:val="en-IE" w:eastAsia="en-IE"/>
        </w:rPr>
      </w:pPr>
      <w:r>
        <w:rPr>
          <w:lang w:val="en-IE" w:eastAsia="en-IE"/>
        </w:rPr>
        <w:tab/>
      </w:r>
      <w:r w:rsidR="00BD762C" w:rsidRPr="00263A16">
        <w:rPr>
          <w:lang w:val="en-IE" w:eastAsia="en-IE"/>
        </w:rPr>
        <w:t xml:space="preserve">This tell-tale shall be activated as a check of lamp function either when the propulsion system is turned to the "On" position, or when the propulsion system is in a position between "On" and "Start" that is designated by the manufacturer as a check position. This requirement does not apply to the tell-tale or text shown in a common space. </w:t>
      </w:r>
      <w:r w:rsidR="00BD762C" w:rsidRPr="00267F68">
        <w:rPr>
          <w:b/>
          <w:bCs/>
          <w:strike/>
          <w:color w:val="FF0000"/>
          <w:lang w:val="en-IE" w:eastAsia="en-IE"/>
        </w:rPr>
        <w:t>Whilst the ADSF-2 is active, the warning shall be transmitted as a logic signal to the ADS.</w:t>
      </w:r>
    </w:p>
    <w:p w14:paraId="21CD4BA3" w14:textId="77777777" w:rsidR="00BD762C" w:rsidRDefault="00BD762C" w:rsidP="00C6345D">
      <w:pPr>
        <w:pStyle w:val="SingleTxtG"/>
        <w:tabs>
          <w:tab w:val="clear" w:pos="1701"/>
          <w:tab w:val="clear" w:pos="2268"/>
          <w:tab w:val="clear" w:pos="2835"/>
        </w:tabs>
        <w:ind w:left="2268" w:hanging="1134"/>
        <w:rPr>
          <w:rFonts w:ascii="Arial" w:hAnsi="Arial" w:cs="Arial"/>
          <w:lang w:val="en-IE" w:eastAsia="en-IE"/>
        </w:rPr>
      </w:pPr>
      <w:r w:rsidRPr="001017F0">
        <w:rPr>
          <w:bCs/>
          <w:iCs/>
          <w:lang w:val="en-IE" w:eastAsia="en-IE"/>
        </w:rPr>
        <w:t>5.</w:t>
      </w:r>
      <w:r w:rsidRPr="001017F0">
        <w:rPr>
          <w:bCs/>
          <w:lang w:val="en-IE" w:eastAsia="en-IE"/>
        </w:rPr>
        <w:t>2</w:t>
      </w:r>
      <w:r w:rsidRPr="001017F0">
        <w:rPr>
          <w:bCs/>
          <w:iCs/>
          <w:lang w:val="en-IE" w:eastAsia="en-IE"/>
        </w:rPr>
        <w:t>.4.</w:t>
      </w:r>
      <w:r>
        <w:rPr>
          <w:i/>
          <w:iCs/>
          <w:lang w:val="en-IE" w:eastAsia="en-IE"/>
        </w:rPr>
        <w:tab/>
      </w:r>
      <w:r w:rsidRPr="00CC48B3">
        <w:rPr>
          <w:lang w:val="en-IE" w:eastAsia="en-IE"/>
        </w:rPr>
        <w:t>Warning in the event of low energy content of REESS</w:t>
      </w:r>
    </w:p>
    <w:p w14:paraId="5BDB78CA" w14:textId="2827D3D4" w:rsidR="00BD762C" w:rsidRPr="00B45DE8" w:rsidRDefault="00E4121C" w:rsidP="00C6345D">
      <w:pPr>
        <w:pStyle w:val="SingleTxtG"/>
        <w:tabs>
          <w:tab w:val="clear" w:pos="1701"/>
          <w:tab w:val="clear" w:pos="2268"/>
          <w:tab w:val="clear" w:pos="2835"/>
        </w:tabs>
        <w:ind w:left="2268" w:hanging="1134"/>
        <w:rPr>
          <w:color w:val="FF0000"/>
          <w:lang w:val="en-IE" w:eastAsia="en-IE"/>
        </w:rPr>
      </w:pPr>
      <w:r>
        <w:rPr>
          <w:lang w:val="en-IE" w:eastAsia="en-IE"/>
        </w:rPr>
        <w:tab/>
      </w:r>
      <w:r w:rsidR="00BD762C" w:rsidRPr="00CC48B3">
        <w:rPr>
          <w:lang w:val="en-IE" w:eastAsia="en-IE"/>
        </w:rPr>
        <w:t>For pure electric vehicles (vehicles equipped with a powertrain containing exclusively electric machines as propulsion energy converters and exclusively rechargeable electric energy storage systems as propulsion energy storage systems), a warning to the driver in the event of low REESS state of charge shall be provided. Based on engineering judgment, the manufacturer shall determine the necessary level of REESS energy remaining, when the driver warning is first provided.</w:t>
      </w:r>
      <w:r w:rsidR="00BD762C">
        <w:rPr>
          <w:lang w:val="en-IE" w:eastAsia="en-IE"/>
        </w:rPr>
        <w:t xml:space="preserve"> </w:t>
      </w:r>
      <w:r w:rsidR="00BD762C" w:rsidRPr="00CC48B3">
        <w:rPr>
          <w:lang w:val="en-IE" w:eastAsia="en-IE"/>
        </w:rPr>
        <w:t>In case of optical warning, the tell-tale shall, when illuminated, be sufficiently bright to be visible to the driver under both daylight and night-time driving conditions, when the driver has adapted to the ambient roadway light conditions.</w:t>
      </w:r>
      <w:r w:rsidR="00BD762C">
        <w:rPr>
          <w:lang w:val="en-IE" w:eastAsia="en-IE"/>
        </w:rPr>
        <w:t xml:space="preserve"> </w:t>
      </w:r>
      <w:r w:rsidR="00BD762C">
        <w:rPr>
          <w:b/>
          <w:bCs/>
          <w:lang w:val="en-IE" w:eastAsia="en-IE"/>
        </w:rPr>
        <w:t>W</w:t>
      </w:r>
      <w:r w:rsidR="00BD762C" w:rsidRPr="00263A16">
        <w:rPr>
          <w:b/>
          <w:bCs/>
          <w:lang w:val="en-IE" w:eastAsia="en-IE"/>
        </w:rPr>
        <w:t xml:space="preserve">hilst </w:t>
      </w:r>
      <w:r w:rsidR="00BD762C" w:rsidRPr="00263A16">
        <w:rPr>
          <w:b/>
          <w:bCs/>
          <w:lang w:eastAsia="en-GB"/>
        </w:rPr>
        <w:t>the ADSF-2 is active</w:t>
      </w:r>
      <w:r w:rsidR="00BD762C" w:rsidRPr="00263A16">
        <w:rPr>
          <w:b/>
          <w:bCs/>
          <w:lang w:val="en-IE" w:eastAsia="en-IE"/>
        </w:rPr>
        <w:t>, the warning shall be transmitted as a logic signal to the ADS.</w:t>
      </w:r>
      <w:r w:rsidR="00BD762C" w:rsidRPr="00FB1D44">
        <w:rPr>
          <w:lang w:val="en-IE" w:eastAsia="en-IE"/>
        </w:rPr>
        <w:t>”</w:t>
      </w:r>
    </w:p>
    <w:p w14:paraId="12EBED39" w14:textId="77777777" w:rsidR="00BD762C" w:rsidRPr="00885BD7" w:rsidRDefault="00BD762C" w:rsidP="00C6345D">
      <w:pPr>
        <w:pStyle w:val="SingleTxtG"/>
        <w:tabs>
          <w:tab w:val="clear" w:pos="1701"/>
          <w:tab w:val="clear" w:pos="2268"/>
          <w:tab w:val="clear" w:pos="2835"/>
        </w:tabs>
        <w:ind w:left="2268" w:hanging="1134"/>
      </w:pPr>
      <w:r>
        <w:rPr>
          <w:i/>
          <w:iCs/>
        </w:rPr>
        <w:t>P</w:t>
      </w:r>
      <w:r w:rsidRPr="005D764E">
        <w:rPr>
          <w:i/>
          <w:iCs/>
        </w:rPr>
        <w:t>aragraph</w:t>
      </w:r>
      <w:r>
        <w:rPr>
          <w:i/>
          <w:iCs/>
        </w:rPr>
        <w:t>s</w:t>
      </w:r>
      <w:r w:rsidRPr="005D764E">
        <w:rPr>
          <w:i/>
          <w:iCs/>
        </w:rPr>
        <w:t xml:space="preserve"> </w:t>
      </w:r>
      <w:r w:rsidRPr="008A25E5">
        <w:rPr>
          <w:i/>
          <w:iCs/>
        </w:rPr>
        <w:t>5.</w:t>
      </w:r>
      <w:r>
        <w:rPr>
          <w:i/>
          <w:iCs/>
        </w:rPr>
        <w:t>3</w:t>
      </w:r>
      <w:r w:rsidRPr="008A25E5">
        <w:rPr>
          <w:i/>
          <w:iCs/>
        </w:rPr>
        <w:t>.</w:t>
      </w:r>
      <w:r>
        <w:rPr>
          <w:i/>
          <w:iCs/>
        </w:rPr>
        <w:t>1</w:t>
      </w:r>
      <w:r w:rsidRPr="008A25E5">
        <w:rPr>
          <w:i/>
          <w:iCs/>
        </w:rPr>
        <w:t>.</w:t>
      </w:r>
      <w:r>
        <w:rPr>
          <w:i/>
          <w:iCs/>
        </w:rPr>
        <w:t xml:space="preserve"> and </w:t>
      </w:r>
      <w:r w:rsidRPr="008A25E5">
        <w:rPr>
          <w:i/>
          <w:iCs/>
        </w:rPr>
        <w:t>5</w:t>
      </w:r>
      <w:r>
        <w:rPr>
          <w:i/>
          <w:iCs/>
        </w:rPr>
        <w:t>.3</w:t>
      </w:r>
      <w:r w:rsidRPr="008A25E5">
        <w:rPr>
          <w:i/>
          <w:iCs/>
        </w:rPr>
        <w:t>.</w:t>
      </w:r>
      <w:r>
        <w:rPr>
          <w:i/>
          <w:iCs/>
        </w:rPr>
        <w:t>2</w:t>
      </w:r>
      <w:r w:rsidRPr="005D764E">
        <w:rPr>
          <w:i/>
          <w:iCs/>
        </w:rPr>
        <w:t>.</w:t>
      </w:r>
      <w:r>
        <w:rPr>
          <w:i/>
          <w:iCs/>
        </w:rPr>
        <w:t xml:space="preserve">, </w:t>
      </w:r>
      <w:r>
        <w:t>amend to read:</w:t>
      </w:r>
    </w:p>
    <w:p w14:paraId="7FF855FB" w14:textId="77777777" w:rsidR="00BD762C" w:rsidRDefault="00BD762C" w:rsidP="00C6345D">
      <w:pPr>
        <w:pStyle w:val="SingleTxtG"/>
        <w:tabs>
          <w:tab w:val="clear" w:pos="1701"/>
          <w:tab w:val="clear" w:pos="2268"/>
          <w:tab w:val="clear" w:pos="2835"/>
        </w:tabs>
        <w:ind w:left="2268" w:hanging="1134"/>
        <w:rPr>
          <w:lang w:val="en-IE" w:eastAsia="en-IE"/>
        </w:rPr>
      </w:pPr>
      <w:r>
        <w:rPr>
          <w:bCs/>
          <w:lang w:val="en-IE" w:eastAsia="en-IE"/>
        </w:rPr>
        <w:t>“5.3.1.</w:t>
      </w:r>
      <w:r>
        <w:rPr>
          <w:bCs/>
          <w:lang w:val="en-IE" w:eastAsia="en-IE"/>
        </w:rPr>
        <w:tab/>
      </w:r>
      <w:r w:rsidRPr="00CC48B3">
        <w:rPr>
          <w:bCs/>
          <w:lang w:val="en-US"/>
        </w:rPr>
        <w:t>At least a momentary indication shall be given to the driver each time when the vehicle is first placed in "active driving possible mode'' after manual activation of the propulsion system.</w:t>
      </w:r>
      <w:r>
        <w:rPr>
          <w:bCs/>
          <w:lang w:val="en-US"/>
        </w:rPr>
        <w:t xml:space="preserve"> </w:t>
      </w:r>
      <w:r w:rsidRPr="00CC48B3">
        <w:rPr>
          <w:bCs/>
          <w:lang w:val="en-US"/>
        </w:rPr>
        <w:t>However, this provision is optional under conditions where an internal combustion engine provides directly or</w:t>
      </w:r>
      <w:r w:rsidRPr="00CC48B3">
        <w:rPr>
          <w:lang w:val="en-IE" w:eastAsia="en-IE"/>
        </w:rPr>
        <w:t xml:space="preserve"> indirectly the vehicle´s propulsion power upon start up. </w:t>
      </w:r>
      <w:bookmarkStart w:id="3" w:name="_Hlk207979734"/>
      <w:r w:rsidRPr="00CC48B3">
        <w:rPr>
          <w:b/>
          <w:bCs/>
          <w:lang w:val="en-IE" w:eastAsia="en-IE"/>
        </w:rPr>
        <w:t xml:space="preserve">The provisions of this paragraph do not apply </w:t>
      </w:r>
      <w:r w:rsidRPr="00C34E35">
        <w:rPr>
          <w:b/>
          <w:bCs/>
          <w:lang w:eastAsia="en-GB"/>
        </w:rPr>
        <w:t xml:space="preserve">whilst </w:t>
      </w:r>
      <w:r w:rsidRPr="00C34E35">
        <w:rPr>
          <w:b/>
          <w:bCs/>
          <w:strike/>
          <w:lang w:eastAsia="en-GB"/>
        </w:rPr>
        <w:t>a</w:t>
      </w:r>
      <w:r w:rsidRPr="00C34E35">
        <w:rPr>
          <w:b/>
          <w:bCs/>
          <w:lang w:eastAsia="en-GB"/>
        </w:rPr>
        <w:t>n ADSF-2 is active</w:t>
      </w:r>
      <w:r>
        <w:rPr>
          <w:b/>
          <w:bCs/>
          <w:lang w:eastAsia="en-GB"/>
        </w:rPr>
        <w:t>.</w:t>
      </w:r>
    </w:p>
    <w:bookmarkEnd w:id="3"/>
    <w:p w14:paraId="3AD915AD" w14:textId="43E8A5E2" w:rsidR="00BD762C" w:rsidRDefault="00BD762C" w:rsidP="00C6345D">
      <w:pPr>
        <w:pStyle w:val="SingleTxtG"/>
        <w:tabs>
          <w:tab w:val="clear" w:pos="1701"/>
          <w:tab w:val="clear" w:pos="2268"/>
          <w:tab w:val="clear" w:pos="2835"/>
        </w:tabs>
        <w:ind w:left="2268" w:hanging="1134"/>
        <w:rPr>
          <w:b/>
          <w:bCs/>
          <w:lang w:val="en-IE" w:eastAsia="en-IE"/>
        </w:rPr>
      </w:pPr>
      <w:r w:rsidRPr="001017F0">
        <w:rPr>
          <w:bCs/>
          <w:lang w:val="en-IE" w:eastAsia="en-IE"/>
        </w:rPr>
        <w:t>5.3.2</w:t>
      </w:r>
      <w:r w:rsidRPr="00885BD7">
        <w:rPr>
          <w:bCs/>
          <w:lang w:val="en-IE" w:eastAsia="en-IE"/>
        </w:rPr>
        <w:t>.</w:t>
      </w:r>
      <w:r>
        <w:rPr>
          <w:b/>
          <w:bCs/>
          <w:lang w:val="en-IE" w:eastAsia="en-IE"/>
        </w:rPr>
        <w:tab/>
      </w:r>
      <w:r w:rsidRPr="00EC2A79">
        <w:rPr>
          <w:lang w:val="en-IE" w:eastAsia="en-IE"/>
        </w:rPr>
        <w:t>When</w:t>
      </w:r>
      <w:r w:rsidRPr="00CC48B3">
        <w:rPr>
          <w:lang w:val="en-IE" w:eastAsia="en-IE"/>
        </w:rPr>
        <w:t xml:space="preserve"> leaving the vehicle, the driver shall be informed by a signal (e.g. optical or audible signal) if</w:t>
      </w:r>
      <w:r w:rsidR="00CD2F6F">
        <w:rPr>
          <w:lang w:val="en-IE" w:eastAsia="en-IE"/>
        </w:rPr>
        <w:t xml:space="preserve"> </w:t>
      </w:r>
      <w:r w:rsidRPr="00CC48B3">
        <w:rPr>
          <w:lang w:val="en-IE" w:eastAsia="en-IE"/>
        </w:rPr>
        <w:t>the vehicle is still in the active driving possible mode. Moreover, in case of vehicles of category M2 and M3 with a capacity of more than 22 passengers in addition to the driver, this signal shall already be given when the drivers leave their seat.</w:t>
      </w:r>
      <w:r>
        <w:rPr>
          <w:lang w:val="en-IE" w:eastAsia="en-IE"/>
        </w:rPr>
        <w:t xml:space="preserve"> </w:t>
      </w:r>
      <w:r w:rsidRPr="00CC48B3">
        <w:rPr>
          <w:lang w:val="en-IE" w:eastAsia="en-IE"/>
        </w:rPr>
        <w:t>However, this provision is optional under conditions where an internal combustion engine provides, directly or indirectly, the vehicle</w:t>
      </w:r>
      <w:r w:rsidR="00CD2F6F">
        <w:rPr>
          <w:lang w:val="en-IE" w:eastAsia="en-IE"/>
        </w:rPr>
        <w:t>’</w:t>
      </w:r>
      <w:r w:rsidRPr="00CC48B3">
        <w:rPr>
          <w:lang w:val="en-IE" w:eastAsia="en-IE"/>
        </w:rPr>
        <w:t>s propulsion power while leaving the vehicle or driver seat.</w:t>
      </w:r>
      <w:r>
        <w:rPr>
          <w:lang w:val="en-IE" w:eastAsia="en-IE"/>
        </w:rPr>
        <w:t xml:space="preserve"> </w:t>
      </w:r>
      <w:r w:rsidRPr="00B961CC">
        <w:rPr>
          <w:b/>
          <w:bCs/>
          <w:lang w:val="en-IE" w:eastAsia="en-IE"/>
        </w:rPr>
        <w:t>The provisions of this paragraph do not apply whilst an ADSF-2 is active.</w:t>
      </w:r>
      <w:r w:rsidRPr="00FB1D44">
        <w:rPr>
          <w:lang w:val="en-IE" w:eastAsia="en-IE"/>
        </w:rPr>
        <w:t>”</w:t>
      </w:r>
    </w:p>
    <w:p w14:paraId="5D09A2D1" w14:textId="6E42533E" w:rsidR="00BD762C" w:rsidRPr="00EC2A79" w:rsidRDefault="00BD762C" w:rsidP="00C6345D">
      <w:pPr>
        <w:pStyle w:val="SingleTxtG"/>
        <w:tabs>
          <w:tab w:val="clear" w:pos="1701"/>
          <w:tab w:val="clear" w:pos="2268"/>
          <w:tab w:val="clear" w:pos="2835"/>
        </w:tabs>
        <w:ind w:left="2268" w:hanging="1134"/>
      </w:pPr>
      <w:r>
        <w:rPr>
          <w:i/>
          <w:iCs/>
        </w:rPr>
        <w:t>P</w:t>
      </w:r>
      <w:r w:rsidRPr="005D764E">
        <w:rPr>
          <w:i/>
          <w:iCs/>
        </w:rPr>
        <w:t xml:space="preserve">aragraph </w:t>
      </w:r>
      <w:r w:rsidRPr="008A25E5">
        <w:rPr>
          <w:i/>
          <w:iCs/>
        </w:rPr>
        <w:t>5.</w:t>
      </w:r>
      <w:r>
        <w:rPr>
          <w:i/>
          <w:iCs/>
        </w:rPr>
        <w:t>3</w:t>
      </w:r>
      <w:r w:rsidRPr="008A25E5">
        <w:rPr>
          <w:i/>
          <w:iCs/>
        </w:rPr>
        <w:t>.</w:t>
      </w:r>
      <w:r>
        <w:rPr>
          <w:i/>
          <w:iCs/>
        </w:rPr>
        <w:t>4.</w:t>
      </w:r>
      <w:r w:rsidR="00F41D4F">
        <w:rPr>
          <w:i/>
          <w:iCs/>
        </w:rPr>
        <w:t>,</w:t>
      </w:r>
      <w:r>
        <w:rPr>
          <w:i/>
          <w:iCs/>
        </w:rPr>
        <w:t xml:space="preserve"> </w:t>
      </w:r>
      <w:r>
        <w:t>amend to read:</w:t>
      </w:r>
    </w:p>
    <w:p w14:paraId="55B80B4F" w14:textId="4E313631" w:rsidR="00BD762C" w:rsidRDefault="00BD762C" w:rsidP="00C6345D">
      <w:pPr>
        <w:pStyle w:val="SingleTxtG"/>
        <w:tabs>
          <w:tab w:val="clear" w:pos="1701"/>
          <w:tab w:val="clear" w:pos="2268"/>
          <w:tab w:val="clear" w:pos="2835"/>
        </w:tabs>
        <w:ind w:left="2268" w:hanging="1134"/>
        <w:rPr>
          <w:b/>
          <w:bCs/>
          <w:lang w:val="en-IE" w:eastAsia="en-IE"/>
        </w:rPr>
      </w:pPr>
      <w:r>
        <w:rPr>
          <w:bCs/>
          <w:lang w:val="en-IE" w:eastAsia="en-IE"/>
        </w:rPr>
        <w:t>“</w:t>
      </w:r>
      <w:r w:rsidRPr="003920B7">
        <w:rPr>
          <w:bCs/>
          <w:lang w:val="en-IE" w:eastAsia="en-IE"/>
        </w:rPr>
        <w:t>5.3.4</w:t>
      </w:r>
      <w:r w:rsidR="007148C6">
        <w:rPr>
          <w:bCs/>
          <w:lang w:val="en-IE" w:eastAsia="en-IE"/>
        </w:rPr>
        <w:tab/>
      </w:r>
      <w:r w:rsidRPr="00CC48B3">
        <w:rPr>
          <w:lang w:val="en-IE" w:eastAsia="en-IE"/>
        </w:rPr>
        <w:t>The state of the drive direction control unit shall be identified to the driver.</w:t>
      </w:r>
      <w:r>
        <w:rPr>
          <w:lang w:val="en-IE" w:eastAsia="en-IE"/>
        </w:rPr>
        <w:t xml:space="preserve"> </w:t>
      </w:r>
      <w:r w:rsidRPr="00B961CC">
        <w:rPr>
          <w:b/>
          <w:bCs/>
          <w:lang w:val="en-IE" w:eastAsia="en-IE"/>
        </w:rPr>
        <w:t>The provisions of this paragraph do not apply whilst an ADSF-2 is active.</w:t>
      </w:r>
      <w:r w:rsidRPr="00FB1D44">
        <w:rPr>
          <w:lang w:val="en-IE" w:eastAsia="en-IE"/>
        </w:rPr>
        <w:t>”</w:t>
      </w:r>
    </w:p>
    <w:p w14:paraId="012963AD" w14:textId="018074CD" w:rsidR="00BD762C" w:rsidRPr="00885BD7" w:rsidRDefault="00BD762C" w:rsidP="00C6345D">
      <w:pPr>
        <w:pStyle w:val="SingleTxtG"/>
        <w:tabs>
          <w:tab w:val="clear" w:pos="1701"/>
          <w:tab w:val="clear" w:pos="2268"/>
          <w:tab w:val="clear" w:pos="2835"/>
        </w:tabs>
        <w:ind w:left="2268" w:hanging="1134"/>
      </w:pPr>
      <w:r>
        <w:rPr>
          <w:i/>
          <w:iCs/>
        </w:rPr>
        <w:t xml:space="preserve">Annex 8, </w:t>
      </w:r>
      <w:r w:rsidR="00E4121C">
        <w:rPr>
          <w:i/>
          <w:iCs/>
        </w:rPr>
        <w:t>p</w:t>
      </w:r>
      <w:r w:rsidRPr="005D764E">
        <w:rPr>
          <w:i/>
          <w:iCs/>
        </w:rPr>
        <w:t xml:space="preserve">aragraph </w:t>
      </w:r>
      <w:r w:rsidRPr="008A25E5">
        <w:rPr>
          <w:i/>
          <w:iCs/>
        </w:rPr>
        <w:t>5.</w:t>
      </w:r>
      <w:r>
        <w:rPr>
          <w:i/>
          <w:iCs/>
        </w:rPr>
        <w:t>1.1.1.</w:t>
      </w:r>
      <w:r w:rsidR="00F41D4F">
        <w:rPr>
          <w:i/>
          <w:iCs/>
        </w:rPr>
        <w:t>,</w:t>
      </w:r>
      <w:r>
        <w:rPr>
          <w:i/>
          <w:iCs/>
        </w:rPr>
        <w:t xml:space="preserve"> </w:t>
      </w:r>
      <w:r>
        <w:t>amend to read:</w:t>
      </w:r>
    </w:p>
    <w:p w14:paraId="2BE1A76F" w14:textId="77777777" w:rsidR="00BD762C" w:rsidRDefault="00BD762C" w:rsidP="00C6345D">
      <w:pPr>
        <w:pStyle w:val="SingleTxtG"/>
        <w:tabs>
          <w:tab w:val="clear" w:pos="1701"/>
          <w:tab w:val="clear" w:pos="2268"/>
          <w:tab w:val="clear" w:pos="2835"/>
        </w:tabs>
        <w:ind w:left="2268" w:hanging="1134"/>
        <w:rPr>
          <w:lang w:val="en-IE" w:eastAsia="en-IE"/>
        </w:rPr>
      </w:pPr>
      <w:r>
        <w:rPr>
          <w:bCs/>
          <w:lang w:val="en-IE" w:eastAsia="en-IE"/>
        </w:rPr>
        <w:t>“</w:t>
      </w:r>
      <w:r w:rsidRPr="003920B7">
        <w:rPr>
          <w:bCs/>
          <w:lang w:val="en-IE" w:eastAsia="en-IE"/>
        </w:rPr>
        <w:t>5.1.1.1.</w:t>
      </w:r>
      <w:r>
        <w:rPr>
          <w:b/>
          <w:bCs/>
          <w:lang w:val="en-IE" w:eastAsia="en-IE"/>
        </w:rPr>
        <w:tab/>
      </w:r>
      <w:r w:rsidRPr="00CC48B3">
        <w:rPr>
          <w:lang w:val="en-IE" w:eastAsia="en-IE"/>
        </w:rPr>
        <w:t>Discharges and initial charges of the REESS</w:t>
      </w:r>
    </w:p>
    <w:p w14:paraId="0AE12106" w14:textId="5957AC18" w:rsidR="00BD762C" w:rsidRPr="00EE1026" w:rsidRDefault="00E4121C" w:rsidP="00C6345D">
      <w:pPr>
        <w:pStyle w:val="SingleTxtG"/>
        <w:tabs>
          <w:tab w:val="clear" w:pos="1701"/>
          <w:tab w:val="clear" w:pos="2268"/>
          <w:tab w:val="clear" w:pos="2835"/>
        </w:tabs>
        <w:ind w:left="2268" w:hanging="1134"/>
        <w:rPr>
          <w:lang w:val="en-IE" w:eastAsia="en-IE"/>
        </w:rPr>
      </w:pPr>
      <w:r>
        <w:rPr>
          <w:lang w:val="en-IE" w:eastAsia="en-IE"/>
        </w:rPr>
        <w:tab/>
      </w:r>
      <w:r w:rsidR="00BD762C" w:rsidRPr="00CC48B3">
        <w:rPr>
          <w:lang w:val="en-IE" w:eastAsia="en-IE"/>
        </w:rPr>
        <w:t xml:space="preserve">The procedure starts with the discharge of the REESS of the vehicle while driving on the test track or on a chassis dynamometer at a steady speed of 70 per cent ± 5 per cent of the maximum speed of the vehicle </w:t>
      </w:r>
      <w:r w:rsidR="00BD762C" w:rsidRPr="00EE1026">
        <w:rPr>
          <w:lang w:val="en-IE" w:eastAsia="en-IE"/>
        </w:rPr>
        <w:t xml:space="preserve">for 30 minutes. </w:t>
      </w:r>
      <w:r w:rsidR="00BD762C" w:rsidRPr="00CC48B3">
        <w:rPr>
          <w:lang w:val="en-IE" w:eastAsia="en-IE"/>
        </w:rPr>
        <w:t>Discharging is stopped:</w:t>
      </w:r>
    </w:p>
    <w:p w14:paraId="79BC9E08" w14:textId="5255E224" w:rsidR="00BD762C" w:rsidRDefault="00BD762C" w:rsidP="00D72789">
      <w:pPr>
        <w:pStyle w:val="SingleTxtG"/>
        <w:tabs>
          <w:tab w:val="clear" w:pos="1701"/>
          <w:tab w:val="clear" w:pos="2268"/>
          <w:tab w:val="clear" w:pos="2835"/>
        </w:tabs>
        <w:ind w:left="2835" w:hanging="567"/>
        <w:rPr>
          <w:lang w:val="en-IE" w:eastAsia="en-IE"/>
        </w:rPr>
      </w:pPr>
      <w:r w:rsidRPr="00CC48B3">
        <w:rPr>
          <w:lang w:val="en-IE" w:eastAsia="en-IE"/>
        </w:rPr>
        <w:lastRenderedPageBreak/>
        <w:t>(a)</w:t>
      </w:r>
      <w:r w:rsidR="00D72789">
        <w:rPr>
          <w:lang w:val="en-IE" w:eastAsia="en-IE"/>
        </w:rPr>
        <w:tab/>
      </w:r>
      <w:r w:rsidRPr="00CC48B3">
        <w:rPr>
          <w:lang w:val="en-IE" w:eastAsia="en-IE"/>
        </w:rPr>
        <w:t>When the vehicle is not able to run at 65 per cent of the maxim</w:t>
      </w:r>
      <w:r>
        <w:rPr>
          <w:lang w:val="en-IE" w:eastAsia="en-IE"/>
        </w:rPr>
        <w:t>um thirty minutes speed, or</w:t>
      </w:r>
    </w:p>
    <w:p w14:paraId="54079FF7" w14:textId="79F99D65" w:rsidR="00BD762C" w:rsidRDefault="00BD762C" w:rsidP="00D72789">
      <w:pPr>
        <w:pStyle w:val="SingleTxtG"/>
        <w:tabs>
          <w:tab w:val="clear" w:pos="1701"/>
          <w:tab w:val="clear" w:pos="2268"/>
          <w:tab w:val="clear" w:pos="2835"/>
        </w:tabs>
        <w:ind w:left="2835" w:hanging="567"/>
        <w:rPr>
          <w:lang w:val="en-IE" w:eastAsia="en-IE"/>
        </w:rPr>
      </w:pPr>
      <w:r>
        <w:rPr>
          <w:lang w:val="en-IE" w:eastAsia="en-IE"/>
        </w:rPr>
        <w:t>(b)</w:t>
      </w:r>
      <w:r w:rsidR="00D72789">
        <w:rPr>
          <w:lang w:val="en-IE" w:eastAsia="en-IE"/>
        </w:rPr>
        <w:tab/>
      </w:r>
      <w:r w:rsidRPr="00CC48B3">
        <w:rPr>
          <w:lang w:val="en-IE" w:eastAsia="en-IE"/>
        </w:rPr>
        <w:t xml:space="preserve">When an indication to </w:t>
      </w:r>
      <w:proofErr w:type="gramStart"/>
      <w:r w:rsidRPr="00CC48B3">
        <w:rPr>
          <w:lang w:val="en-IE" w:eastAsia="en-IE"/>
        </w:rPr>
        <w:t>stop</w:t>
      </w:r>
      <w:proofErr w:type="gramEnd"/>
      <w:r w:rsidRPr="00CC48B3">
        <w:rPr>
          <w:lang w:val="en-IE" w:eastAsia="en-IE"/>
        </w:rPr>
        <w:t xml:space="preserve"> the vehicle is given to the driver by the standard on-board instrumentation, or</w:t>
      </w:r>
    </w:p>
    <w:p w14:paraId="43909D1F" w14:textId="53F36285" w:rsidR="00BD762C" w:rsidRDefault="00BD762C" w:rsidP="00D72789">
      <w:pPr>
        <w:pStyle w:val="SingleTxtG"/>
        <w:tabs>
          <w:tab w:val="clear" w:pos="1701"/>
          <w:tab w:val="clear" w:pos="2268"/>
          <w:tab w:val="clear" w:pos="2835"/>
        </w:tabs>
        <w:ind w:left="2835" w:hanging="567"/>
        <w:rPr>
          <w:b/>
          <w:bCs/>
          <w:lang w:val="en-IE" w:eastAsia="en-IE"/>
        </w:rPr>
      </w:pPr>
      <w:r w:rsidRPr="00CC48B3">
        <w:rPr>
          <w:lang w:val="en-IE" w:eastAsia="en-IE"/>
        </w:rPr>
        <w:t>(c)</w:t>
      </w:r>
      <w:r w:rsidR="00D72789">
        <w:rPr>
          <w:lang w:val="en-IE" w:eastAsia="en-IE"/>
        </w:rPr>
        <w:tab/>
      </w:r>
      <w:r w:rsidRPr="00CC48B3">
        <w:rPr>
          <w:b/>
          <w:bCs/>
          <w:lang w:val="en-IE" w:eastAsia="en-IE"/>
        </w:rPr>
        <w:t>When an indication to stop the vehicle is given</w:t>
      </w:r>
      <w:r w:rsidRPr="00611993">
        <w:rPr>
          <w:b/>
          <w:bCs/>
          <w:lang w:val="en-IE" w:eastAsia="en-IE"/>
        </w:rPr>
        <w:t xml:space="preserve"> by </w:t>
      </w:r>
      <w:r w:rsidRPr="00CC48B3">
        <w:rPr>
          <w:b/>
          <w:bCs/>
          <w:lang w:val="en-IE" w:eastAsia="en-IE"/>
        </w:rPr>
        <w:t>the ADS, or</w:t>
      </w:r>
    </w:p>
    <w:p w14:paraId="1DE898AA" w14:textId="47CF0C93" w:rsidR="00BD762C" w:rsidRDefault="00BD762C" w:rsidP="00D72789">
      <w:pPr>
        <w:pStyle w:val="SingleTxtG"/>
        <w:tabs>
          <w:tab w:val="clear" w:pos="1701"/>
          <w:tab w:val="clear" w:pos="2268"/>
          <w:tab w:val="clear" w:pos="2835"/>
        </w:tabs>
        <w:ind w:left="2835" w:hanging="567"/>
        <w:rPr>
          <w:lang w:val="en-IE" w:eastAsia="en-IE"/>
        </w:rPr>
      </w:pPr>
      <w:r w:rsidRPr="00CC48B3">
        <w:rPr>
          <w:b/>
          <w:bCs/>
          <w:lang w:val="en-IE" w:eastAsia="en-IE"/>
        </w:rPr>
        <w:t>(d)</w:t>
      </w:r>
      <w:r w:rsidR="00D72789">
        <w:rPr>
          <w:b/>
          <w:bCs/>
          <w:lang w:val="en-IE" w:eastAsia="en-IE"/>
        </w:rPr>
        <w:tab/>
      </w:r>
      <w:r w:rsidRPr="00CC48B3">
        <w:rPr>
          <w:lang w:val="en-IE" w:eastAsia="en-IE"/>
        </w:rPr>
        <w:t>After having covered the distance of 100 km.</w:t>
      </w:r>
      <w:r w:rsidR="00FB1D44">
        <w:rPr>
          <w:lang w:val="en-IE" w:eastAsia="en-IE"/>
        </w:rPr>
        <w:t>”</w:t>
      </w:r>
    </w:p>
    <w:p w14:paraId="3E120520" w14:textId="380D98F1" w:rsidR="00BD762C" w:rsidRPr="00885BD7" w:rsidRDefault="00BD762C" w:rsidP="00C6345D">
      <w:pPr>
        <w:pStyle w:val="SingleTxtG"/>
        <w:tabs>
          <w:tab w:val="clear" w:pos="1701"/>
          <w:tab w:val="clear" w:pos="2268"/>
          <w:tab w:val="clear" w:pos="2835"/>
        </w:tabs>
        <w:ind w:left="2268" w:hanging="1134"/>
      </w:pPr>
      <w:r>
        <w:rPr>
          <w:i/>
          <w:iCs/>
        </w:rPr>
        <w:t xml:space="preserve">Annex 8, </w:t>
      </w:r>
      <w:r w:rsidR="00D72789">
        <w:rPr>
          <w:i/>
          <w:iCs/>
        </w:rPr>
        <w:t>p</w:t>
      </w:r>
      <w:r w:rsidRPr="005D764E">
        <w:rPr>
          <w:i/>
          <w:iCs/>
        </w:rPr>
        <w:t xml:space="preserve">aragraph </w:t>
      </w:r>
      <w:r w:rsidRPr="008A25E5">
        <w:rPr>
          <w:i/>
          <w:iCs/>
        </w:rPr>
        <w:t>5.</w:t>
      </w:r>
      <w:r>
        <w:rPr>
          <w:i/>
          <w:iCs/>
        </w:rPr>
        <w:t>1.2.</w:t>
      </w:r>
      <w:r w:rsidR="00F41D4F">
        <w:rPr>
          <w:i/>
          <w:iCs/>
        </w:rPr>
        <w:t>,</w:t>
      </w:r>
      <w:r>
        <w:rPr>
          <w:i/>
          <w:iCs/>
        </w:rPr>
        <w:t xml:space="preserve"> </w:t>
      </w:r>
      <w:r>
        <w:t>amend to read:</w:t>
      </w:r>
    </w:p>
    <w:p w14:paraId="545B7111" w14:textId="0F0BD09E" w:rsidR="00BD762C" w:rsidRPr="00EE1026" w:rsidRDefault="00FB1D44" w:rsidP="00C6345D">
      <w:pPr>
        <w:pStyle w:val="SingleTxtG"/>
        <w:tabs>
          <w:tab w:val="clear" w:pos="1701"/>
          <w:tab w:val="clear" w:pos="2268"/>
          <w:tab w:val="clear" w:pos="2835"/>
        </w:tabs>
        <w:ind w:left="2268" w:hanging="1134"/>
        <w:rPr>
          <w:lang w:val="en-IE" w:eastAsia="en-IE"/>
        </w:rPr>
      </w:pPr>
      <w:r>
        <w:rPr>
          <w:bCs/>
          <w:lang w:val="en-IE" w:eastAsia="en-IE"/>
        </w:rPr>
        <w:t>“</w:t>
      </w:r>
      <w:r w:rsidR="00BD762C" w:rsidRPr="003920B7">
        <w:rPr>
          <w:bCs/>
          <w:lang w:val="en-IE" w:eastAsia="en-IE"/>
        </w:rPr>
        <w:t>5.1.2</w:t>
      </w:r>
      <w:r w:rsidR="00BD762C" w:rsidRPr="003920B7">
        <w:rPr>
          <w:lang w:val="en-IE" w:eastAsia="en-IE"/>
        </w:rPr>
        <w:t>.</w:t>
      </w:r>
      <w:r w:rsidR="00BD762C">
        <w:rPr>
          <w:lang w:val="en-IE" w:eastAsia="en-IE"/>
        </w:rPr>
        <w:tab/>
      </w:r>
      <w:r w:rsidR="00BD762C" w:rsidRPr="00EE1026">
        <w:rPr>
          <w:lang w:val="en-IE" w:eastAsia="en-IE"/>
        </w:rPr>
        <w:t>Discharge of the REESS</w:t>
      </w:r>
    </w:p>
    <w:p w14:paraId="530D8E37" w14:textId="689DA449" w:rsidR="00BD762C" w:rsidRPr="00EE1026" w:rsidRDefault="00D72789" w:rsidP="00C6345D">
      <w:pPr>
        <w:pStyle w:val="SingleTxtG"/>
        <w:tabs>
          <w:tab w:val="clear" w:pos="1701"/>
          <w:tab w:val="clear" w:pos="2268"/>
          <w:tab w:val="clear" w:pos="2835"/>
        </w:tabs>
        <w:ind w:left="2268" w:hanging="1134"/>
        <w:rPr>
          <w:lang w:val="en-IE" w:eastAsia="en-IE"/>
        </w:rPr>
      </w:pPr>
      <w:r>
        <w:rPr>
          <w:lang w:val="en-IE" w:eastAsia="en-IE"/>
        </w:rPr>
        <w:tab/>
      </w:r>
      <w:r w:rsidR="00BD762C" w:rsidRPr="00EE1026">
        <w:rPr>
          <w:lang w:val="en-IE" w:eastAsia="en-IE"/>
        </w:rPr>
        <w:t>The REESS is discharged while driving on the test track or on a chassis dynamometer at a steady speed of 70 per cent ± 5 per cent from the maximum thirty minutes speed of the vehicle.</w:t>
      </w:r>
    </w:p>
    <w:p w14:paraId="4A15A32E" w14:textId="02B46807" w:rsidR="00BD762C" w:rsidRPr="00EE1026" w:rsidRDefault="00D72789" w:rsidP="00C6345D">
      <w:pPr>
        <w:pStyle w:val="SingleTxtG"/>
        <w:tabs>
          <w:tab w:val="clear" w:pos="1701"/>
          <w:tab w:val="clear" w:pos="2268"/>
          <w:tab w:val="clear" w:pos="2835"/>
        </w:tabs>
        <w:ind w:left="2268" w:hanging="1134"/>
        <w:rPr>
          <w:lang w:val="en-IE" w:eastAsia="en-IE"/>
        </w:rPr>
      </w:pPr>
      <w:r>
        <w:rPr>
          <w:lang w:val="en-IE" w:eastAsia="en-IE"/>
        </w:rPr>
        <w:tab/>
      </w:r>
      <w:r w:rsidR="00BD762C" w:rsidRPr="00EE1026">
        <w:rPr>
          <w:lang w:val="en-IE" w:eastAsia="en-IE"/>
        </w:rPr>
        <w:t>Stopping the discharge occurs:</w:t>
      </w:r>
    </w:p>
    <w:p w14:paraId="3B21F553" w14:textId="633BEB01" w:rsidR="00BD762C" w:rsidRPr="00EE1026" w:rsidRDefault="00BD762C" w:rsidP="00D72789">
      <w:pPr>
        <w:pStyle w:val="SingleTxtG"/>
        <w:tabs>
          <w:tab w:val="clear" w:pos="1701"/>
          <w:tab w:val="clear" w:pos="2268"/>
          <w:tab w:val="clear" w:pos="2835"/>
        </w:tabs>
        <w:ind w:left="2835" w:hanging="567"/>
        <w:rPr>
          <w:lang w:val="en-IE" w:eastAsia="en-IE"/>
        </w:rPr>
      </w:pPr>
      <w:r w:rsidRPr="00EE1026">
        <w:rPr>
          <w:lang w:val="en-IE" w:eastAsia="en-IE"/>
        </w:rPr>
        <w:t>(a)</w:t>
      </w:r>
      <w:r w:rsidR="00D72789">
        <w:rPr>
          <w:lang w:val="en-IE" w:eastAsia="en-IE"/>
        </w:rPr>
        <w:tab/>
      </w:r>
      <w:r w:rsidRPr="00EE1026">
        <w:rPr>
          <w:lang w:val="en-IE" w:eastAsia="en-IE"/>
        </w:rPr>
        <w:t xml:space="preserve">When an indication to </w:t>
      </w:r>
      <w:proofErr w:type="gramStart"/>
      <w:r w:rsidRPr="00EE1026">
        <w:rPr>
          <w:lang w:val="en-IE" w:eastAsia="en-IE"/>
        </w:rPr>
        <w:t>stop</w:t>
      </w:r>
      <w:proofErr w:type="gramEnd"/>
      <w:r w:rsidRPr="00EE1026">
        <w:rPr>
          <w:lang w:val="en-IE" w:eastAsia="en-IE"/>
        </w:rPr>
        <w:t xml:space="preserve"> the vehicle is given to the driver by the standard on-board instrumentation, or</w:t>
      </w:r>
    </w:p>
    <w:p w14:paraId="20CD5449" w14:textId="5B8B5AB4" w:rsidR="00BD762C" w:rsidRPr="00EE1026" w:rsidRDefault="00BD762C" w:rsidP="00D72789">
      <w:pPr>
        <w:pStyle w:val="SingleTxtG"/>
        <w:tabs>
          <w:tab w:val="clear" w:pos="1701"/>
          <w:tab w:val="clear" w:pos="2268"/>
          <w:tab w:val="clear" w:pos="2835"/>
        </w:tabs>
        <w:ind w:left="2835" w:hanging="567"/>
        <w:rPr>
          <w:lang w:val="en-IE" w:eastAsia="en-IE"/>
        </w:rPr>
      </w:pPr>
      <w:r w:rsidRPr="00EE1026">
        <w:rPr>
          <w:lang w:val="en-IE" w:eastAsia="en-IE"/>
        </w:rPr>
        <w:t>(b)</w:t>
      </w:r>
      <w:r w:rsidR="00D72789">
        <w:rPr>
          <w:lang w:val="en-IE" w:eastAsia="en-IE"/>
        </w:rPr>
        <w:tab/>
      </w:r>
      <w:r w:rsidRPr="00EE1026">
        <w:rPr>
          <w:b/>
          <w:bCs/>
          <w:lang w:val="en-IE" w:eastAsia="en-IE"/>
        </w:rPr>
        <w:t>When an indication to stop the vehicle is gi</w:t>
      </w:r>
      <w:r w:rsidRPr="00611993">
        <w:rPr>
          <w:b/>
          <w:bCs/>
          <w:lang w:val="en-IE" w:eastAsia="en-IE"/>
        </w:rPr>
        <w:t xml:space="preserve">ven by </w:t>
      </w:r>
      <w:r w:rsidRPr="00EE1026">
        <w:rPr>
          <w:b/>
          <w:bCs/>
          <w:lang w:val="en-IE" w:eastAsia="en-IE"/>
        </w:rPr>
        <w:t>the ADS</w:t>
      </w:r>
      <w:r w:rsidRPr="00EE1026">
        <w:rPr>
          <w:lang w:val="en-IE" w:eastAsia="en-IE"/>
        </w:rPr>
        <w:t>, or</w:t>
      </w:r>
    </w:p>
    <w:p w14:paraId="002733EA" w14:textId="0A8BCDF3" w:rsidR="00BD762C" w:rsidRDefault="00BD762C" w:rsidP="00D72789">
      <w:pPr>
        <w:pStyle w:val="SingleTxtG"/>
        <w:tabs>
          <w:tab w:val="clear" w:pos="1701"/>
          <w:tab w:val="clear" w:pos="2268"/>
          <w:tab w:val="clear" w:pos="2835"/>
        </w:tabs>
        <w:ind w:left="2835" w:hanging="567"/>
        <w:rPr>
          <w:lang w:val="en-IE" w:eastAsia="en-IE"/>
        </w:rPr>
      </w:pPr>
      <w:r w:rsidRPr="00DF6EA9">
        <w:rPr>
          <w:b/>
          <w:lang w:val="en-IE" w:eastAsia="en-IE"/>
        </w:rPr>
        <w:t>(c)</w:t>
      </w:r>
      <w:r w:rsidR="00D72789">
        <w:rPr>
          <w:b/>
          <w:lang w:val="en-IE" w:eastAsia="en-IE"/>
        </w:rPr>
        <w:tab/>
      </w:r>
      <w:r w:rsidRPr="00EE1026">
        <w:rPr>
          <w:lang w:val="en-IE" w:eastAsia="en-IE"/>
        </w:rPr>
        <w:t>When</w:t>
      </w:r>
      <w:r>
        <w:rPr>
          <w:lang w:val="en-IE" w:eastAsia="en-IE"/>
        </w:rPr>
        <w:t xml:space="preserve"> the maximum speed of the vehicle is lower than 20 km/h.</w:t>
      </w:r>
      <w:r w:rsidR="00FB1D44">
        <w:rPr>
          <w:lang w:val="en-IE" w:eastAsia="en-IE"/>
        </w:rPr>
        <w:t>”</w:t>
      </w:r>
    </w:p>
    <w:p w14:paraId="06EC838C" w14:textId="77777777" w:rsidR="00FB1D44" w:rsidRPr="00EE1026" w:rsidRDefault="00FB1D44" w:rsidP="00FB1D44">
      <w:pPr>
        <w:pStyle w:val="SingleTxtG"/>
        <w:keepNext/>
        <w:tabs>
          <w:tab w:val="clear" w:pos="1701"/>
          <w:tab w:val="clear" w:pos="2268"/>
          <w:tab w:val="clear" w:pos="2835"/>
        </w:tabs>
        <w:rPr>
          <w:i/>
          <w:iCs/>
          <w:lang w:val="en-IE" w:eastAsia="en-IE"/>
        </w:rPr>
      </w:pPr>
      <w:r w:rsidRPr="00EE1026">
        <w:rPr>
          <w:i/>
          <w:iCs/>
          <w:lang w:val="en-IE" w:eastAsia="en-IE"/>
        </w:rPr>
        <w:t>Annex 9E</w:t>
      </w:r>
      <w:r>
        <w:rPr>
          <w:i/>
          <w:iCs/>
          <w:lang w:val="en-IE" w:eastAsia="en-IE"/>
        </w:rPr>
        <w:t>,</w:t>
      </w:r>
      <w:r w:rsidRPr="00EE1026">
        <w:rPr>
          <w:i/>
          <w:iCs/>
          <w:lang w:val="en-IE" w:eastAsia="en-IE"/>
        </w:rPr>
        <w:t xml:space="preserve"> </w:t>
      </w:r>
      <w:r>
        <w:rPr>
          <w:i/>
          <w:iCs/>
          <w:lang w:val="en-IE" w:eastAsia="en-IE"/>
        </w:rPr>
        <w:t xml:space="preserve">paragraph </w:t>
      </w:r>
      <w:r w:rsidRPr="00EE1026">
        <w:rPr>
          <w:i/>
          <w:iCs/>
          <w:lang w:val="en-IE" w:eastAsia="en-IE"/>
        </w:rPr>
        <w:t>1</w:t>
      </w:r>
      <w:r>
        <w:rPr>
          <w:i/>
          <w:iCs/>
          <w:lang w:val="en-IE" w:eastAsia="en-IE"/>
        </w:rPr>
        <w:t>.,</w:t>
      </w:r>
      <w:r w:rsidRPr="00EE1026">
        <w:rPr>
          <w:i/>
          <w:iCs/>
          <w:lang w:val="en-IE" w:eastAsia="en-IE"/>
        </w:rPr>
        <w:t xml:space="preserve"> </w:t>
      </w:r>
      <w:r w:rsidRPr="00E152FD">
        <w:t>amend</w:t>
      </w:r>
      <w:r w:rsidRPr="00C4439B">
        <w:rPr>
          <w:iCs/>
          <w:lang w:val="en-IE" w:eastAsia="en-IE"/>
        </w:rPr>
        <w:t xml:space="preserve"> to read</w:t>
      </w:r>
      <w:r w:rsidRPr="00EE1026">
        <w:rPr>
          <w:i/>
          <w:iCs/>
          <w:lang w:val="en-IE" w:eastAsia="en-IE"/>
        </w:rPr>
        <w:t>:</w:t>
      </w:r>
    </w:p>
    <w:p w14:paraId="3A7F4F3A" w14:textId="77777777" w:rsidR="00FB1D44" w:rsidRDefault="00FB1D44" w:rsidP="00FB1D44">
      <w:pPr>
        <w:pStyle w:val="SingleTxtG"/>
        <w:tabs>
          <w:tab w:val="clear" w:pos="1701"/>
          <w:tab w:val="clear" w:pos="2268"/>
          <w:tab w:val="clear" w:pos="2835"/>
        </w:tabs>
        <w:ind w:left="2268" w:hanging="1134"/>
        <w:rPr>
          <w:lang w:val="en-IE" w:eastAsia="en-IE"/>
        </w:rPr>
      </w:pPr>
      <w:r>
        <w:rPr>
          <w:lang w:val="en-IE" w:eastAsia="en-IE"/>
        </w:rPr>
        <w:t>“1.</w:t>
      </w:r>
      <w:r>
        <w:rPr>
          <w:lang w:val="en-IE" w:eastAsia="en-IE"/>
        </w:rPr>
        <w:tab/>
      </w:r>
      <w:r w:rsidRPr="00CC48B3">
        <w:rPr>
          <w:lang w:val="en-IE" w:eastAsia="en-IE"/>
        </w:rPr>
        <w:t>Purpose</w:t>
      </w:r>
    </w:p>
    <w:p w14:paraId="08D139BA" w14:textId="35B8F55F" w:rsidR="00BD762C" w:rsidRDefault="00FB1D44" w:rsidP="00C6345D">
      <w:pPr>
        <w:pStyle w:val="SingleTxtG"/>
        <w:tabs>
          <w:tab w:val="clear" w:pos="1701"/>
          <w:tab w:val="clear" w:pos="2268"/>
          <w:tab w:val="clear" w:pos="2835"/>
        </w:tabs>
        <w:ind w:left="2268" w:hanging="1134"/>
        <w:rPr>
          <w:lang w:val="en-IE" w:eastAsia="en-IE"/>
        </w:rPr>
      </w:pPr>
      <w:r>
        <w:rPr>
          <w:lang w:val="en-IE" w:eastAsia="en-IE"/>
        </w:rPr>
        <w:tab/>
      </w:r>
      <w:r w:rsidR="00BD762C" w:rsidRPr="00CC48B3">
        <w:rPr>
          <w:lang w:val="en-IE" w:eastAsia="en-IE"/>
        </w:rPr>
        <w:t xml:space="preserve">The purpose of this test is to verify the resistance of the REESS, against exposure to fire from outside of the vehicle due to e.g. a fuel spill from a vehicle (either the vehicle itself or a nearby vehicle). This situation should leave the </w:t>
      </w:r>
      <w:r w:rsidR="00BD762C" w:rsidRPr="00611993">
        <w:rPr>
          <w:strike/>
          <w:lang w:val="en-IE" w:eastAsia="en-IE"/>
        </w:rPr>
        <w:t>driver and passengers</w:t>
      </w:r>
      <w:r w:rsidR="00BD762C" w:rsidRPr="00CC48B3">
        <w:rPr>
          <w:b/>
          <w:bCs/>
          <w:strike/>
          <w:lang w:val="en-IE" w:eastAsia="en-IE"/>
        </w:rPr>
        <w:t xml:space="preserve"> </w:t>
      </w:r>
      <w:r w:rsidR="00BD762C" w:rsidRPr="00CC48B3">
        <w:rPr>
          <w:b/>
          <w:bCs/>
          <w:lang w:val="en-IE" w:eastAsia="en-IE"/>
        </w:rPr>
        <w:t>occupants</w:t>
      </w:r>
      <w:r w:rsidR="00BD762C" w:rsidRPr="00CC48B3">
        <w:rPr>
          <w:lang w:val="en-IE" w:eastAsia="en-IE"/>
        </w:rPr>
        <w:t xml:space="preserve"> with enough time to evacuate.</w:t>
      </w:r>
      <w:r>
        <w:rPr>
          <w:lang w:val="en-IE" w:eastAsia="en-IE"/>
        </w:rPr>
        <w:t>”</w:t>
      </w:r>
    </w:p>
    <w:p w14:paraId="334ABB2A" w14:textId="3E6B1899" w:rsidR="00267F68" w:rsidRPr="00267F68" w:rsidRDefault="00267F68" w:rsidP="00267F68">
      <w:pPr>
        <w:pStyle w:val="SingleTxtG"/>
        <w:tabs>
          <w:tab w:val="clear" w:pos="1701"/>
          <w:tab w:val="clear" w:pos="2268"/>
          <w:tab w:val="clear" w:pos="2835"/>
        </w:tabs>
        <w:ind w:left="2268" w:hanging="1134"/>
        <w:rPr>
          <w:b/>
          <w:bCs/>
          <w:color w:val="FF0000"/>
          <w:lang w:val="en-IE" w:eastAsia="en-IE"/>
        </w:rPr>
      </w:pPr>
      <w:r w:rsidRPr="00267F68">
        <w:rPr>
          <w:i/>
          <w:iCs/>
          <w:color w:val="FF0000"/>
        </w:rPr>
        <w:t xml:space="preserve">Paragraph 6.15., </w:t>
      </w:r>
      <w:r w:rsidRPr="00267F68">
        <w:rPr>
          <w:rFonts w:hint="eastAsia"/>
          <w:color w:val="FF0000"/>
          <w:lang w:eastAsia="ja-JP"/>
        </w:rPr>
        <w:t>insert the following new paragraph at the end of paragraph</w:t>
      </w:r>
      <w:r w:rsidRPr="00267F68">
        <w:rPr>
          <w:color w:val="FF0000"/>
        </w:rPr>
        <w:t xml:space="preserve"> to read:</w:t>
      </w:r>
    </w:p>
    <w:p w14:paraId="54FB01F7" w14:textId="77777777" w:rsidR="00267F68" w:rsidRPr="00267F68" w:rsidRDefault="00267F68" w:rsidP="00267F68">
      <w:pPr>
        <w:pStyle w:val="SingleTxtG"/>
        <w:tabs>
          <w:tab w:val="clear" w:pos="1701"/>
          <w:tab w:val="clear" w:pos="2268"/>
          <w:tab w:val="clear" w:pos="2835"/>
        </w:tabs>
        <w:ind w:left="2268" w:hanging="1134"/>
        <w:rPr>
          <w:bCs/>
          <w:color w:val="FF0000"/>
          <w:lang w:val="en-IE" w:eastAsia="en-IE"/>
        </w:rPr>
      </w:pPr>
      <w:r w:rsidRPr="00267F68">
        <w:rPr>
          <w:bCs/>
          <w:color w:val="FF0000"/>
          <w:lang w:val="en-IE" w:eastAsia="en-IE"/>
        </w:rPr>
        <w:t>“6.15. Thermal propagation</w:t>
      </w:r>
    </w:p>
    <w:p w14:paraId="26A9FB05" w14:textId="77777777" w:rsidR="00267F68" w:rsidRPr="00267F68" w:rsidRDefault="00267F68" w:rsidP="00267F68">
      <w:pPr>
        <w:pStyle w:val="SingleTxtG"/>
        <w:tabs>
          <w:tab w:val="clear" w:pos="1701"/>
          <w:tab w:val="clear" w:pos="2268"/>
          <w:tab w:val="clear" w:pos="2835"/>
        </w:tabs>
        <w:ind w:left="2268" w:hanging="567"/>
        <w:rPr>
          <w:b/>
          <w:bCs/>
          <w:color w:val="FF0000"/>
          <w:lang w:val="en-IE" w:eastAsia="ja-JP"/>
        </w:rPr>
      </w:pPr>
      <w:r w:rsidRPr="00267F68">
        <w:rPr>
          <w:b/>
          <w:bCs/>
          <w:color w:val="FF0000"/>
          <w:lang w:val="en-IE" w:eastAsia="ja-JP"/>
        </w:rPr>
        <w:t>…</w:t>
      </w:r>
    </w:p>
    <w:p w14:paraId="3C87340D" w14:textId="020576C4" w:rsidR="00267F68" w:rsidRPr="00267F68" w:rsidRDefault="00267F68" w:rsidP="00267F68">
      <w:pPr>
        <w:pStyle w:val="SingleTxtG"/>
        <w:tabs>
          <w:tab w:val="clear" w:pos="1701"/>
          <w:tab w:val="clear" w:pos="2268"/>
          <w:tab w:val="clear" w:pos="2835"/>
        </w:tabs>
        <w:ind w:left="2268" w:hanging="567"/>
        <w:rPr>
          <w:b/>
          <w:bCs/>
          <w:color w:val="FF0000"/>
          <w:lang w:val="en-IE" w:eastAsia="en-IE"/>
        </w:rPr>
      </w:pPr>
      <w:r w:rsidRPr="00267F68">
        <w:rPr>
          <w:b/>
          <w:bCs/>
          <w:color w:val="FF0000"/>
          <w:lang w:val="en-IE" w:eastAsia="en-IE"/>
        </w:rPr>
        <w:t>This paragraph does not apply to vehicles of category Y”</w:t>
      </w:r>
    </w:p>
    <w:p w14:paraId="6F2EF124" w14:textId="77777777" w:rsidR="00267F68" w:rsidRDefault="00267F68" w:rsidP="00C6345D">
      <w:pPr>
        <w:pStyle w:val="SingleTxtG"/>
        <w:tabs>
          <w:tab w:val="clear" w:pos="1701"/>
          <w:tab w:val="clear" w:pos="2268"/>
          <w:tab w:val="clear" w:pos="2835"/>
        </w:tabs>
        <w:ind w:left="2268" w:hanging="1134"/>
        <w:rPr>
          <w:lang w:val="en-US" w:eastAsia="en-IE"/>
        </w:rPr>
      </w:pPr>
    </w:p>
    <w:p w14:paraId="56B28C4D" w14:textId="77777777" w:rsidR="00C215C6" w:rsidRPr="0079666C" w:rsidRDefault="00C215C6" w:rsidP="00C215C6">
      <w:pPr>
        <w:pStyle w:val="HChG"/>
        <w:ind w:hanging="850"/>
        <w:rPr>
          <w:snapToGrid w:val="0"/>
          <w:lang w:eastAsia="ja-JP"/>
        </w:rPr>
      </w:pPr>
      <w:r>
        <w:rPr>
          <w:snapToGrid w:val="0"/>
          <w:lang w:eastAsia="ja-JP"/>
        </w:rPr>
        <w:tab/>
      </w:r>
      <w:r w:rsidRPr="0079666C">
        <w:rPr>
          <w:snapToGrid w:val="0"/>
          <w:lang w:eastAsia="ja-JP"/>
        </w:rPr>
        <w:t>II.</w:t>
      </w:r>
      <w:r>
        <w:rPr>
          <w:snapToGrid w:val="0"/>
          <w:lang w:eastAsia="ja-JP"/>
        </w:rPr>
        <w:tab/>
      </w:r>
      <w:r w:rsidRPr="0079666C">
        <w:t>Justification</w:t>
      </w:r>
    </w:p>
    <w:p w14:paraId="1ABD49EE" w14:textId="77777777" w:rsidR="00C215C6" w:rsidRPr="00764116" w:rsidRDefault="00C215C6" w:rsidP="00C215C6">
      <w:pPr>
        <w:pStyle w:val="SingleTxtG"/>
      </w:pPr>
      <w:r>
        <w:t>See paragraph 0. in the proposal.</w:t>
      </w:r>
    </w:p>
    <w:p w14:paraId="08C88E1F" w14:textId="4D05F231" w:rsidR="001C6663" w:rsidRPr="00C215C6" w:rsidRDefault="00C215C6" w:rsidP="00C215C6">
      <w:pPr>
        <w:spacing w:before="240"/>
        <w:jc w:val="center"/>
        <w:rPr>
          <w:u w:val="single"/>
        </w:rPr>
      </w:pPr>
      <w:r w:rsidRPr="00DC5313">
        <w:rPr>
          <w:u w:val="single"/>
        </w:rPr>
        <w:tab/>
      </w:r>
      <w:r w:rsidRPr="00DC5313">
        <w:rPr>
          <w:u w:val="single"/>
        </w:rPr>
        <w:tab/>
      </w:r>
      <w:r w:rsidRPr="00DC5313">
        <w:rPr>
          <w:u w:val="single"/>
        </w:rPr>
        <w:tab/>
      </w:r>
    </w:p>
    <w:sectPr w:rsidR="001C6663" w:rsidRPr="00C215C6" w:rsidSect="00333B46">
      <w:headerReference w:type="even" r:id="rId12"/>
      <w:headerReference w:type="default" r:id="rId13"/>
      <w:footerReference w:type="even" r:id="rId14"/>
      <w:footerReference w:type="default" r:id="rId15"/>
      <w:headerReference w:type="first" r:id="rId16"/>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D12D6" w14:textId="77777777" w:rsidR="00DE0976" w:rsidRDefault="00DE0976"/>
  </w:endnote>
  <w:endnote w:type="continuationSeparator" w:id="0">
    <w:p w14:paraId="7279B769" w14:textId="77777777" w:rsidR="00DE0976" w:rsidRDefault="00DE0976"/>
  </w:endnote>
  <w:endnote w:type="continuationNotice" w:id="1">
    <w:p w14:paraId="7A8C37A3" w14:textId="77777777" w:rsidR="00DE0976" w:rsidRDefault="00DE09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27728" w14:textId="0B0C4986" w:rsidR="00333B46" w:rsidRPr="00333B46" w:rsidRDefault="00333B46" w:rsidP="00333B46">
    <w:pPr>
      <w:pStyle w:val="Footer"/>
      <w:tabs>
        <w:tab w:val="right" w:pos="9638"/>
      </w:tabs>
      <w:rPr>
        <w:sz w:val="18"/>
      </w:rPr>
    </w:pPr>
    <w:r w:rsidRPr="00333B46">
      <w:rPr>
        <w:b/>
        <w:sz w:val="18"/>
      </w:rPr>
      <w:fldChar w:fldCharType="begin"/>
    </w:r>
    <w:r w:rsidRPr="00333B46">
      <w:rPr>
        <w:b/>
        <w:sz w:val="18"/>
      </w:rPr>
      <w:instrText xml:space="preserve"> PAGE  \* MERGEFORMAT </w:instrText>
    </w:r>
    <w:r w:rsidRPr="00333B46">
      <w:rPr>
        <w:b/>
        <w:sz w:val="18"/>
      </w:rPr>
      <w:fldChar w:fldCharType="separate"/>
    </w:r>
    <w:r w:rsidRPr="00333B46">
      <w:rPr>
        <w:b/>
        <w:noProof/>
        <w:sz w:val="18"/>
      </w:rPr>
      <w:t>2</w:t>
    </w:r>
    <w:r w:rsidRPr="00333B46">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3312A" w14:textId="4EF2C5D3" w:rsidR="00333B46" w:rsidRPr="00333B46" w:rsidRDefault="00333B46" w:rsidP="00333B46">
    <w:pPr>
      <w:pStyle w:val="Footer"/>
      <w:tabs>
        <w:tab w:val="right" w:pos="9638"/>
      </w:tabs>
      <w:rPr>
        <w:b/>
        <w:sz w:val="18"/>
      </w:rPr>
    </w:pPr>
    <w:r>
      <w:tab/>
    </w:r>
    <w:r w:rsidRPr="00333B46">
      <w:rPr>
        <w:b/>
        <w:sz w:val="18"/>
      </w:rPr>
      <w:fldChar w:fldCharType="begin"/>
    </w:r>
    <w:r w:rsidRPr="00333B46">
      <w:rPr>
        <w:b/>
        <w:sz w:val="18"/>
      </w:rPr>
      <w:instrText xml:space="preserve"> PAGE  \* MERGEFORMAT </w:instrText>
    </w:r>
    <w:r w:rsidRPr="00333B46">
      <w:rPr>
        <w:b/>
        <w:sz w:val="18"/>
      </w:rPr>
      <w:fldChar w:fldCharType="separate"/>
    </w:r>
    <w:r w:rsidRPr="00333B46">
      <w:rPr>
        <w:b/>
        <w:noProof/>
        <w:sz w:val="18"/>
      </w:rPr>
      <w:t>3</w:t>
    </w:r>
    <w:r w:rsidRPr="00333B46">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89633" w14:textId="77777777" w:rsidR="00DE0976" w:rsidRPr="000B175B" w:rsidRDefault="00DE0976" w:rsidP="000B175B">
      <w:pPr>
        <w:tabs>
          <w:tab w:val="right" w:pos="2155"/>
        </w:tabs>
        <w:spacing w:after="80"/>
        <w:ind w:left="680"/>
        <w:rPr>
          <w:u w:val="single"/>
        </w:rPr>
      </w:pPr>
      <w:r>
        <w:rPr>
          <w:u w:val="single"/>
        </w:rPr>
        <w:tab/>
      </w:r>
    </w:p>
  </w:footnote>
  <w:footnote w:type="continuationSeparator" w:id="0">
    <w:p w14:paraId="4FAF95E8" w14:textId="77777777" w:rsidR="00DE0976" w:rsidRPr="00FC68B7" w:rsidRDefault="00DE0976" w:rsidP="00FC68B7">
      <w:pPr>
        <w:tabs>
          <w:tab w:val="left" w:pos="2155"/>
        </w:tabs>
        <w:spacing w:after="80"/>
        <w:ind w:left="680"/>
        <w:rPr>
          <w:u w:val="single"/>
        </w:rPr>
      </w:pPr>
      <w:r>
        <w:rPr>
          <w:u w:val="single"/>
        </w:rPr>
        <w:tab/>
      </w:r>
    </w:p>
  </w:footnote>
  <w:footnote w:type="continuationNotice" w:id="1">
    <w:p w14:paraId="68FF81D2" w14:textId="77777777" w:rsidR="00DE0976" w:rsidRDefault="00DE0976"/>
  </w:footnote>
  <w:footnote w:id="2">
    <w:p w14:paraId="684ADDA8" w14:textId="77777777" w:rsidR="00321FAE" w:rsidRPr="00122355" w:rsidRDefault="00321FAE" w:rsidP="00321FAE">
      <w:pPr>
        <w:pStyle w:val="FootnoteText"/>
        <w:rPr>
          <w:lang w:val="en-US"/>
        </w:rPr>
      </w:pPr>
      <w:r w:rsidRPr="00A8733B">
        <w:rPr>
          <w:rStyle w:val="FootnoteReference"/>
          <w:sz w:val="20"/>
        </w:rPr>
        <w:tab/>
      </w:r>
      <w:r w:rsidRPr="00A8733B">
        <w:rPr>
          <w:rStyle w:val="FootnoteReference"/>
          <w:sz w:val="20"/>
          <w:vertAlign w:val="baseline"/>
        </w:rPr>
        <w:t>*</w:t>
      </w:r>
      <w:r w:rsidRPr="00A8733B">
        <w:rPr>
          <w:rStyle w:val="FootnoteReference"/>
          <w:sz w:val="20"/>
          <w:vertAlign w:val="baseline"/>
        </w:rPr>
        <w:tab/>
      </w:r>
      <w:r w:rsidRPr="00E70781">
        <w:rPr>
          <w:rStyle w:val="FootnoteReference"/>
          <w:szCs w:val="18"/>
          <w:vertAlign w:val="baseline"/>
        </w:rPr>
        <w:t>In accordance with the programme of work of the Inland Transport Committee for 2025 as outlined in proposed programme budget for 2025 (A/79/6 (Sect. 20), table 20.6), the World Forum will develop, harmonize and update UN Regulations in order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B3746" w14:textId="0C4D9C9F" w:rsidR="00333B46" w:rsidRPr="00333B46" w:rsidRDefault="00005DB0">
    <w:pPr>
      <w:pStyle w:val="Header"/>
    </w:pPr>
    <w:fldSimple w:instr=" TITLE  \* MERGEFORMAT ">
      <w:r>
        <w:t>ECE/TRANS/WP.29/GRSP/2025/33</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15AD" w14:textId="3D525EE5" w:rsidR="00333B46" w:rsidRPr="00333B46" w:rsidRDefault="00005DB0" w:rsidP="00333B46">
    <w:pPr>
      <w:pStyle w:val="Header"/>
      <w:jc w:val="right"/>
    </w:pPr>
    <w:fldSimple w:instr=" TITLE  \* MERGEFORMAT ">
      <w:r>
        <w:t>ECE/TRANS/WP.29/GRSP/2025/33</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108" w:type="dxa"/>
      <w:tblLook w:val="04A0" w:firstRow="1" w:lastRow="0" w:firstColumn="1" w:lastColumn="0" w:noHBand="0" w:noVBand="1"/>
    </w:tblPr>
    <w:tblGrid>
      <w:gridCol w:w="5279"/>
      <w:gridCol w:w="4644"/>
    </w:tblGrid>
    <w:tr w:rsidR="00F14627" w:rsidRPr="006C325C" w14:paraId="6C8CF5DF" w14:textId="77777777" w:rsidTr="00293570">
      <w:tc>
        <w:tcPr>
          <w:tcW w:w="5279" w:type="dxa"/>
        </w:tcPr>
        <w:p w14:paraId="157793DF" w14:textId="77777777" w:rsidR="00F14627" w:rsidRPr="006C325C" w:rsidRDefault="00F14627" w:rsidP="00F14627">
          <w:pPr>
            <w:pStyle w:val="Header"/>
          </w:pPr>
          <w:r w:rsidRPr="006C325C">
            <w:t xml:space="preserve">Submitted by </w:t>
          </w:r>
          <w:r>
            <w:rPr>
              <w:rFonts w:hint="eastAsia"/>
              <w:lang w:eastAsia="ja-JP"/>
            </w:rPr>
            <w:t>GRSP-TF-AVRS</w:t>
          </w:r>
          <w:r w:rsidRPr="006C325C">
            <w:t xml:space="preserve"> </w:t>
          </w:r>
        </w:p>
        <w:p w14:paraId="2770815E" w14:textId="77777777" w:rsidR="00F14627" w:rsidRPr="006C325C" w:rsidRDefault="00F14627" w:rsidP="00F14627">
          <w:pPr>
            <w:pStyle w:val="Header"/>
          </w:pPr>
        </w:p>
        <w:p w14:paraId="221FC532" w14:textId="77777777" w:rsidR="00F14627" w:rsidRPr="006C325C" w:rsidRDefault="00F14627" w:rsidP="00F14627">
          <w:pPr>
            <w:pStyle w:val="Header"/>
          </w:pPr>
        </w:p>
      </w:tc>
      <w:tc>
        <w:tcPr>
          <w:tcW w:w="4644" w:type="dxa"/>
          <w:hideMark/>
        </w:tcPr>
        <w:p w14:paraId="37DCE508" w14:textId="77777777" w:rsidR="00F14627" w:rsidRPr="006C325C" w:rsidRDefault="00F14627" w:rsidP="00F14627">
          <w:pPr>
            <w:pStyle w:val="Header"/>
            <w:jc w:val="right"/>
            <w:rPr>
              <w:u w:val="single"/>
            </w:rPr>
          </w:pPr>
          <w:r w:rsidRPr="006C325C">
            <w:rPr>
              <w:bCs/>
              <w:u w:val="single"/>
            </w:rPr>
            <w:t>Informal document</w:t>
          </w:r>
          <w:r w:rsidRPr="006C325C">
            <w:t xml:space="preserve"> </w:t>
          </w:r>
          <w:r>
            <w:fldChar w:fldCharType="begin"/>
          </w:r>
          <w:r>
            <w:instrText xml:space="preserve"> TITLE  \* MERGEFORMAT </w:instrText>
          </w:r>
          <w:r>
            <w:fldChar w:fldCharType="separate"/>
          </w:r>
          <w:r w:rsidRPr="006C325C">
            <w:t>GRS</w:t>
          </w:r>
          <w:r>
            <w:rPr>
              <w:rFonts w:hint="eastAsia"/>
              <w:lang w:eastAsia="ja-JP"/>
            </w:rPr>
            <w:t>P</w:t>
          </w:r>
          <w:r w:rsidRPr="006C325C">
            <w:t>-</w:t>
          </w:r>
          <w:r>
            <w:rPr>
              <w:rFonts w:hint="eastAsia"/>
              <w:lang w:eastAsia="ja-JP"/>
            </w:rPr>
            <w:t>78</w:t>
          </w:r>
          <w:r w:rsidRPr="006C325C">
            <w:t>-</w:t>
          </w:r>
          <w:r>
            <w:rPr>
              <w:rFonts w:hint="eastAsia"/>
              <w:lang w:eastAsia="ja-JP"/>
            </w:rPr>
            <w:t>XX</w:t>
          </w:r>
          <w:r>
            <w:rPr>
              <w:lang w:eastAsia="ja-JP"/>
            </w:rPr>
            <w:fldChar w:fldCharType="end"/>
          </w:r>
        </w:p>
        <w:p w14:paraId="304B43E4" w14:textId="77777777" w:rsidR="00F14627" w:rsidRPr="006C325C" w:rsidRDefault="00F14627" w:rsidP="00F14627">
          <w:pPr>
            <w:pStyle w:val="Header"/>
            <w:jc w:val="right"/>
          </w:pPr>
          <w:r w:rsidRPr="006C325C">
            <w:t>(</w:t>
          </w:r>
          <w:r>
            <w:rPr>
              <w:rFonts w:hint="eastAsia"/>
              <w:lang w:eastAsia="ja-JP"/>
            </w:rPr>
            <w:t>78</w:t>
          </w:r>
          <w:r w:rsidRPr="006C325C">
            <w:rPr>
              <w:vertAlign w:val="superscript"/>
            </w:rPr>
            <w:t>th</w:t>
          </w:r>
          <w:r w:rsidRPr="006C325C">
            <w:t xml:space="preserve"> GRS</w:t>
          </w:r>
          <w:r>
            <w:rPr>
              <w:rFonts w:hint="eastAsia"/>
              <w:lang w:eastAsia="ja-JP"/>
            </w:rPr>
            <w:t>P</w:t>
          </w:r>
          <w:r w:rsidRPr="006C325C">
            <w:t xml:space="preserve">, </w:t>
          </w:r>
          <w:r>
            <w:rPr>
              <w:rFonts w:hint="eastAsia"/>
              <w:lang w:eastAsia="ja-JP"/>
            </w:rPr>
            <w:t>1</w:t>
          </w:r>
          <w:r w:rsidRPr="006C325C">
            <w:t xml:space="preserve"> – </w:t>
          </w:r>
          <w:r>
            <w:rPr>
              <w:rFonts w:hint="eastAsia"/>
              <w:lang w:eastAsia="ja-JP"/>
            </w:rPr>
            <w:t>4</w:t>
          </w:r>
          <w:r w:rsidRPr="006C325C">
            <w:t xml:space="preserve"> </w:t>
          </w:r>
          <w:r>
            <w:rPr>
              <w:rFonts w:hint="eastAsia"/>
              <w:lang w:eastAsia="ja-JP"/>
            </w:rPr>
            <w:t>Decem</w:t>
          </w:r>
          <w:r w:rsidRPr="006C325C">
            <w:t>ber 2025</w:t>
          </w:r>
        </w:p>
        <w:p w14:paraId="52784F74" w14:textId="77777777" w:rsidR="00F14627" w:rsidRPr="006C325C" w:rsidRDefault="00F14627" w:rsidP="00F14627">
          <w:pPr>
            <w:pStyle w:val="Header"/>
            <w:jc w:val="right"/>
            <w:rPr>
              <w:lang w:eastAsia="ja-JP"/>
            </w:rPr>
          </w:pPr>
          <w:r w:rsidRPr="006C325C">
            <w:t xml:space="preserve">agenda item </w:t>
          </w:r>
          <w:r>
            <w:rPr>
              <w:rFonts w:hint="eastAsia"/>
              <w:lang w:eastAsia="ja-JP"/>
            </w:rPr>
            <w:t>20.)</w:t>
          </w:r>
        </w:p>
      </w:tc>
    </w:tr>
  </w:tbl>
  <w:p w14:paraId="228C6FC6" w14:textId="77777777" w:rsidR="00F14627" w:rsidRDefault="00F146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CBC4492"/>
    <w:multiLevelType w:val="multilevel"/>
    <w:tmpl w:val="B078889A"/>
    <w:lvl w:ilvl="0">
      <w:numFmt w:val="decimal"/>
      <w:lvlText w:val="%1."/>
      <w:lvlJc w:val="left"/>
      <w:pPr>
        <w:ind w:left="1134" w:hanging="1134"/>
      </w:pPr>
      <w:rPr>
        <w:rFonts w:hint="default"/>
      </w:rPr>
    </w:lvl>
    <w:lvl w:ilvl="1">
      <w:start w:val="1"/>
      <w:numFmt w:val="decimal"/>
      <w:lvlText w:val="%1.%2."/>
      <w:lvlJc w:val="left"/>
      <w:pPr>
        <w:ind w:left="2268" w:hanging="1134"/>
      </w:pPr>
      <w:rPr>
        <w:rFonts w:hint="default"/>
      </w:rPr>
    </w:lvl>
    <w:lvl w:ilvl="2">
      <w:start w:val="1"/>
      <w:numFmt w:val="decimal"/>
      <w:lvlText w:val="%1.%2.%3."/>
      <w:lvlJc w:val="left"/>
      <w:pPr>
        <w:ind w:left="3402" w:hanging="1134"/>
      </w:pPr>
      <w:rPr>
        <w:rFonts w:hint="default"/>
      </w:rPr>
    </w:lvl>
    <w:lvl w:ilvl="3">
      <w:start w:val="1"/>
      <w:numFmt w:val="decimal"/>
      <w:lvlText w:val="%1.%2.%3.%4."/>
      <w:lvlJc w:val="left"/>
      <w:pPr>
        <w:ind w:left="4536" w:hanging="1134"/>
      </w:pPr>
      <w:rPr>
        <w:rFonts w:hint="default"/>
      </w:rPr>
    </w:lvl>
    <w:lvl w:ilvl="4">
      <w:start w:val="1"/>
      <w:numFmt w:val="decimal"/>
      <w:lvlText w:val="%1.%2.%3.%4.%5."/>
      <w:lvlJc w:val="left"/>
      <w:pPr>
        <w:ind w:left="5670" w:hanging="1134"/>
      </w:pPr>
      <w:rPr>
        <w:rFonts w:hint="default"/>
      </w:rPr>
    </w:lvl>
    <w:lvl w:ilvl="5">
      <w:start w:val="1"/>
      <w:numFmt w:val="decimal"/>
      <w:lvlText w:val="%1.%2.%3.%4.%5.%6."/>
      <w:lvlJc w:val="left"/>
      <w:pPr>
        <w:ind w:left="6804" w:hanging="1134"/>
      </w:pPr>
      <w:rPr>
        <w:rFonts w:hint="default"/>
      </w:rPr>
    </w:lvl>
    <w:lvl w:ilvl="6">
      <w:start w:val="1"/>
      <w:numFmt w:val="decimal"/>
      <w:lvlText w:val="%1.%2.%3.%4.%5.%6.%7."/>
      <w:lvlJc w:val="left"/>
      <w:pPr>
        <w:ind w:left="7938" w:hanging="1134"/>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968244070">
    <w:abstractNumId w:val="1"/>
  </w:num>
  <w:num w:numId="2" w16cid:durableId="1684165615">
    <w:abstractNumId w:val="0"/>
  </w:num>
  <w:num w:numId="3" w16cid:durableId="2006392554">
    <w:abstractNumId w:val="2"/>
  </w:num>
  <w:num w:numId="4" w16cid:durableId="1542472202">
    <w:abstractNumId w:val="3"/>
  </w:num>
  <w:num w:numId="5" w16cid:durableId="1908611512">
    <w:abstractNumId w:val="8"/>
  </w:num>
  <w:num w:numId="6" w16cid:durableId="1779330064">
    <w:abstractNumId w:val="9"/>
  </w:num>
  <w:num w:numId="7" w16cid:durableId="1624144222">
    <w:abstractNumId w:val="7"/>
  </w:num>
  <w:num w:numId="8" w16cid:durableId="1569224888">
    <w:abstractNumId w:val="6"/>
  </w:num>
  <w:num w:numId="9" w16cid:durableId="1751808765">
    <w:abstractNumId w:val="5"/>
  </w:num>
  <w:num w:numId="10" w16cid:durableId="1381176251">
    <w:abstractNumId w:val="4"/>
  </w:num>
  <w:num w:numId="11" w16cid:durableId="1492676525">
    <w:abstractNumId w:val="16"/>
  </w:num>
  <w:num w:numId="12" w16cid:durableId="2066445938">
    <w:abstractNumId w:val="15"/>
  </w:num>
  <w:num w:numId="13" w16cid:durableId="666711396">
    <w:abstractNumId w:val="10"/>
  </w:num>
  <w:num w:numId="14" w16cid:durableId="254360465">
    <w:abstractNumId w:val="13"/>
  </w:num>
  <w:num w:numId="15" w16cid:durableId="1616404913">
    <w:abstractNumId w:val="17"/>
  </w:num>
  <w:num w:numId="16" w16cid:durableId="1160347025">
    <w:abstractNumId w:val="14"/>
  </w:num>
  <w:num w:numId="17" w16cid:durableId="1379088591">
    <w:abstractNumId w:val="18"/>
  </w:num>
  <w:num w:numId="18" w16cid:durableId="797647275">
    <w:abstractNumId w:val="19"/>
  </w:num>
  <w:num w:numId="19" w16cid:durableId="2113627728">
    <w:abstractNumId w:val="12"/>
  </w:num>
  <w:num w:numId="20" w16cid:durableId="106656115">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GB" w:vendorID="64" w:dllVersion="5" w:nlCheck="1" w:checkStyle="1"/>
  <w:activeWritingStyle w:appName="MSWord" w:lang="en-GB" w:vendorID="64" w:dllVersion="6" w:nlCheck="1" w:checkStyle="1"/>
  <w:activeWritingStyle w:appName="MSWord" w:lang="en-IE" w:vendorID="64" w:dllVersion="0" w:nlCheck="1" w:checkStyle="0"/>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B46"/>
    <w:rsid w:val="00002A7D"/>
    <w:rsid w:val="000038A8"/>
    <w:rsid w:val="00005DB0"/>
    <w:rsid w:val="00005DF3"/>
    <w:rsid w:val="00006790"/>
    <w:rsid w:val="00027624"/>
    <w:rsid w:val="0003592F"/>
    <w:rsid w:val="00050F6B"/>
    <w:rsid w:val="000678CD"/>
    <w:rsid w:val="00072C8C"/>
    <w:rsid w:val="00081CE0"/>
    <w:rsid w:val="00084D30"/>
    <w:rsid w:val="0008632B"/>
    <w:rsid w:val="00090320"/>
    <w:rsid w:val="000931C0"/>
    <w:rsid w:val="00097003"/>
    <w:rsid w:val="000A2E09"/>
    <w:rsid w:val="000B175B"/>
    <w:rsid w:val="000B3A0F"/>
    <w:rsid w:val="000B7B49"/>
    <w:rsid w:val="000E0415"/>
    <w:rsid w:val="000F7715"/>
    <w:rsid w:val="00112138"/>
    <w:rsid w:val="00126CE4"/>
    <w:rsid w:val="00156B99"/>
    <w:rsid w:val="0015762A"/>
    <w:rsid w:val="00165D12"/>
    <w:rsid w:val="00166124"/>
    <w:rsid w:val="00184DDA"/>
    <w:rsid w:val="001900CD"/>
    <w:rsid w:val="00193031"/>
    <w:rsid w:val="001A0452"/>
    <w:rsid w:val="001B4B04"/>
    <w:rsid w:val="001B5875"/>
    <w:rsid w:val="001B780E"/>
    <w:rsid w:val="001C4B9C"/>
    <w:rsid w:val="001C6663"/>
    <w:rsid w:val="001C7895"/>
    <w:rsid w:val="001D26DF"/>
    <w:rsid w:val="001D2CEF"/>
    <w:rsid w:val="001F1599"/>
    <w:rsid w:val="001F19C4"/>
    <w:rsid w:val="002043F0"/>
    <w:rsid w:val="00211E0B"/>
    <w:rsid w:val="00232575"/>
    <w:rsid w:val="00247258"/>
    <w:rsid w:val="0024728F"/>
    <w:rsid w:val="00257CAC"/>
    <w:rsid w:val="00267F68"/>
    <w:rsid w:val="0027237A"/>
    <w:rsid w:val="002868E4"/>
    <w:rsid w:val="002974E9"/>
    <w:rsid w:val="002A145E"/>
    <w:rsid w:val="002A306B"/>
    <w:rsid w:val="002A7F94"/>
    <w:rsid w:val="002B109A"/>
    <w:rsid w:val="002C6D45"/>
    <w:rsid w:val="002D6E53"/>
    <w:rsid w:val="002F046D"/>
    <w:rsid w:val="002F3023"/>
    <w:rsid w:val="003010C3"/>
    <w:rsid w:val="00301764"/>
    <w:rsid w:val="00321FAE"/>
    <w:rsid w:val="003229D8"/>
    <w:rsid w:val="003242D9"/>
    <w:rsid w:val="00333B46"/>
    <w:rsid w:val="00336C97"/>
    <w:rsid w:val="00337F88"/>
    <w:rsid w:val="00342432"/>
    <w:rsid w:val="0035223F"/>
    <w:rsid w:val="00352D4B"/>
    <w:rsid w:val="0035638C"/>
    <w:rsid w:val="003A46BB"/>
    <w:rsid w:val="003A4EC7"/>
    <w:rsid w:val="003A7295"/>
    <w:rsid w:val="003B1F60"/>
    <w:rsid w:val="003C2CC4"/>
    <w:rsid w:val="003D4B23"/>
    <w:rsid w:val="003E278A"/>
    <w:rsid w:val="003F4301"/>
    <w:rsid w:val="00400C10"/>
    <w:rsid w:val="00413520"/>
    <w:rsid w:val="004325CB"/>
    <w:rsid w:val="00440A07"/>
    <w:rsid w:val="0044105B"/>
    <w:rsid w:val="00462880"/>
    <w:rsid w:val="00470ECF"/>
    <w:rsid w:val="00476F24"/>
    <w:rsid w:val="004A5D33"/>
    <w:rsid w:val="004C55B0"/>
    <w:rsid w:val="004F6BA0"/>
    <w:rsid w:val="00503BEA"/>
    <w:rsid w:val="00530CC0"/>
    <w:rsid w:val="00533616"/>
    <w:rsid w:val="00535ABA"/>
    <w:rsid w:val="0053768B"/>
    <w:rsid w:val="005420F2"/>
    <w:rsid w:val="0054285C"/>
    <w:rsid w:val="005547CD"/>
    <w:rsid w:val="00584173"/>
    <w:rsid w:val="00593644"/>
    <w:rsid w:val="00595520"/>
    <w:rsid w:val="005A44B9"/>
    <w:rsid w:val="005B1BA0"/>
    <w:rsid w:val="005B3DB3"/>
    <w:rsid w:val="005C0268"/>
    <w:rsid w:val="005D15CA"/>
    <w:rsid w:val="005F08DF"/>
    <w:rsid w:val="005F3066"/>
    <w:rsid w:val="005F3E61"/>
    <w:rsid w:val="00604DDD"/>
    <w:rsid w:val="006107D6"/>
    <w:rsid w:val="006115CC"/>
    <w:rsid w:val="00611FC4"/>
    <w:rsid w:val="006176FB"/>
    <w:rsid w:val="00630FCB"/>
    <w:rsid w:val="00640B26"/>
    <w:rsid w:val="0065766B"/>
    <w:rsid w:val="00672DFD"/>
    <w:rsid w:val="006770B2"/>
    <w:rsid w:val="00686A48"/>
    <w:rsid w:val="0068763C"/>
    <w:rsid w:val="006940E1"/>
    <w:rsid w:val="006A3C72"/>
    <w:rsid w:val="006A7392"/>
    <w:rsid w:val="006B03A1"/>
    <w:rsid w:val="006B67D9"/>
    <w:rsid w:val="006C5535"/>
    <w:rsid w:val="006D0589"/>
    <w:rsid w:val="006E564B"/>
    <w:rsid w:val="006E7154"/>
    <w:rsid w:val="007003CD"/>
    <w:rsid w:val="0070701E"/>
    <w:rsid w:val="00714245"/>
    <w:rsid w:val="007148C6"/>
    <w:rsid w:val="0072632A"/>
    <w:rsid w:val="007358E8"/>
    <w:rsid w:val="00736ECE"/>
    <w:rsid w:val="0074533B"/>
    <w:rsid w:val="007643BC"/>
    <w:rsid w:val="00780C68"/>
    <w:rsid w:val="007959FE"/>
    <w:rsid w:val="007A0CF1"/>
    <w:rsid w:val="007B6BA5"/>
    <w:rsid w:val="007C3390"/>
    <w:rsid w:val="007C42D8"/>
    <w:rsid w:val="007C4F4B"/>
    <w:rsid w:val="007D6F65"/>
    <w:rsid w:val="007D7362"/>
    <w:rsid w:val="007F5CE2"/>
    <w:rsid w:val="007F6611"/>
    <w:rsid w:val="00810BAC"/>
    <w:rsid w:val="00814C29"/>
    <w:rsid w:val="008175E9"/>
    <w:rsid w:val="00820EBB"/>
    <w:rsid w:val="008242D7"/>
    <w:rsid w:val="0082577B"/>
    <w:rsid w:val="00825CB5"/>
    <w:rsid w:val="00866893"/>
    <w:rsid w:val="00866F02"/>
    <w:rsid w:val="00867D18"/>
    <w:rsid w:val="0087149E"/>
    <w:rsid w:val="00871F9A"/>
    <w:rsid w:val="00871FD5"/>
    <w:rsid w:val="0088172E"/>
    <w:rsid w:val="00881EFA"/>
    <w:rsid w:val="008879CB"/>
    <w:rsid w:val="00895693"/>
    <w:rsid w:val="008959AC"/>
    <w:rsid w:val="008979B1"/>
    <w:rsid w:val="008A3BFE"/>
    <w:rsid w:val="008A6B25"/>
    <w:rsid w:val="008A6C4F"/>
    <w:rsid w:val="008B389E"/>
    <w:rsid w:val="008D045E"/>
    <w:rsid w:val="008D3F25"/>
    <w:rsid w:val="008D4D82"/>
    <w:rsid w:val="008D53F8"/>
    <w:rsid w:val="008E0E46"/>
    <w:rsid w:val="008E335E"/>
    <w:rsid w:val="008E7116"/>
    <w:rsid w:val="008F143B"/>
    <w:rsid w:val="008F2BF3"/>
    <w:rsid w:val="008F3882"/>
    <w:rsid w:val="008F4B7C"/>
    <w:rsid w:val="0092556A"/>
    <w:rsid w:val="00926E47"/>
    <w:rsid w:val="00945930"/>
    <w:rsid w:val="0094605A"/>
    <w:rsid w:val="00947162"/>
    <w:rsid w:val="009516EB"/>
    <w:rsid w:val="00951B11"/>
    <w:rsid w:val="0095787F"/>
    <w:rsid w:val="009610D0"/>
    <w:rsid w:val="0096375C"/>
    <w:rsid w:val="009662E6"/>
    <w:rsid w:val="0097095E"/>
    <w:rsid w:val="0098592B"/>
    <w:rsid w:val="00985FC4"/>
    <w:rsid w:val="00990766"/>
    <w:rsid w:val="00991261"/>
    <w:rsid w:val="009964C4"/>
    <w:rsid w:val="009A7B81"/>
    <w:rsid w:val="009B011B"/>
    <w:rsid w:val="009B7EB7"/>
    <w:rsid w:val="009D01C0"/>
    <w:rsid w:val="009D6A08"/>
    <w:rsid w:val="009E0A16"/>
    <w:rsid w:val="009E6CB7"/>
    <w:rsid w:val="009E7970"/>
    <w:rsid w:val="009F0D6C"/>
    <w:rsid w:val="009F2EAC"/>
    <w:rsid w:val="009F4243"/>
    <w:rsid w:val="009F57E3"/>
    <w:rsid w:val="009F67DC"/>
    <w:rsid w:val="00A077A2"/>
    <w:rsid w:val="00A10F4F"/>
    <w:rsid w:val="00A11067"/>
    <w:rsid w:val="00A11A89"/>
    <w:rsid w:val="00A1704A"/>
    <w:rsid w:val="00A36AC2"/>
    <w:rsid w:val="00A425EB"/>
    <w:rsid w:val="00A625F6"/>
    <w:rsid w:val="00A72F22"/>
    <w:rsid w:val="00A733BC"/>
    <w:rsid w:val="00A748A6"/>
    <w:rsid w:val="00A76A69"/>
    <w:rsid w:val="00A842BD"/>
    <w:rsid w:val="00A879A4"/>
    <w:rsid w:val="00AA0FF8"/>
    <w:rsid w:val="00AC0F2C"/>
    <w:rsid w:val="00AC502A"/>
    <w:rsid w:val="00AE1E26"/>
    <w:rsid w:val="00AE7057"/>
    <w:rsid w:val="00AF58C1"/>
    <w:rsid w:val="00B04A3F"/>
    <w:rsid w:val="00B06643"/>
    <w:rsid w:val="00B15055"/>
    <w:rsid w:val="00B20551"/>
    <w:rsid w:val="00B30179"/>
    <w:rsid w:val="00B31E0B"/>
    <w:rsid w:val="00B33FC7"/>
    <w:rsid w:val="00B37B15"/>
    <w:rsid w:val="00B4162A"/>
    <w:rsid w:val="00B45C02"/>
    <w:rsid w:val="00B53906"/>
    <w:rsid w:val="00B55619"/>
    <w:rsid w:val="00B676E2"/>
    <w:rsid w:val="00B70B63"/>
    <w:rsid w:val="00B72A1E"/>
    <w:rsid w:val="00B81E12"/>
    <w:rsid w:val="00BA339B"/>
    <w:rsid w:val="00BB23CC"/>
    <w:rsid w:val="00BC1E7E"/>
    <w:rsid w:val="00BC74E9"/>
    <w:rsid w:val="00BC7977"/>
    <w:rsid w:val="00BD577A"/>
    <w:rsid w:val="00BD762C"/>
    <w:rsid w:val="00BE36A9"/>
    <w:rsid w:val="00BE618E"/>
    <w:rsid w:val="00BE7BEC"/>
    <w:rsid w:val="00BF0A5A"/>
    <w:rsid w:val="00BF0E63"/>
    <w:rsid w:val="00BF12A3"/>
    <w:rsid w:val="00BF16D7"/>
    <w:rsid w:val="00BF2373"/>
    <w:rsid w:val="00BF279B"/>
    <w:rsid w:val="00C044E2"/>
    <w:rsid w:val="00C048CB"/>
    <w:rsid w:val="00C066F3"/>
    <w:rsid w:val="00C215C6"/>
    <w:rsid w:val="00C463DD"/>
    <w:rsid w:val="00C6345D"/>
    <w:rsid w:val="00C745C3"/>
    <w:rsid w:val="00C95C3E"/>
    <w:rsid w:val="00C978F5"/>
    <w:rsid w:val="00CA24A4"/>
    <w:rsid w:val="00CB348D"/>
    <w:rsid w:val="00CC2C76"/>
    <w:rsid w:val="00CD2F6F"/>
    <w:rsid w:val="00CD46F5"/>
    <w:rsid w:val="00CE4A8F"/>
    <w:rsid w:val="00CF071D"/>
    <w:rsid w:val="00CF72C0"/>
    <w:rsid w:val="00D0123D"/>
    <w:rsid w:val="00D04EF5"/>
    <w:rsid w:val="00D15B04"/>
    <w:rsid w:val="00D2031B"/>
    <w:rsid w:val="00D25FE2"/>
    <w:rsid w:val="00D37DA9"/>
    <w:rsid w:val="00D406A7"/>
    <w:rsid w:val="00D41AE9"/>
    <w:rsid w:val="00D426C6"/>
    <w:rsid w:val="00D43252"/>
    <w:rsid w:val="00D44D86"/>
    <w:rsid w:val="00D50B7D"/>
    <w:rsid w:val="00D52012"/>
    <w:rsid w:val="00D704E5"/>
    <w:rsid w:val="00D72727"/>
    <w:rsid w:val="00D72789"/>
    <w:rsid w:val="00D978C6"/>
    <w:rsid w:val="00DA0956"/>
    <w:rsid w:val="00DA357F"/>
    <w:rsid w:val="00DA3E12"/>
    <w:rsid w:val="00DC18AD"/>
    <w:rsid w:val="00DD6735"/>
    <w:rsid w:val="00DE0976"/>
    <w:rsid w:val="00DF7CAE"/>
    <w:rsid w:val="00E4121C"/>
    <w:rsid w:val="00E423C0"/>
    <w:rsid w:val="00E6414C"/>
    <w:rsid w:val="00E7260F"/>
    <w:rsid w:val="00E8235D"/>
    <w:rsid w:val="00E8702D"/>
    <w:rsid w:val="00E905F4"/>
    <w:rsid w:val="00E916A9"/>
    <w:rsid w:val="00E916DE"/>
    <w:rsid w:val="00E925AD"/>
    <w:rsid w:val="00E96630"/>
    <w:rsid w:val="00ED18DC"/>
    <w:rsid w:val="00ED394B"/>
    <w:rsid w:val="00ED6201"/>
    <w:rsid w:val="00ED7A2A"/>
    <w:rsid w:val="00EF1D7F"/>
    <w:rsid w:val="00F0137E"/>
    <w:rsid w:val="00F04E44"/>
    <w:rsid w:val="00F05FDE"/>
    <w:rsid w:val="00F14627"/>
    <w:rsid w:val="00F21786"/>
    <w:rsid w:val="00F25D06"/>
    <w:rsid w:val="00F31CFF"/>
    <w:rsid w:val="00F3742B"/>
    <w:rsid w:val="00F41D4F"/>
    <w:rsid w:val="00F41FDB"/>
    <w:rsid w:val="00F50597"/>
    <w:rsid w:val="00F56D63"/>
    <w:rsid w:val="00F609A9"/>
    <w:rsid w:val="00F70203"/>
    <w:rsid w:val="00F756D4"/>
    <w:rsid w:val="00F80C99"/>
    <w:rsid w:val="00F867EC"/>
    <w:rsid w:val="00F91B2B"/>
    <w:rsid w:val="00F97D43"/>
    <w:rsid w:val="00FB1D44"/>
    <w:rsid w:val="00FC03CD"/>
    <w:rsid w:val="00FC0646"/>
    <w:rsid w:val="00FC5295"/>
    <w:rsid w:val="00FC68B7"/>
    <w:rsid w:val="00FE6985"/>
    <w:rsid w:val="00FF3D20"/>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02B8BC"/>
  <w15:docId w15:val="{B2EF0DF9-AE88-4449-950E-3637C43F1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7D6"/>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
    <w:basedOn w:val="DefaultParagraphFont"/>
    <w:qFormat/>
    <w:rsid w:val="006107D6"/>
    <w:rPr>
      <w:rFonts w:ascii="Times New Roman" w:hAnsi="Times New Roman"/>
      <w:sz w:val="18"/>
      <w:vertAlign w:val="superscript"/>
      <w:lang w:val="en-GB"/>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link w:val="HeaderChar"/>
    <w:uiPriority w:val="99"/>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qFormat/>
    <w:rsid w:val="006107D6"/>
    <w:rPr>
      <w:rFonts w:eastAsiaTheme="minorHAnsi"/>
      <w:sz w:val="18"/>
      <w:lang w:val="en-GB" w:eastAsia="en-US"/>
    </w:rPr>
  </w:style>
  <w:style w:type="character" w:customStyle="1" w:styleId="HChGChar">
    <w:name w:val="_ H _Ch_G Char"/>
    <w:link w:val="HChG"/>
    <w:locked/>
    <w:rsid w:val="00321FAE"/>
    <w:rPr>
      <w:b/>
      <w:sz w:val="28"/>
      <w:lang w:val="en-GB"/>
    </w:rPr>
  </w:style>
  <w:style w:type="character" w:customStyle="1" w:styleId="SingleTxtGChar">
    <w:name w:val="_ Single Txt_G Char"/>
    <w:link w:val="SingleTxtG"/>
    <w:qFormat/>
    <w:rsid w:val="00321FAE"/>
    <w:rPr>
      <w:lang w:val="en-GB"/>
    </w:rPr>
  </w:style>
  <w:style w:type="paragraph" w:styleId="ListParagraph">
    <w:name w:val="List Paragraph"/>
    <w:basedOn w:val="Normal"/>
    <w:uiPriority w:val="34"/>
    <w:qFormat/>
    <w:rsid w:val="00BD762C"/>
    <w:pPr>
      <w:suppressAutoHyphens/>
      <w:ind w:left="720"/>
      <w:contextualSpacing/>
    </w:pPr>
    <w:rPr>
      <w:lang w:eastAsia="en-US"/>
    </w:rPr>
  </w:style>
  <w:style w:type="paragraph" w:customStyle="1" w:styleId="para">
    <w:name w:val="para"/>
    <w:basedOn w:val="Normal"/>
    <w:link w:val="paraChar"/>
    <w:qFormat/>
    <w:rsid w:val="00BD762C"/>
    <w:pPr>
      <w:spacing w:after="120"/>
      <w:ind w:left="2268" w:right="1134" w:hanging="1134"/>
      <w:jc w:val="both"/>
    </w:pPr>
    <w:rPr>
      <w:snapToGrid w:val="0"/>
      <w:lang w:val="fr-FR" w:eastAsia="en-US"/>
    </w:rPr>
  </w:style>
  <w:style w:type="character" w:customStyle="1" w:styleId="paraChar">
    <w:name w:val="para Char"/>
    <w:link w:val="para"/>
    <w:rsid w:val="00BD762C"/>
    <w:rPr>
      <w:snapToGrid w:val="0"/>
      <w:lang w:eastAsia="en-US"/>
    </w:rPr>
  </w:style>
  <w:style w:type="paragraph" w:styleId="Revision">
    <w:name w:val="Revision"/>
    <w:hidden/>
    <w:uiPriority w:val="99"/>
    <w:semiHidden/>
    <w:rsid w:val="00470ECF"/>
    <w:pPr>
      <w:spacing w:line="240" w:lineRule="auto"/>
    </w:pPr>
    <w:rPr>
      <w:lang w:val="en-GB"/>
    </w:rPr>
  </w:style>
  <w:style w:type="character" w:styleId="CommentReference">
    <w:name w:val="annotation reference"/>
    <w:basedOn w:val="DefaultParagraphFont"/>
    <w:semiHidden/>
    <w:unhideWhenUsed/>
    <w:rsid w:val="00267F68"/>
    <w:rPr>
      <w:sz w:val="16"/>
      <w:szCs w:val="16"/>
    </w:rPr>
  </w:style>
  <w:style w:type="paragraph" w:styleId="CommentText">
    <w:name w:val="annotation text"/>
    <w:basedOn w:val="Normal"/>
    <w:link w:val="CommentTextChar"/>
    <w:unhideWhenUsed/>
    <w:rsid w:val="00267F68"/>
    <w:pPr>
      <w:spacing w:line="240" w:lineRule="auto"/>
    </w:pPr>
  </w:style>
  <w:style w:type="character" w:customStyle="1" w:styleId="CommentTextChar">
    <w:name w:val="Comment Text Char"/>
    <w:basedOn w:val="DefaultParagraphFont"/>
    <w:link w:val="CommentText"/>
    <w:rsid w:val="00267F68"/>
    <w:rPr>
      <w:lang w:val="en-GB"/>
    </w:rPr>
  </w:style>
  <w:style w:type="character" w:customStyle="1" w:styleId="HeaderChar">
    <w:name w:val="Header Char"/>
    <w:aliases w:val="6_G Char"/>
    <w:basedOn w:val="DefaultParagraphFont"/>
    <w:link w:val="Header"/>
    <w:uiPriority w:val="99"/>
    <w:rsid w:val="00F14627"/>
    <w:rPr>
      <w:b/>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ece.org/transport/vehicle-regulations/wp29/resolution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rrano\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30602160EB3274F94867E6F428CE9FF" ma:contentTypeVersion="12" ma:contentTypeDescription="新しいドキュメントを作成します。" ma:contentTypeScope="" ma:versionID="6a9779c9fff01c30357d71b70bd36c08">
  <xsd:schema xmlns:xsd="http://www.w3.org/2001/XMLSchema" xmlns:xs="http://www.w3.org/2001/XMLSchema" xmlns:p="http://schemas.microsoft.com/office/2006/metadata/properties" xmlns:ns2="8e8d8cc2-7c2a-4b06-aec0-134ff7eca1fd" xmlns:ns3="af8913aa-df35-49d8-ab06-b7b4bb379af9" targetNamespace="http://schemas.microsoft.com/office/2006/metadata/properties" ma:root="true" ma:fieldsID="7421ce895893285b7ccf08ac90544b73" ns2:_="" ns3:_="">
    <xsd:import namespace="8e8d8cc2-7c2a-4b06-aec0-134ff7eca1fd"/>
    <xsd:import namespace="af8913aa-df35-49d8-ab06-b7b4bb379af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8d8cc2-7c2a-4b06-aec0-134ff7eca1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01df557-eeb5-435c-8d7c-77a7fa12a98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8913aa-df35-49d8-ab06-b7b4bb379af9"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7218dddb-e204-4a20-bc87-6198706232a4}" ma:internalName="TaxCatchAll" ma:showField="CatchAllData" ma:web="af8913aa-df35-49d8-ab06-b7b4bb379a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e8d8cc2-7c2a-4b06-aec0-134ff7eca1fd">
      <Terms xmlns="http://schemas.microsoft.com/office/infopath/2007/PartnerControls"/>
    </lcf76f155ced4ddcb4097134ff3c332f>
    <TaxCatchAll xmlns="af8913aa-df35-49d8-ab06-b7b4bb379af9" xsi:nil="true"/>
  </documentManagement>
</p:properties>
</file>

<file path=customXml/itemProps1.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2.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3.xml><?xml version="1.0" encoding="utf-8"?>
<ds:datastoreItem xmlns:ds="http://schemas.openxmlformats.org/officeDocument/2006/customXml" ds:itemID="{62E67420-E1E4-44AC-A0FE-D3FF0513A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8d8cc2-7c2a-4b06-aec0-134ff7eca1fd"/>
    <ds:schemaRef ds:uri="af8913aa-df35-49d8-ab06-b7b4bb379a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8e8d8cc2-7c2a-4b06-aec0-134ff7eca1fd"/>
    <ds:schemaRef ds:uri="af8913aa-df35-49d8-ab06-b7b4bb379af9"/>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 id="{7fea2623-af8f-4fb8-b1cf-b63cc8e496aa}" enabled="1" method="Standard" siteId="{81fa766e-a349-4867-8bf4-ab35e250a08f}" contentBits="0" removed="0"/>
</clbl:labelList>
</file>

<file path=docProps/app.xml><?xml version="1.0" encoding="utf-8"?>
<Properties xmlns="http://schemas.openxmlformats.org/officeDocument/2006/extended-properties" xmlns:vt="http://schemas.openxmlformats.org/officeDocument/2006/docPropsVTypes">
  <Template>TRANS_WP29_E</Template>
  <TotalTime>8</TotalTime>
  <Pages>4</Pages>
  <Words>1316</Words>
  <Characters>7502</Characters>
  <Application>Microsoft Office Word</Application>
  <DocSecurity>0</DocSecurity>
  <Lines>62</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United Nations</vt:lpstr>
    </vt:vector>
  </TitlesOfParts>
  <Company>CSD</Company>
  <LinksUpToDate>false</LinksUpToDate>
  <CharactersWithSpaces>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ECE/TRANS/WP.29/GRSP/2025/33</dc:title>
  <dc:creator>ST/SG/AC.10/1/Rev.23/Corr.1</dc:creator>
  <cp:lastModifiedBy>Borg, Ann-Kristin (akb)</cp:lastModifiedBy>
  <cp:revision>3</cp:revision>
  <cp:lastPrinted>2025-09-18T16:28:00Z</cp:lastPrinted>
  <dcterms:created xsi:type="dcterms:W3CDTF">2025-11-26T07:02:00Z</dcterms:created>
  <dcterms:modified xsi:type="dcterms:W3CDTF">2025-11-28T11:48:00Z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0x010100530602160EB3274F94867E6F428CE9FF</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