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B063F63" w14:textId="77777777" w:rsidTr="00B20551">
        <w:trPr>
          <w:cantSplit/>
          <w:trHeight w:hRule="exact" w:val="851"/>
        </w:trPr>
        <w:tc>
          <w:tcPr>
            <w:tcW w:w="1276" w:type="dxa"/>
            <w:tcBorders>
              <w:bottom w:val="single" w:sz="4" w:space="0" w:color="auto"/>
            </w:tcBorders>
            <w:vAlign w:val="bottom"/>
          </w:tcPr>
          <w:p w14:paraId="33239B36" w14:textId="77777777" w:rsidR="009E6CB7" w:rsidRDefault="009E6CB7" w:rsidP="00B20551">
            <w:pPr>
              <w:spacing w:after="80"/>
            </w:pPr>
          </w:p>
        </w:tc>
        <w:tc>
          <w:tcPr>
            <w:tcW w:w="2268" w:type="dxa"/>
            <w:tcBorders>
              <w:bottom w:val="single" w:sz="4" w:space="0" w:color="auto"/>
            </w:tcBorders>
            <w:vAlign w:val="bottom"/>
          </w:tcPr>
          <w:p w14:paraId="780647A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3F78DC3" w14:textId="504986C1" w:rsidR="009E6CB7" w:rsidRPr="00D47EEA" w:rsidRDefault="000F745C" w:rsidP="000F745C">
            <w:pPr>
              <w:jc w:val="right"/>
            </w:pPr>
            <w:r w:rsidRPr="000F745C">
              <w:rPr>
                <w:sz w:val="40"/>
              </w:rPr>
              <w:t>ECE</w:t>
            </w:r>
            <w:r>
              <w:t>/TRANS/WP.29/GRSP/2025/6</w:t>
            </w:r>
          </w:p>
        </w:tc>
      </w:tr>
      <w:tr w:rsidR="009E6CB7" w14:paraId="432DF505" w14:textId="77777777" w:rsidTr="00B20551">
        <w:trPr>
          <w:cantSplit/>
          <w:trHeight w:hRule="exact" w:val="2835"/>
        </w:trPr>
        <w:tc>
          <w:tcPr>
            <w:tcW w:w="1276" w:type="dxa"/>
            <w:tcBorders>
              <w:top w:val="single" w:sz="4" w:space="0" w:color="auto"/>
              <w:bottom w:val="single" w:sz="12" w:space="0" w:color="auto"/>
            </w:tcBorders>
          </w:tcPr>
          <w:p w14:paraId="69BAB917" w14:textId="77777777" w:rsidR="009E6CB7" w:rsidRDefault="00686A48" w:rsidP="00B20551">
            <w:pPr>
              <w:spacing w:before="120"/>
            </w:pPr>
            <w:r>
              <w:rPr>
                <w:noProof/>
                <w:lang w:val="fr-CH" w:eastAsia="fr-CH"/>
              </w:rPr>
              <w:drawing>
                <wp:inline distT="0" distB="0" distL="0" distR="0" wp14:anchorId="6A4A61A4" wp14:editId="4290D31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B5B989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CF4DDF2" w14:textId="77777777" w:rsidR="009E6CB7" w:rsidRDefault="000F745C" w:rsidP="000F745C">
            <w:pPr>
              <w:spacing w:before="240" w:line="240" w:lineRule="exact"/>
            </w:pPr>
            <w:r>
              <w:t>Distr.: General</w:t>
            </w:r>
          </w:p>
          <w:p w14:paraId="7211DE97" w14:textId="77793D6B" w:rsidR="000F745C" w:rsidRDefault="00E6537C" w:rsidP="000F745C">
            <w:pPr>
              <w:spacing w:line="240" w:lineRule="exact"/>
            </w:pPr>
            <w:r>
              <w:t xml:space="preserve">17 </w:t>
            </w:r>
            <w:r w:rsidR="000F745C">
              <w:t>February 2025</w:t>
            </w:r>
          </w:p>
          <w:p w14:paraId="201F5DCE" w14:textId="77777777" w:rsidR="000F745C" w:rsidRDefault="000F745C" w:rsidP="000F745C">
            <w:pPr>
              <w:spacing w:line="240" w:lineRule="exact"/>
            </w:pPr>
          </w:p>
          <w:p w14:paraId="43F9047C" w14:textId="6E5E6307" w:rsidR="000F745C" w:rsidRDefault="000F745C" w:rsidP="000F745C">
            <w:pPr>
              <w:spacing w:line="240" w:lineRule="exact"/>
            </w:pPr>
            <w:r>
              <w:t>Original: English</w:t>
            </w:r>
          </w:p>
        </w:tc>
      </w:tr>
    </w:tbl>
    <w:p w14:paraId="7D7C8C94" w14:textId="77777777" w:rsidR="00612C44" w:rsidRPr="00371D53" w:rsidRDefault="00612C44" w:rsidP="00612C44">
      <w:pPr>
        <w:spacing w:before="120"/>
        <w:rPr>
          <w:b/>
          <w:sz w:val="28"/>
          <w:szCs w:val="28"/>
        </w:rPr>
      </w:pPr>
      <w:r w:rsidRPr="00371D53">
        <w:rPr>
          <w:b/>
          <w:sz w:val="28"/>
          <w:szCs w:val="28"/>
        </w:rPr>
        <w:t>Economic Commission for Europe</w:t>
      </w:r>
    </w:p>
    <w:p w14:paraId="2E29FF08" w14:textId="77777777" w:rsidR="00612C44" w:rsidRPr="00371D53" w:rsidRDefault="00612C44" w:rsidP="00612C44">
      <w:pPr>
        <w:spacing w:before="120"/>
        <w:rPr>
          <w:sz w:val="28"/>
          <w:szCs w:val="28"/>
        </w:rPr>
      </w:pPr>
      <w:r w:rsidRPr="00371D53">
        <w:rPr>
          <w:sz w:val="28"/>
          <w:szCs w:val="28"/>
        </w:rPr>
        <w:t>Inland Transport Committee</w:t>
      </w:r>
    </w:p>
    <w:p w14:paraId="1C2993B9" w14:textId="77777777" w:rsidR="00612C44" w:rsidRPr="00371D53" w:rsidRDefault="00612C44" w:rsidP="00612C44">
      <w:pPr>
        <w:spacing w:before="120"/>
        <w:rPr>
          <w:b/>
          <w:sz w:val="24"/>
          <w:szCs w:val="24"/>
        </w:rPr>
      </w:pPr>
      <w:r w:rsidRPr="00371D53">
        <w:rPr>
          <w:b/>
          <w:sz w:val="24"/>
          <w:szCs w:val="24"/>
        </w:rPr>
        <w:t>World Forum for Harmonization of Vehicle Regulations</w:t>
      </w:r>
    </w:p>
    <w:p w14:paraId="0214F46E" w14:textId="77777777" w:rsidR="00612C44" w:rsidRPr="00371D53" w:rsidRDefault="00612C44" w:rsidP="00612C44">
      <w:pPr>
        <w:spacing w:before="120" w:after="120"/>
        <w:rPr>
          <w:b/>
          <w:bCs/>
        </w:rPr>
      </w:pPr>
      <w:r w:rsidRPr="00371D53">
        <w:rPr>
          <w:b/>
          <w:bCs/>
        </w:rPr>
        <w:t>Working Party on Passive Safety</w:t>
      </w:r>
    </w:p>
    <w:p w14:paraId="78F1D9BA" w14:textId="77777777" w:rsidR="00612C44" w:rsidRPr="00371D53" w:rsidRDefault="00612C44" w:rsidP="00612C44">
      <w:pPr>
        <w:rPr>
          <w:b/>
        </w:rPr>
      </w:pPr>
      <w:r w:rsidRPr="00371D53">
        <w:rPr>
          <w:b/>
        </w:rPr>
        <w:t>Seventy-</w:t>
      </w:r>
      <w:r>
        <w:rPr>
          <w:b/>
        </w:rPr>
        <w:t>seventh</w:t>
      </w:r>
      <w:r w:rsidRPr="00371D53">
        <w:rPr>
          <w:b/>
        </w:rPr>
        <w:t xml:space="preserve"> session </w:t>
      </w:r>
    </w:p>
    <w:p w14:paraId="713AB67F" w14:textId="77777777" w:rsidR="00612C44" w:rsidRPr="002A0B83" w:rsidRDefault="00612C44" w:rsidP="00612C44">
      <w:pPr>
        <w:spacing w:line="240" w:lineRule="auto"/>
      </w:pPr>
      <w:r w:rsidRPr="002A0B83">
        <w:t>Geneva, 5–9 May 2025</w:t>
      </w:r>
    </w:p>
    <w:p w14:paraId="4586A16A" w14:textId="77777777" w:rsidR="00D93B20" w:rsidRPr="00B16B68" w:rsidRDefault="00D93B20" w:rsidP="00D93B20">
      <w:pPr>
        <w:rPr>
          <w:rFonts w:asciiTheme="majorBidi" w:hAnsiTheme="majorBidi" w:cstheme="majorBidi"/>
        </w:rPr>
      </w:pPr>
      <w:r w:rsidRPr="00B16B68">
        <w:rPr>
          <w:rFonts w:asciiTheme="majorBidi" w:hAnsiTheme="majorBidi" w:cstheme="majorBidi"/>
        </w:rPr>
        <w:t xml:space="preserve">Item </w:t>
      </w:r>
      <w:r>
        <w:rPr>
          <w:rFonts w:asciiTheme="majorBidi" w:hAnsiTheme="majorBidi" w:cstheme="majorBidi"/>
        </w:rPr>
        <w:t>1</w:t>
      </w:r>
      <w:r w:rsidRPr="00B16B68">
        <w:rPr>
          <w:rFonts w:asciiTheme="majorBidi" w:hAnsiTheme="majorBidi" w:cstheme="majorBidi"/>
        </w:rPr>
        <w:t>7 of the provisional agenda</w:t>
      </w:r>
    </w:p>
    <w:p w14:paraId="58EB330D" w14:textId="77777777" w:rsidR="00D93B20" w:rsidRPr="00B16B68" w:rsidRDefault="00D93B20" w:rsidP="00D93B20">
      <w:r w:rsidRPr="00B16B68">
        <w:rPr>
          <w:b/>
        </w:rPr>
        <w:t>UN Regulation No. 1</w:t>
      </w:r>
      <w:r>
        <w:rPr>
          <w:b/>
        </w:rPr>
        <w:t>74</w:t>
      </w:r>
      <w:r w:rsidRPr="00B16B68">
        <w:rPr>
          <w:b/>
        </w:rPr>
        <w:t xml:space="preserve"> (Safety-belt</w:t>
      </w:r>
      <w:r>
        <w:rPr>
          <w:b/>
        </w:rPr>
        <w:t xml:space="preserve"> reminder</w:t>
      </w:r>
      <w:r w:rsidRPr="00B16B68">
        <w:rPr>
          <w:b/>
        </w:rPr>
        <w:t>s)</w:t>
      </w:r>
    </w:p>
    <w:p w14:paraId="2954EE67" w14:textId="761010B1" w:rsidR="00612C44" w:rsidRDefault="00612C44" w:rsidP="00612C44">
      <w:pPr>
        <w:pStyle w:val="HChG"/>
      </w:pPr>
      <w:r>
        <w:tab/>
      </w:r>
      <w:r>
        <w:tab/>
      </w:r>
      <w:r w:rsidR="00597934" w:rsidRPr="00B16B68">
        <w:t xml:space="preserve">Proposal for a </w:t>
      </w:r>
      <w:r w:rsidR="00597934">
        <w:t xml:space="preserve">corrigendum to </w:t>
      </w:r>
      <w:r w:rsidR="00597934" w:rsidRPr="00B16B68">
        <w:t xml:space="preserve">UN Regulation </w:t>
      </w:r>
      <w:r w:rsidR="00597934">
        <w:t>No. 174 (Safety-belt reminders</w:t>
      </w:r>
      <w:r>
        <w:t>)</w:t>
      </w:r>
    </w:p>
    <w:p w14:paraId="3A4AB00C" w14:textId="651ACBA9" w:rsidR="00612C44" w:rsidRDefault="00612C44" w:rsidP="00612C44">
      <w:pPr>
        <w:pStyle w:val="H1G"/>
        <w:rPr>
          <w:sz w:val="20"/>
        </w:rPr>
      </w:pPr>
      <w:r>
        <w:tab/>
      </w:r>
      <w:r>
        <w:tab/>
      </w:r>
      <w:r w:rsidR="00FB656C">
        <w:t>S</w:t>
      </w:r>
      <w:r w:rsidR="00FB656C" w:rsidRPr="00B16B68">
        <w:t xml:space="preserve">ubmitted by the </w:t>
      </w:r>
      <w:r w:rsidR="00FB656C">
        <w:rPr>
          <w:spacing w:val="-4"/>
        </w:rPr>
        <w:t>expert from the Kingdom of the Netherlands</w:t>
      </w:r>
      <w:r w:rsidRPr="00122355">
        <w:rPr>
          <w:rStyle w:val="FootnoteReference"/>
          <w:sz w:val="20"/>
          <w:vertAlign w:val="baseline"/>
        </w:rPr>
        <w:footnoteReference w:customMarkFollows="1" w:id="2"/>
        <w:t>*</w:t>
      </w:r>
    </w:p>
    <w:p w14:paraId="5E5092E6" w14:textId="64898F83" w:rsidR="00612C44" w:rsidRPr="000859D3" w:rsidRDefault="00612C44" w:rsidP="00627313">
      <w:pPr>
        <w:pStyle w:val="SingleTxtG"/>
      </w:pPr>
      <w:r>
        <w:rPr>
          <w:rStyle w:val="FootnoteReference"/>
          <w:sz w:val="20"/>
          <w:vertAlign w:val="baseline"/>
        </w:rPr>
        <w:tab/>
      </w:r>
      <w:r w:rsidR="008C6BBB" w:rsidRPr="008C6BBB">
        <w:rPr>
          <w:rStyle w:val="FootnoteReference"/>
          <w:sz w:val="20"/>
          <w:vertAlign w:val="baseline"/>
        </w:rPr>
        <w:t xml:space="preserve">The text reproduced below was prepared by the expert </w:t>
      </w:r>
      <w:r w:rsidR="008C6BBB">
        <w:rPr>
          <w:rStyle w:val="FootnoteReference"/>
          <w:sz w:val="20"/>
          <w:vertAlign w:val="baseline"/>
        </w:rPr>
        <w:t>f</w:t>
      </w:r>
      <w:r w:rsidR="008C6BBB">
        <w:t xml:space="preserve">rom </w:t>
      </w:r>
      <w:r w:rsidR="008C6BBB" w:rsidRPr="008C6BBB">
        <w:rPr>
          <w:rStyle w:val="FootnoteReference"/>
          <w:sz w:val="20"/>
          <w:vertAlign w:val="baseline"/>
        </w:rPr>
        <w:t>the Kingdom of the Netherlands</w:t>
      </w:r>
      <w:r w:rsidR="00627313" w:rsidRPr="00627313">
        <w:rPr>
          <w:rStyle w:val="FootnoteReference"/>
          <w:sz w:val="20"/>
          <w:vertAlign w:val="baseline"/>
        </w:rPr>
        <w:t xml:space="preserve"> </w:t>
      </w:r>
      <w:r w:rsidR="00627313" w:rsidRPr="008C6BBB">
        <w:rPr>
          <w:rStyle w:val="FootnoteReference"/>
          <w:sz w:val="20"/>
          <w:vertAlign w:val="baseline"/>
        </w:rPr>
        <w:t>to add the</w:t>
      </w:r>
      <w:r w:rsidR="00627313">
        <w:rPr>
          <w:rStyle w:val="FootnoteReference"/>
          <w:sz w:val="20"/>
          <w:vertAlign w:val="baseline"/>
        </w:rPr>
        <w:t xml:space="preserve"> </w:t>
      </w:r>
      <w:r w:rsidR="00627313">
        <w:t>self-reference to</w:t>
      </w:r>
      <w:r w:rsidR="00627313" w:rsidRPr="008C6BBB">
        <w:rPr>
          <w:rStyle w:val="FootnoteReference"/>
          <w:sz w:val="20"/>
          <w:vertAlign w:val="baseline"/>
        </w:rPr>
        <w:t xml:space="preserve"> </w:t>
      </w:r>
      <w:r w:rsidR="006A6B20">
        <w:t xml:space="preserve">UN </w:t>
      </w:r>
      <w:r w:rsidR="00627313" w:rsidRPr="008C6BBB">
        <w:rPr>
          <w:rStyle w:val="FootnoteReference"/>
          <w:sz w:val="20"/>
          <w:vertAlign w:val="baseline"/>
        </w:rPr>
        <w:t>Regulation No. 174 in section 0</w:t>
      </w:r>
      <w:r w:rsidR="008C6BBB" w:rsidRPr="008C6BBB">
        <w:rPr>
          <w:rStyle w:val="FootnoteReference"/>
          <w:sz w:val="20"/>
          <w:vertAlign w:val="baseline"/>
        </w:rPr>
        <w:t xml:space="preserve"> </w:t>
      </w:r>
      <w:r w:rsidR="00627313">
        <w:rPr>
          <w:rStyle w:val="FootnoteReference"/>
          <w:sz w:val="20"/>
          <w:vertAlign w:val="baseline"/>
        </w:rPr>
        <w:t>a</w:t>
      </w:r>
      <w:r w:rsidR="00627313">
        <w:t xml:space="preserve">nd </w:t>
      </w:r>
      <w:r w:rsidR="008C6BBB" w:rsidRPr="008C6BBB">
        <w:rPr>
          <w:rStyle w:val="FootnoteReference"/>
          <w:sz w:val="20"/>
          <w:vertAlign w:val="baseline"/>
        </w:rPr>
        <w:t>to correct</w:t>
      </w:r>
      <w:r w:rsidR="006A6B20">
        <w:t xml:space="preserve"> the</w:t>
      </w:r>
      <w:r w:rsidR="008C6BBB" w:rsidRPr="008C6BBB">
        <w:rPr>
          <w:rStyle w:val="FootnoteReference"/>
          <w:sz w:val="20"/>
          <w:vertAlign w:val="baseline"/>
        </w:rPr>
        <w:t xml:space="preserve"> references to paragraphs 5.2.4.1.1. and 5.2.4.1.3</w:t>
      </w:r>
      <w:r w:rsidR="005E488F">
        <w:t>.</w:t>
      </w:r>
      <w:r w:rsidR="006A6B20">
        <w:t xml:space="preserve"> in paragraph 2.5</w:t>
      </w:r>
      <w:r w:rsidR="008C6BBB" w:rsidRPr="008C6BBB">
        <w:rPr>
          <w:rStyle w:val="FootnoteReference"/>
          <w:sz w:val="20"/>
          <w:vertAlign w:val="baseline"/>
        </w:rPr>
        <w:t>.</w:t>
      </w:r>
      <w:r w:rsidR="00627313">
        <w:t xml:space="preserve"> </w:t>
      </w:r>
      <w:r w:rsidR="00627313">
        <w:rPr>
          <w:rStyle w:val="FootnoteReference"/>
          <w:sz w:val="20"/>
          <w:vertAlign w:val="baseline"/>
        </w:rPr>
        <w:t>A</w:t>
      </w:r>
      <w:r w:rsidR="00627313">
        <w:t xml:space="preserve">mendments </w:t>
      </w:r>
      <w:r w:rsidR="008C6BBB" w:rsidRPr="008C6BBB">
        <w:rPr>
          <w:rStyle w:val="FootnoteReference"/>
          <w:sz w:val="20"/>
          <w:vertAlign w:val="baseline"/>
        </w:rPr>
        <w:t xml:space="preserve">to the current text of UN Regulation </w:t>
      </w:r>
      <w:r w:rsidR="00627313">
        <w:rPr>
          <w:rStyle w:val="FootnoteReference"/>
          <w:sz w:val="20"/>
          <w:vertAlign w:val="baseline"/>
        </w:rPr>
        <w:t>N</w:t>
      </w:r>
      <w:r w:rsidR="00627313">
        <w:t xml:space="preserve">o. 174 </w:t>
      </w:r>
      <w:r w:rsidR="008C6BBB" w:rsidRPr="008C6BBB">
        <w:rPr>
          <w:rStyle w:val="FootnoteReference"/>
          <w:sz w:val="20"/>
          <w:vertAlign w:val="baseline"/>
        </w:rPr>
        <w:t>are marked in bold for new or strikethrough for deleted characters.</w:t>
      </w:r>
    </w:p>
    <w:p w14:paraId="1953E5C8" w14:textId="7C9423B2" w:rsidR="00627313" w:rsidRDefault="00627313">
      <w:r>
        <w:br w:type="page"/>
      </w:r>
    </w:p>
    <w:p w14:paraId="0FA00C2F" w14:textId="417687D8" w:rsidR="00F60DD0" w:rsidRPr="00B16B68" w:rsidRDefault="00F60DD0" w:rsidP="00F60DD0">
      <w:pPr>
        <w:pStyle w:val="HChG"/>
      </w:pPr>
      <w:r>
        <w:lastRenderedPageBreak/>
        <w:tab/>
        <w:t>I.</w:t>
      </w:r>
      <w:r>
        <w:tab/>
      </w:r>
      <w:r w:rsidRPr="00B16B68">
        <w:t>Proposal</w:t>
      </w:r>
      <w:bookmarkStart w:id="0" w:name="_Toc387935141"/>
      <w:bookmarkStart w:id="1" w:name="_Toc397517931"/>
      <w:bookmarkStart w:id="2" w:name="_Toc456777134"/>
    </w:p>
    <w:p w14:paraId="0A0029D7" w14:textId="77777777" w:rsidR="00F60DD0" w:rsidRPr="008A627A" w:rsidRDefault="00F60DD0" w:rsidP="00267E92">
      <w:pPr>
        <w:pStyle w:val="SingleTxtG"/>
        <w:rPr>
          <w:b/>
        </w:rPr>
      </w:pPr>
      <w:bookmarkStart w:id="3" w:name="_Toc120016730"/>
      <w:bookmarkEnd w:id="0"/>
      <w:bookmarkEnd w:id="1"/>
      <w:bookmarkEnd w:id="2"/>
      <w:r w:rsidRPr="006C3CA9">
        <w:rPr>
          <w:i/>
          <w:iCs/>
        </w:rPr>
        <w:t xml:space="preserve">Paragraph </w:t>
      </w:r>
      <w:r>
        <w:rPr>
          <w:i/>
          <w:iCs/>
        </w:rPr>
        <w:t>0</w:t>
      </w:r>
      <w:r w:rsidRPr="006C3CA9">
        <w:rPr>
          <w:i/>
          <w:iCs/>
        </w:rPr>
        <w:t>.,</w:t>
      </w:r>
      <w:r w:rsidRPr="006C3CA9">
        <w:t xml:space="preserve"> </w:t>
      </w:r>
      <w:r>
        <w:t>amend to read:</w:t>
      </w:r>
    </w:p>
    <w:bookmarkEnd w:id="3"/>
    <w:p w14:paraId="672BE88A" w14:textId="3DF65C15" w:rsidR="00252DA2" w:rsidRPr="00B16B68" w:rsidRDefault="00252DA2" w:rsidP="00252DA2">
      <w:pPr>
        <w:pStyle w:val="HChG"/>
        <w:tabs>
          <w:tab w:val="left" w:pos="2268"/>
        </w:tabs>
        <w:ind w:left="2268"/>
      </w:pPr>
      <w:r>
        <w:t>“</w:t>
      </w:r>
      <w:r w:rsidRPr="00B16B68">
        <w:t>0.</w:t>
      </w:r>
      <w:r w:rsidRPr="00B16B68">
        <w:tab/>
      </w:r>
      <w:r w:rsidRPr="00B16B68">
        <w:tab/>
        <w:t>Introduction</w:t>
      </w:r>
    </w:p>
    <w:p w14:paraId="1A84F6B6" w14:textId="5B521474" w:rsidR="00252DA2" w:rsidRPr="00B16B68" w:rsidRDefault="00252DA2" w:rsidP="00252DA2">
      <w:pPr>
        <w:pStyle w:val="SingleTxtG"/>
        <w:tabs>
          <w:tab w:val="clear" w:pos="2268"/>
          <w:tab w:val="clear" w:pos="2835"/>
        </w:tabs>
        <w:ind w:left="2268"/>
      </w:pPr>
      <w:r w:rsidRPr="00B16B68">
        <w:t>During the seventy-third session of the Working Party on Passive Safety (GRSP)</w:t>
      </w:r>
      <w:r w:rsidR="000205BC">
        <w:t xml:space="preserve"> </w:t>
      </w:r>
      <w:r w:rsidRPr="00B16B68">
        <w:t>held in May 2023, it was decided to split UN Regulation No. 16 into three UN Regulations:</w:t>
      </w:r>
    </w:p>
    <w:p w14:paraId="79F97244" w14:textId="77777777" w:rsidR="00252DA2" w:rsidRPr="00B16B68" w:rsidRDefault="00252DA2" w:rsidP="00252DA2">
      <w:pPr>
        <w:pStyle w:val="SingleTxtG"/>
        <w:ind w:left="2835" w:hanging="1134"/>
      </w:pPr>
      <w:r w:rsidRPr="00B16B68">
        <w:tab/>
        <w:t>- safety-belts and restraint systems (components)</w:t>
      </w:r>
    </w:p>
    <w:p w14:paraId="71A185D9" w14:textId="77777777" w:rsidR="00252DA2" w:rsidRPr="00B16B68" w:rsidRDefault="00252DA2" w:rsidP="00252DA2">
      <w:pPr>
        <w:pStyle w:val="SingleTxtG"/>
        <w:ind w:left="2835" w:hanging="1134"/>
      </w:pPr>
      <w:r w:rsidRPr="00B16B68">
        <w:tab/>
        <w:t xml:space="preserve">- safety-belts and child restraint systems installation (vehicle) </w:t>
      </w:r>
    </w:p>
    <w:p w14:paraId="5C98CC71" w14:textId="77777777" w:rsidR="00252DA2" w:rsidRPr="00B16B68" w:rsidRDefault="00252DA2" w:rsidP="00252DA2">
      <w:pPr>
        <w:pStyle w:val="SingleTxtG"/>
        <w:ind w:left="2835" w:hanging="1134"/>
      </w:pPr>
      <w:r w:rsidRPr="00B16B68">
        <w:tab/>
        <w:t>- safety-belt reminders (vehicle)</w:t>
      </w:r>
    </w:p>
    <w:p w14:paraId="6CE7F991" w14:textId="444D7C05" w:rsidR="00252DA2" w:rsidRPr="00B16B68" w:rsidRDefault="00252DA2" w:rsidP="00252DA2">
      <w:pPr>
        <w:pStyle w:val="SingleTxtG"/>
        <w:ind w:left="2268" w:hanging="1134"/>
      </w:pPr>
      <w:r w:rsidRPr="00B16B68">
        <w:tab/>
      </w:r>
      <w:r>
        <w:tab/>
      </w:r>
      <w:r w:rsidRPr="00B16B68">
        <w:t xml:space="preserve">UN Regulation No. </w:t>
      </w:r>
      <w:r w:rsidRPr="002A57CE">
        <w:rPr>
          <w:strike/>
        </w:rPr>
        <w:t>XXX</w:t>
      </w:r>
      <w:r w:rsidRPr="00B16B68" w:rsidDel="004B4248">
        <w:t xml:space="preserve"> </w:t>
      </w:r>
      <w:r w:rsidR="002A57CE" w:rsidRPr="002A57CE">
        <w:rPr>
          <w:b/>
          <w:bCs/>
        </w:rPr>
        <w:t>174</w:t>
      </w:r>
      <w:r w:rsidR="002A57CE">
        <w:t xml:space="preserve"> </w:t>
      </w:r>
      <w:r w:rsidRPr="00B16B68">
        <w:t xml:space="preserve">consists of the specific requirements and approval process of a vehicle type </w:t>
      </w:r>
      <w:proofErr w:type="gramStart"/>
      <w:r w:rsidRPr="00B16B68">
        <w:t>with regard to</w:t>
      </w:r>
      <w:proofErr w:type="gramEnd"/>
      <w:r w:rsidRPr="00B16B68">
        <w:t xml:space="preserve"> its safety-belt reminders. The requirements are derived from UN Regulation No. 16 as amended by the 09 series of amendments. From a technical point of view, the requirements are identical. Therefore, it is important to define clear transitional provisions in the updated UN Regulation No. 16 as amended by the 10 series of amendments, explaining the equivalence between approvals issued according to this UN Regulation and UN Regulation No. 16 as amended by the 09 series of amendments.</w:t>
      </w:r>
      <w:r w:rsidR="002A57CE">
        <w:t>”</w:t>
      </w:r>
    </w:p>
    <w:p w14:paraId="60276A06" w14:textId="77777777" w:rsidR="00F60DD0" w:rsidRDefault="00F60DD0" w:rsidP="004C3987">
      <w:pPr>
        <w:pStyle w:val="SingleTxtG"/>
      </w:pPr>
      <w:r w:rsidRPr="006C3CA9">
        <w:rPr>
          <w:i/>
          <w:iCs/>
        </w:rPr>
        <w:t>Paragraph 2.5.,</w:t>
      </w:r>
      <w:r w:rsidRPr="006C3CA9">
        <w:t xml:space="preserve"> </w:t>
      </w:r>
      <w:r>
        <w:t>amend to read:</w:t>
      </w:r>
    </w:p>
    <w:p w14:paraId="0B5E56D2" w14:textId="79AA10BE" w:rsidR="000103B4" w:rsidRPr="00B16B68" w:rsidRDefault="000103B4" w:rsidP="000103B4">
      <w:pPr>
        <w:pStyle w:val="SingleTxtG"/>
        <w:ind w:left="2268" w:hanging="1134"/>
        <w:rPr>
          <w:lang w:eastAsia="ja-JP"/>
        </w:rPr>
      </w:pPr>
      <w:r>
        <w:t>“</w:t>
      </w:r>
      <w:r w:rsidRPr="00B16B68">
        <w:t>2.5.</w:t>
      </w:r>
      <w:r w:rsidRPr="00B16B68">
        <w:tab/>
      </w:r>
      <w:r>
        <w:tab/>
      </w:r>
      <w:r w:rsidRPr="00B16B68">
        <w:rPr>
          <w:lang w:eastAsia="ja-JP"/>
        </w:rPr>
        <w:t>"</w:t>
      </w:r>
      <w:r w:rsidRPr="00B16B68">
        <w:rPr>
          <w:i/>
        </w:rPr>
        <w:t>Second level warning</w:t>
      </w:r>
      <w:r w:rsidRPr="00B16B68">
        <w:rPr>
          <w:lang w:eastAsia="ja-JP"/>
        </w:rPr>
        <w:t>"</w:t>
      </w:r>
      <w:r w:rsidRPr="00B16B68">
        <w:t xml:space="preserve"> means a visual and audible warning activated when </w:t>
      </w:r>
      <w:r w:rsidRPr="00B16B68">
        <w:rPr>
          <w:lang w:eastAsia="ja-JP"/>
        </w:rPr>
        <w:t xml:space="preserve">the </w:t>
      </w:r>
      <w:r w:rsidRPr="00B16B68">
        <w:t xml:space="preserve">vehicle </w:t>
      </w:r>
      <w:r w:rsidRPr="00B16B68">
        <w:rPr>
          <w:lang w:eastAsia="ja-JP"/>
        </w:rPr>
        <w:t xml:space="preserve">is operated in accordance with paragraphs  </w:t>
      </w:r>
      <w:r w:rsidRPr="006C224B">
        <w:rPr>
          <w:strike/>
          <w:lang w:eastAsia="ja-JP"/>
        </w:rPr>
        <w:t>8.4.2.4.1.1.</w:t>
      </w:r>
      <w:r>
        <w:rPr>
          <w:lang w:eastAsia="ja-JP"/>
        </w:rPr>
        <w:t xml:space="preserve"> </w:t>
      </w:r>
      <w:r w:rsidRPr="006C224B">
        <w:rPr>
          <w:b/>
          <w:bCs/>
          <w:lang w:eastAsia="ja-JP"/>
        </w:rPr>
        <w:t>5.2.4.1.1.</w:t>
      </w:r>
      <w:r w:rsidRPr="00B16B68">
        <w:rPr>
          <w:lang w:eastAsia="ja-JP"/>
        </w:rPr>
        <w:t xml:space="preserve"> to </w:t>
      </w:r>
      <w:r w:rsidRPr="006C224B">
        <w:rPr>
          <w:strike/>
          <w:lang w:eastAsia="ja-JP"/>
        </w:rPr>
        <w:t>8.4.2.4.1.3.</w:t>
      </w:r>
      <w:r w:rsidRPr="00B16B68">
        <w:rPr>
          <w:lang w:eastAsia="ja-JP"/>
        </w:rPr>
        <w:t xml:space="preserve"> </w:t>
      </w:r>
      <w:r w:rsidRPr="006C224B">
        <w:rPr>
          <w:b/>
          <w:bCs/>
          <w:lang w:eastAsia="ja-JP"/>
        </w:rPr>
        <w:t>5.2.4.1.3.</w:t>
      </w:r>
      <w:r w:rsidRPr="00B16B68">
        <w:rPr>
          <w:lang w:eastAsia="ja-JP"/>
        </w:rPr>
        <w:t xml:space="preserve"> and when the safety-belt is or becomes unfastened, depending on the relevant seating position requirement.</w:t>
      </w:r>
      <w:r>
        <w:rPr>
          <w:lang w:eastAsia="ja-JP"/>
        </w:rPr>
        <w:t>”</w:t>
      </w:r>
    </w:p>
    <w:p w14:paraId="5A2A4DE9" w14:textId="64B905B8" w:rsidR="001C6663" w:rsidRPr="00270964" w:rsidRDefault="00270964" w:rsidP="00270964">
      <w:pPr>
        <w:spacing w:before="240"/>
        <w:jc w:val="center"/>
        <w:rPr>
          <w:u w:val="single"/>
        </w:rPr>
      </w:pPr>
      <w:r>
        <w:rPr>
          <w:u w:val="single"/>
        </w:rPr>
        <w:tab/>
      </w:r>
      <w:r>
        <w:rPr>
          <w:u w:val="single"/>
        </w:rPr>
        <w:tab/>
      </w:r>
      <w:r>
        <w:rPr>
          <w:u w:val="single"/>
        </w:rPr>
        <w:tab/>
      </w:r>
    </w:p>
    <w:sectPr w:rsidR="001C6663" w:rsidRPr="00270964" w:rsidSect="000F745C">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CEC6" w14:textId="77777777" w:rsidR="00DE148A" w:rsidRDefault="00DE148A"/>
  </w:endnote>
  <w:endnote w:type="continuationSeparator" w:id="0">
    <w:p w14:paraId="7B3D3467" w14:textId="77777777" w:rsidR="00DE148A" w:rsidRDefault="00DE148A"/>
  </w:endnote>
  <w:endnote w:type="continuationNotice" w:id="1">
    <w:p w14:paraId="6D56160F" w14:textId="77777777" w:rsidR="00DE148A" w:rsidRDefault="00DE1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DB90" w14:textId="0E6FB635" w:rsidR="000F745C" w:rsidRPr="000F745C" w:rsidRDefault="000F745C" w:rsidP="000F745C">
    <w:pPr>
      <w:pStyle w:val="Footer"/>
      <w:tabs>
        <w:tab w:val="right" w:pos="9638"/>
      </w:tabs>
      <w:rPr>
        <w:sz w:val="18"/>
      </w:rPr>
    </w:pPr>
    <w:r w:rsidRPr="000F745C">
      <w:rPr>
        <w:b/>
        <w:sz w:val="18"/>
      </w:rPr>
      <w:fldChar w:fldCharType="begin"/>
    </w:r>
    <w:r w:rsidRPr="000F745C">
      <w:rPr>
        <w:b/>
        <w:sz w:val="18"/>
      </w:rPr>
      <w:instrText xml:space="preserve"> PAGE  \* MERGEFORMAT </w:instrText>
    </w:r>
    <w:r w:rsidRPr="000F745C">
      <w:rPr>
        <w:b/>
        <w:sz w:val="18"/>
      </w:rPr>
      <w:fldChar w:fldCharType="separate"/>
    </w:r>
    <w:r w:rsidRPr="000F745C">
      <w:rPr>
        <w:b/>
        <w:noProof/>
        <w:sz w:val="18"/>
      </w:rPr>
      <w:t>2</w:t>
    </w:r>
    <w:r w:rsidRPr="000F745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C51A" w14:textId="6AD06921" w:rsidR="000F745C" w:rsidRPr="000F745C" w:rsidRDefault="000F745C" w:rsidP="000F745C">
    <w:pPr>
      <w:pStyle w:val="Footer"/>
      <w:tabs>
        <w:tab w:val="right" w:pos="9638"/>
      </w:tabs>
      <w:rPr>
        <w:b/>
        <w:sz w:val="18"/>
      </w:rPr>
    </w:pPr>
    <w:r>
      <w:tab/>
    </w:r>
    <w:r w:rsidRPr="000F745C">
      <w:rPr>
        <w:b/>
        <w:sz w:val="18"/>
      </w:rPr>
      <w:fldChar w:fldCharType="begin"/>
    </w:r>
    <w:r w:rsidRPr="000F745C">
      <w:rPr>
        <w:b/>
        <w:sz w:val="18"/>
      </w:rPr>
      <w:instrText xml:space="preserve"> PAGE  \* MERGEFORMAT </w:instrText>
    </w:r>
    <w:r w:rsidRPr="000F745C">
      <w:rPr>
        <w:b/>
        <w:sz w:val="18"/>
      </w:rPr>
      <w:fldChar w:fldCharType="separate"/>
    </w:r>
    <w:r w:rsidRPr="000F745C">
      <w:rPr>
        <w:b/>
        <w:noProof/>
        <w:sz w:val="18"/>
      </w:rPr>
      <w:t>3</w:t>
    </w:r>
    <w:r w:rsidRPr="000F745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85DC" w14:textId="77777777" w:rsidR="008276A1" w:rsidRDefault="008276A1" w:rsidP="008276A1">
    <w:pPr>
      <w:pStyle w:val="Footer"/>
    </w:pPr>
  </w:p>
  <w:p w14:paraId="74D970DE" w14:textId="3F695216" w:rsidR="008276A1" w:rsidRPr="008276A1" w:rsidRDefault="008276A1" w:rsidP="008276A1">
    <w:pPr>
      <w:pStyle w:val="Footer"/>
      <w:ind w:right="1134"/>
      <w:rPr>
        <w:sz w:val="20"/>
      </w:rPr>
    </w:pPr>
    <w:r>
      <w:rPr>
        <w:sz w:val="20"/>
      </w:rPr>
      <w:t>GE.25-02589  (E)</w:t>
    </w:r>
    <w:r>
      <w:rPr>
        <w:noProof/>
        <w:sz w:val="20"/>
      </w:rPr>
      <w:drawing>
        <wp:anchor distT="0" distB="0" distL="114300" distR="114300" simplePos="0" relativeHeight="251658240" behindDoc="0" locked="0" layoutInCell="1" allowOverlap="1" wp14:anchorId="6F773283" wp14:editId="4A0AB72F">
          <wp:simplePos x="0" y="0"/>
          <wp:positionH relativeFrom="margin">
            <wp:posOffset>5615940</wp:posOffset>
          </wp:positionH>
          <wp:positionV relativeFrom="margin">
            <wp:posOffset>8905875</wp:posOffset>
          </wp:positionV>
          <wp:extent cx="571500" cy="571500"/>
          <wp:effectExtent l="0" t="0" r="0" b="0"/>
          <wp:wrapNone/>
          <wp:docPr id="1255910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7554" w14:textId="77777777" w:rsidR="00DE148A" w:rsidRPr="000B175B" w:rsidRDefault="00DE148A" w:rsidP="000B175B">
      <w:pPr>
        <w:tabs>
          <w:tab w:val="right" w:pos="2155"/>
        </w:tabs>
        <w:spacing w:after="80"/>
        <w:ind w:left="680"/>
        <w:rPr>
          <w:u w:val="single"/>
        </w:rPr>
      </w:pPr>
      <w:r>
        <w:rPr>
          <w:u w:val="single"/>
        </w:rPr>
        <w:tab/>
      </w:r>
    </w:p>
  </w:footnote>
  <w:footnote w:type="continuationSeparator" w:id="0">
    <w:p w14:paraId="57A1695C" w14:textId="77777777" w:rsidR="00DE148A" w:rsidRPr="00FC68B7" w:rsidRDefault="00DE148A" w:rsidP="00FC68B7">
      <w:pPr>
        <w:tabs>
          <w:tab w:val="left" w:pos="2155"/>
        </w:tabs>
        <w:spacing w:after="80"/>
        <w:ind w:left="680"/>
        <w:rPr>
          <w:u w:val="single"/>
        </w:rPr>
      </w:pPr>
      <w:r>
        <w:rPr>
          <w:u w:val="single"/>
        </w:rPr>
        <w:tab/>
      </w:r>
    </w:p>
  </w:footnote>
  <w:footnote w:type="continuationNotice" w:id="1">
    <w:p w14:paraId="39168E6A" w14:textId="77777777" w:rsidR="00DE148A" w:rsidRDefault="00DE148A"/>
  </w:footnote>
  <w:footnote w:id="2">
    <w:p w14:paraId="542079E3" w14:textId="77777777" w:rsidR="00612C44" w:rsidRPr="00122355" w:rsidRDefault="00612C44" w:rsidP="00612C44">
      <w:pPr>
        <w:pStyle w:val="FootnoteText"/>
        <w:rPr>
          <w:lang w:val="en-US"/>
        </w:rPr>
      </w:pPr>
      <w:r w:rsidRPr="00A8733B">
        <w:rPr>
          <w:rStyle w:val="FootnoteReference"/>
          <w:sz w:val="20"/>
        </w:rPr>
        <w:tab/>
      </w:r>
      <w:r w:rsidRPr="00A8733B">
        <w:rPr>
          <w:rStyle w:val="FootnoteReference"/>
          <w:sz w:val="20"/>
          <w:vertAlign w:val="baseline"/>
        </w:rPr>
        <w:t>*</w:t>
      </w:r>
      <w:r w:rsidRPr="00A8733B">
        <w:rPr>
          <w:rStyle w:val="FootnoteReference"/>
          <w:sz w:val="20"/>
          <w:vertAlign w:val="baseline"/>
        </w:rPr>
        <w:tab/>
      </w:r>
      <w:r w:rsidRPr="00E70781">
        <w:rPr>
          <w:rStyle w:val="FootnoteReference"/>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2336" w14:textId="420541FD" w:rsidR="000F745C" w:rsidRPr="000F745C" w:rsidRDefault="002D1B74">
    <w:pPr>
      <w:pStyle w:val="Header"/>
    </w:pPr>
    <w:r>
      <w:t>ECE/TRANS/WP.29/GRSP/2025/6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015E" w14:textId="3574BB65" w:rsidR="000F745C" w:rsidRPr="000F745C" w:rsidRDefault="008276A1" w:rsidP="000F745C">
    <w:pPr>
      <w:pStyle w:val="Header"/>
      <w:jc w:val="right"/>
    </w:pPr>
    <w:r>
      <w:fldChar w:fldCharType="begin"/>
    </w:r>
    <w:r>
      <w:instrText xml:space="preserve"> TITLE  \* MERGEFORMAT </w:instrText>
    </w:r>
    <w:r>
      <w:fldChar w:fldCharType="separate"/>
    </w:r>
    <w:r w:rsidR="002D1B74">
      <w:t>ECE/TRANS/WP.29/GRSP/2025/6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86340074">
    <w:abstractNumId w:val="1"/>
  </w:num>
  <w:num w:numId="2" w16cid:durableId="1877768810">
    <w:abstractNumId w:val="0"/>
  </w:num>
  <w:num w:numId="3" w16cid:durableId="797145930">
    <w:abstractNumId w:val="2"/>
  </w:num>
  <w:num w:numId="4" w16cid:durableId="440076482">
    <w:abstractNumId w:val="3"/>
  </w:num>
  <w:num w:numId="5" w16cid:durableId="1625768107">
    <w:abstractNumId w:val="8"/>
  </w:num>
  <w:num w:numId="6" w16cid:durableId="247232530">
    <w:abstractNumId w:val="9"/>
  </w:num>
  <w:num w:numId="7" w16cid:durableId="594477057">
    <w:abstractNumId w:val="7"/>
  </w:num>
  <w:num w:numId="8" w16cid:durableId="43020558">
    <w:abstractNumId w:val="6"/>
  </w:num>
  <w:num w:numId="9" w16cid:durableId="856162606">
    <w:abstractNumId w:val="5"/>
  </w:num>
  <w:num w:numId="10" w16cid:durableId="1805080909">
    <w:abstractNumId w:val="4"/>
  </w:num>
  <w:num w:numId="11" w16cid:durableId="847523673">
    <w:abstractNumId w:val="15"/>
  </w:num>
  <w:num w:numId="12" w16cid:durableId="866600456">
    <w:abstractNumId w:val="14"/>
  </w:num>
  <w:num w:numId="13" w16cid:durableId="463084381">
    <w:abstractNumId w:val="10"/>
  </w:num>
  <w:num w:numId="14" w16cid:durableId="1802839303">
    <w:abstractNumId w:val="12"/>
  </w:num>
  <w:num w:numId="15" w16cid:durableId="1236627953">
    <w:abstractNumId w:val="16"/>
  </w:num>
  <w:num w:numId="16" w16cid:durableId="304236982">
    <w:abstractNumId w:val="13"/>
  </w:num>
  <w:num w:numId="17" w16cid:durableId="980109966">
    <w:abstractNumId w:val="18"/>
  </w:num>
  <w:num w:numId="18" w16cid:durableId="1500346404">
    <w:abstractNumId w:val="19"/>
  </w:num>
  <w:num w:numId="19" w16cid:durableId="1591817015">
    <w:abstractNumId w:val="11"/>
  </w:num>
  <w:num w:numId="20" w16cid:durableId="49303198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5C"/>
    <w:rsid w:val="00002A7D"/>
    <w:rsid w:val="000038A8"/>
    <w:rsid w:val="00005DF3"/>
    <w:rsid w:val="00006790"/>
    <w:rsid w:val="000103B4"/>
    <w:rsid w:val="000205BC"/>
    <w:rsid w:val="00027624"/>
    <w:rsid w:val="00050F6B"/>
    <w:rsid w:val="000678CD"/>
    <w:rsid w:val="00072C8C"/>
    <w:rsid w:val="00081CE0"/>
    <w:rsid w:val="00084D30"/>
    <w:rsid w:val="00090320"/>
    <w:rsid w:val="000931C0"/>
    <w:rsid w:val="00097003"/>
    <w:rsid w:val="000A2E09"/>
    <w:rsid w:val="000B175B"/>
    <w:rsid w:val="000B3A0F"/>
    <w:rsid w:val="000D7920"/>
    <w:rsid w:val="000E0415"/>
    <w:rsid w:val="000F745C"/>
    <w:rsid w:val="000F7715"/>
    <w:rsid w:val="00156B99"/>
    <w:rsid w:val="00166124"/>
    <w:rsid w:val="00184DDA"/>
    <w:rsid w:val="001900CD"/>
    <w:rsid w:val="00190C40"/>
    <w:rsid w:val="001A0452"/>
    <w:rsid w:val="001B4B04"/>
    <w:rsid w:val="001B5875"/>
    <w:rsid w:val="001C4B9C"/>
    <w:rsid w:val="001C6663"/>
    <w:rsid w:val="001C7895"/>
    <w:rsid w:val="001D26DF"/>
    <w:rsid w:val="001F1599"/>
    <w:rsid w:val="001F19C4"/>
    <w:rsid w:val="002043F0"/>
    <w:rsid w:val="00211E0B"/>
    <w:rsid w:val="00232575"/>
    <w:rsid w:val="00247258"/>
    <w:rsid w:val="00252DA2"/>
    <w:rsid w:val="00257CAC"/>
    <w:rsid w:val="0026502B"/>
    <w:rsid w:val="00267E92"/>
    <w:rsid w:val="00270964"/>
    <w:rsid w:val="0027237A"/>
    <w:rsid w:val="002949BE"/>
    <w:rsid w:val="002974E9"/>
    <w:rsid w:val="002A0B83"/>
    <w:rsid w:val="002A306B"/>
    <w:rsid w:val="002A57CE"/>
    <w:rsid w:val="002A7F94"/>
    <w:rsid w:val="002B109A"/>
    <w:rsid w:val="002C6D45"/>
    <w:rsid w:val="002D1B74"/>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00320"/>
    <w:rsid w:val="00413520"/>
    <w:rsid w:val="004325CB"/>
    <w:rsid w:val="00440A07"/>
    <w:rsid w:val="00462880"/>
    <w:rsid w:val="00476F24"/>
    <w:rsid w:val="004A5D33"/>
    <w:rsid w:val="004C3987"/>
    <w:rsid w:val="004C55B0"/>
    <w:rsid w:val="004F6BA0"/>
    <w:rsid w:val="00503BEA"/>
    <w:rsid w:val="00533616"/>
    <w:rsid w:val="00535ABA"/>
    <w:rsid w:val="0053768B"/>
    <w:rsid w:val="005420F2"/>
    <w:rsid w:val="0054285C"/>
    <w:rsid w:val="0056535C"/>
    <w:rsid w:val="00584173"/>
    <w:rsid w:val="00595520"/>
    <w:rsid w:val="00597934"/>
    <w:rsid w:val="005A1866"/>
    <w:rsid w:val="005A44B9"/>
    <w:rsid w:val="005B1BA0"/>
    <w:rsid w:val="005B3DB3"/>
    <w:rsid w:val="005C0268"/>
    <w:rsid w:val="005D15CA"/>
    <w:rsid w:val="005E3828"/>
    <w:rsid w:val="005E488F"/>
    <w:rsid w:val="005F08DF"/>
    <w:rsid w:val="005F3066"/>
    <w:rsid w:val="005F3E61"/>
    <w:rsid w:val="00604DDD"/>
    <w:rsid w:val="006063FE"/>
    <w:rsid w:val="006107D6"/>
    <w:rsid w:val="006115CC"/>
    <w:rsid w:val="00611FC4"/>
    <w:rsid w:val="00612C44"/>
    <w:rsid w:val="006176FB"/>
    <w:rsid w:val="00627313"/>
    <w:rsid w:val="00630FCB"/>
    <w:rsid w:val="00640B26"/>
    <w:rsid w:val="0065766B"/>
    <w:rsid w:val="006770B2"/>
    <w:rsid w:val="00686A48"/>
    <w:rsid w:val="0068763C"/>
    <w:rsid w:val="006940E1"/>
    <w:rsid w:val="006A3C72"/>
    <w:rsid w:val="006A6B20"/>
    <w:rsid w:val="006A7392"/>
    <w:rsid w:val="006B03A1"/>
    <w:rsid w:val="006B67D9"/>
    <w:rsid w:val="006C5535"/>
    <w:rsid w:val="006D0589"/>
    <w:rsid w:val="006D19E9"/>
    <w:rsid w:val="006E564B"/>
    <w:rsid w:val="006E7154"/>
    <w:rsid w:val="007003CD"/>
    <w:rsid w:val="0070701E"/>
    <w:rsid w:val="0072632A"/>
    <w:rsid w:val="007358E8"/>
    <w:rsid w:val="00736ECE"/>
    <w:rsid w:val="0074533B"/>
    <w:rsid w:val="007643BC"/>
    <w:rsid w:val="00780C68"/>
    <w:rsid w:val="00786E8F"/>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276A1"/>
    <w:rsid w:val="00866893"/>
    <w:rsid w:val="00866F02"/>
    <w:rsid w:val="00867D18"/>
    <w:rsid w:val="00871F9A"/>
    <w:rsid w:val="00871FD5"/>
    <w:rsid w:val="0088172E"/>
    <w:rsid w:val="00881EFA"/>
    <w:rsid w:val="008879CB"/>
    <w:rsid w:val="008979B1"/>
    <w:rsid w:val="008A6B25"/>
    <w:rsid w:val="008A6C4F"/>
    <w:rsid w:val="008B389E"/>
    <w:rsid w:val="008C6BBB"/>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C0F2C"/>
    <w:rsid w:val="00AC2D33"/>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A491A"/>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3161D"/>
    <w:rsid w:val="00C463DD"/>
    <w:rsid w:val="00C745C3"/>
    <w:rsid w:val="00C9723E"/>
    <w:rsid w:val="00C978F5"/>
    <w:rsid w:val="00CA24A4"/>
    <w:rsid w:val="00CB348D"/>
    <w:rsid w:val="00CD46F5"/>
    <w:rsid w:val="00CE4A8F"/>
    <w:rsid w:val="00CF071D"/>
    <w:rsid w:val="00D0123D"/>
    <w:rsid w:val="00D07A02"/>
    <w:rsid w:val="00D15B04"/>
    <w:rsid w:val="00D2031B"/>
    <w:rsid w:val="00D25FE2"/>
    <w:rsid w:val="00D37DA9"/>
    <w:rsid w:val="00D406A7"/>
    <w:rsid w:val="00D41AE9"/>
    <w:rsid w:val="00D43252"/>
    <w:rsid w:val="00D44D86"/>
    <w:rsid w:val="00D50B7D"/>
    <w:rsid w:val="00D52012"/>
    <w:rsid w:val="00D704E5"/>
    <w:rsid w:val="00D72727"/>
    <w:rsid w:val="00D93B20"/>
    <w:rsid w:val="00D978C6"/>
    <w:rsid w:val="00DA0956"/>
    <w:rsid w:val="00DA357F"/>
    <w:rsid w:val="00DA3E12"/>
    <w:rsid w:val="00DC18AD"/>
    <w:rsid w:val="00DD3805"/>
    <w:rsid w:val="00DE148A"/>
    <w:rsid w:val="00DF1D8E"/>
    <w:rsid w:val="00DF7CAE"/>
    <w:rsid w:val="00E423C0"/>
    <w:rsid w:val="00E6414C"/>
    <w:rsid w:val="00E6537C"/>
    <w:rsid w:val="00E7260F"/>
    <w:rsid w:val="00E86E93"/>
    <w:rsid w:val="00E8702D"/>
    <w:rsid w:val="00E905F4"/>
    <w:rsid w:val="00E916A9"/>
    <w:rsid w:val="00E916DE"/>
    <w:rsid w:val="00E925AD"/>
    <w:rsid w:val="00E96630"/>
    <w:rsid w:val="00EB14C6"/>
    <w:rsid w:val="00ED18DC"/>
    <w:rsid w:val="00ED6201"/>
    <w:rsid w:val="00ED7A2A"/>
    <w:rsid w:val="00EF1D7F"/>
    <w:rsid w:val="00EF5BB9"/>
    <w:rsid w:val="00F0137E"/>
    <w:rsid w:val="00F04E44"/>
    <w:rsid w:val="00F21786"/>
    <w:rsid w:val="00F25D06"/>
    <w:rsid w:val="00F31CFF"/>
    <w:rsid w:val="00F3742B"/>
    <w:rsid w:val="00F41FDB"/>
    <w:rsid w:val="00F50597"/>
    <w:rsid w:val="00F56D63"/>
    <w:rsid w:val="00F609A9"/>
    <w:rsid w:val="00F60DD0"/>
    <w:rsid w:val="00F6290E"/>
    <w:rsid w:val="00F80C99"/>
    <w:rsid w:val="00F867EC"/>
    <w:rsid w:val="00F91B2B"/>
    <w:rsid w:val="00FB656C"/>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22E3"/>
  <w15:docId w15:val="{8BD3223D-BFCC-4109-8550-861F1FC4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HChGChar">
    <w:name w:val="_ H _Ch_G Char"/>
    <w:link w:val="HChG"/>
    <w:qFormat/>
    <w:locked/>
    <w:rsid w:val="00F60DD0"/>
    <w:rPr>
      <w:b/>
      <w:sz w:val="28"/>
      <w:lang w:val="en-GB"/>
    </w:rPr>
  </w:style>
  <w:style w:type="character" w:customStyle="1" w:styleId="SingleTxtGChar">
    <w:name w:val="_ Single Txt_G Char"/>
    <w:link w:val="SingleTxtG"/>
    <w:qFormat/>
    <w:rsid w:val="00F60DD0"/>
    <w:rPr>
      <w:lang w:val="en-GB"/>
    </w:rPr>
  </w:style>
  <w:style w:type="paragraph" w:customStyle="1" w:styleId="a">
    <w:name w:val="(a)"/>
    <w:basedOn w:val="Normal"/>
    <w:qFormat/>
    <w:rsid w:val="00F60DD0"/>
    <w:pPr>
      <w:suppressAutoHyphens/>
      <w:spacing w:after="120" w:line="240" w:lineRule="exact"/>
      <w:ind w:left="2835" w:right="1134" w:hanging="56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EFCC161B-226B-4BD8-A119-3A6F4298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333</Words>
  <Characters>1866</Characters>
  <Application>Microsoft Office Word</Application>
  <DocSecurity>0</DocSecurity>
  <Lines>50</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ECE/TRANS/WP.29/GRSP/2025/6</dc:title>
  <dc:subject>2502589</dc:subject>
  <dc:creator>Editorial</dc:creator>
  <cp:keywords/>
  <dc:description/>
  <cp:lastModifiedBy>Don Canete Martin</cp:lastModifiedBy>
  <cp:revision>2</cp:revision>
  <cp:lastPrinted>2025-02-17T14:08:00Z</cp:lastPrinted>
  <dcterms:created xsi:type="dcterms:W3CDTF">2025-02-17T14:41:00Z</dcterms:created>
  <dcterms:modified xsi:type="dcterms:W3CDTF">2025-02-17T14:41:00Z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