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0FBC473B" w:rsidR="00ED7F18" w:rsidRPr="00B11ACD" w:rsidRDefault="00ED7F18" w:rsidP="00B11ACD">
      <w:pPr>
        <w:pStyle w:val="HChG"/>
      </w:pPr>
      <w:r w:rsidRPr="00B11ACD">
        <w:tab/>
      </w:r>
      <w:r w:rsidRPr="00B11ACD">
        <w:tab/>
      </w:r>
      <w:r w:rsidR="00AB793D" w:rsidRPr="00AB793D">
        <w:t>Proposal for supplement 4 to the 04 series of amendments to UN Regulation No. 129 (Enhanced child restraint systems)</w:t>
      </w:r>
    </w:p>
    <w:p w14:paraId="18C1B722" w14:textId="04233165" w:rsidR="002D352D" w:rsidRDefault="009B4B21" w:rsidP="009B4B21">
      <w:pPr>
        <w:pStyle w:val="SingleTxtG"/>
        <w:rPr>
          <w:color w:val="000000" w:themeColor="text1"/>
        </w:rPr>
      </w:pPr>
      <w:r>
        <w:t>The text reproduced below was prepared by the members of the Technical Services Group (TSG) and is presented on their behalf by the expert from the Kingdom of the Netherlands to clarify that the removal of an insert may also trigger additional tests with alternative dummy statures.</w:t>
      </w:r>
      <w:r>
        <w:t xml:space="preserve"> </w:t>
      </w:r>
      <w:r>
        <w:t xml:space="preserve">The modifications are marked in </w:t>
      </w:r>
      <w:r w:rsidRPr="009B4B21">
        <w:rPr>
          <w:b/>
          <w:bCs/>
        </w:rPr>
        <w:t>bold</w:t>
      </w:r>
      <w:r>
        <w:t xml:space="preserve"> for new and strikethrough for deleted characters.</w:t>
      </w:r>
    </w:p>
    <w:p w14:paraId="37CBB239" w14:textId="1F010F66" w:rsidR="005760CB" w:rsidRDefault="00831D3D" w:rsidP="00455A06">
      <w:pPr>
        <w:pStyle w:val="HChG"/>
      </w:pPr>
      <w:r>
        <w:tab/>
        <w:t>I.</w:t>
      </w:r>
      <w:r>
        <w:tab/>
      </w:r>
      <w:r w:rsidR="005760CB" w:rsidRPr="00831D3D">
        <w:t>Proposal</w:t>
      </w:r>
    </w:p>
    <w:p w14:paraId="5919508B" w14:textId="77777777" w:rsidR="006D1AC6" w:rsidRPr="006D1AC6" w:rsidRDefault="006D1AC6" w:rsidP="006D1AC6">
      <w:pPr>
        <w:suppressAutoHyphens/>
        <w:spacing w:after="120"/>
        <w:ind w:left="567" w:right="1134" w:firstLine="567"/>
        <w:jc w:val="both"/>
      </w:pPr>
      <w:r w:rsidRPr="006D1AC6">
        <w:rPr>
          <w:i/>
        </w:rPr>
        <w:t xml:space="preserve">Paragraph 7.1.3.6., </w:t>
      </w:r>
      <w:r w:rsidRPr="006D1AC6">
        <w:t>amend to read:</w:t>
      </w:r>
    </w:p>
    <w:p w14:paraId="3B33D437" w14:textId="043A9C22" w:rsidR="006D1AC6" w:rsidRPr="006D1AC6" w:rsidRDefault="006D1AC6" w:rsidP="006D1AC6">
      <w:pPr>
        <w:spacing w:after="120"/>
        <w:ind w:left="2268" w:right="1134" w:hanging="1134"/>
        <w:jc w:val="both"/>
        <w:rPr>
          <w:rFonts w:eastAsia="Yu Mincho"/>
          <w:snapToGrid w:val="0"/>
          <w:lang w:eastAsia="en-US"/>
        </w:rPr>
      </w:pPr>
      <w:r>
        <w:rPr>
          <w:rFonts w:eastAsia="Yu Mincho"/>
          <w:snapToGrid w:val="0"/>
          <w:lang w:eastAsia="en-US"/>
        </w:rPr>
        <w:t>“</w:t>
      </w:r>
      <w:r w:rsidRPr="006D1AC6">
        <w:rPr>
          <w:rFonts w:eastAsia="Yu Mincho"/>
          <w:snapToGrid w:val="0"/>
          <w:lang w:eastAsia="en-US"/>
        </w:rPr>
        <w:t>7.1.3.6.</w:t>
      </w:r>
      <w:r w:rsidRPr="006D1AC6">
        <w:rPr>
          <w:rFonts w:eastAsia="Yu Mincho"/>
          <w:snapToGrid w:val="0"/>
          <w:lang w:eastAsia="en-US"/>
        </w:rPr>
        <w:tab/>
        <w:t>Size indication</w:t>
      </w:r>
    </w:p>
    <w:p w14:paraId="4E611526" w14:textId="77777777" w:rsidR="006D1AC6" w:rsidRPr="006D1AC6" w:rsidRDefault="006D1AC6" w:rsidP="006D1AC6">
      <w:pPr>
        <w:spacing w:after="120"/>
        <w:ind w:left="2268" w:right="1134" w:hanging="1134"/>
        <w:jc w:val="both"/>
        <w:rPr>
          <w:rFonts w:eastAsia="Yu Mincho"/>
          <w:snapToGrid w:val="0"/>
          <w:lang w:eastAsia="en-US"/>
        </w:rPr>
      </w:pPr>
      <w:r w:rsidRPr="006D1AC6">
        <w:rPr>
          <w:rFonts w:eastAsia="Yu Mincho"/>
          <w:snapToGrid w:val="0"/>
          <w:lang w:eastAsia="en-US"/>
        </w:rPr>
        <w:tab/>
      </w:r>
      <w:r w:rsidRPr="006D1AC6">
        <w:rPr>
          <w:rFonts w:eastAsia="Yu Mincho"/>
          <w:snapToGrid w:val="0"/>
          <w:lang w:eastAsia="en-US"/>
        </w:rPr>
        <w:tab/>
        <w:t>The dynamic tests shall be conducted with the largest dummy and the smallest dummy as defined in the following tables according to the size range indicated by the manufacturer</w:t>
      </w:r>
      <w:r w:rsidRPr="006D1AC6">
        <w:rPr>
          <w:rFonts w:eastAsia="Yu Mincho"/>
          <w:b/>
          <w:snapToGrid w:val="0"/>
          <w:lang w:eastAsia="en-US"/>
        </w:rPr>
        <w:t xml:space="preserve"> </w:t>
      </w:r>
      <w:r w:rsidRPr="006D1AC6">
        <w:rPr>
          <w:rFonts w:eastAsia="Yu Mincho"/>
          <w:snapToGrid w:val="0"/>
          <w:lang w:eastAsia="en-US"/>
        </w:rPr>
        <w:t>for the Enhanced</w:t>
      </w:r>
      <w:r w:rsidRPr="006D1AC6">
        <w:rPr>
          <w:rFonts w:eastAsia="Yu Mincho"/>
          <w:b/>
          <w:snapToGrid w:val="0"/>
          <w:lang w:eastAsia="en-US"/>
        </w:rPr>
        <w:t xml:space="preserve"> </w:t>
      </w:r>
      <w:r w:rsidRPr="006D1AC6">
        <w:rPr>
          <w:rFonts w:eastAsia="Yu Mincho"/>
          <w:snapToGrid w:val="0"/>
          <w:lang w:eastAsia="en-US"/>
        </w:rPr>
        <w:t>Child Restraint System.</w:t>
      </w:r>
    </w:p>
    <w:p w14:paraId="7D754478" w14:textId="77777777" w:rsidR="006D1AC6" w:rsidRPr="006D1AC6" w:rsidRDefault="006D1AC6" w:rsidP="006D1AC6">
      <w:pPr>
        <w:suppressAutoHyphens/>
        <w:spacing w:line="240" w:lineRule="auto"/>
        <w:outlineLvl w:val="0"/>
      </w:pPr>
      <w:r w:rsidRPr="006D1AC6">
        <w:tab/>
      </w:r>
      <w:r w:rsidRPr="006D1AC6">
        <w:tab/>
        <w:t xml:space="preserve">Table 8 </w:t>
      </w:r>
    </w:p>
    <w:p w14:paraId="16D09E7E" w14:textId="77777777" w:rsidR="006D1AC6" w:rsidRPr="006D1AC6" w:rsidRDefault="006D1AC6" w:rsidP="006D1AC6">
      <w:pPr>
        <w:suppressAutoHyphens/>
        <w:spacing w:after="120"/>
        <w:ind w:left="1134" w:right="1134"/>
        <w:jc w:val="both"/>
        <w:rPr>
          <w:b/>
        </w:rPr>
      </w:pPr>
      <w:r w:rsidRPr="006D1AC6">
        <w:rPr>
          <w:b/>
        </w:rPr>
        <w:t xml:space="preserve">Selection criteria for the </w:t>
      </w:r>
      <w:r w:rsidRPr="006D1AC6">
        <w:rPr>
          <w:rFonts w:hAnsi="Times New Roman Bold"/>
          <w:b/>
        </w:rPr>
        <w:t>dummy</w:t>
      </w:r>
      <w:r w:rsidRPr="006D1AC6">
        <w:rPr>
          <w:rFonts w:ascii="Times New Roman Bold" w:hAnsi="Times New Roman Bold"/>
          <w:b/>
        </w:rPr>
        <w:t xml:space="preserve"> </w:t>
      </w:r>
      <w:r w:rsidRPr="006D1AC6">
        <w:rPr>
          <w:b/>
        </w:rPr>
        <w:t xml:space="preserve">according to the </w:t>
      </w:r>
      <w:r w:rsidRPr="006D1AC6">
        <w:rPr>
          <w:rFonts w:hAnsi="Times New Roman Bold"/>
          <w:b/>
        </w:rPr>
        <w:t>range</w:t>
      </w:r>
    </w:p>
    <w:tbl>
      <w:tblPr>
        <w:tblW w:w="850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15"/>
        <w:gridCol w:w="1215"/>
        <w:gridCol w:w="1215"/>
        <w:gridCol w:w="1215"/>
        <w:gridCol w:w="1215"/>
        <w:gridCol w:w="1215"/>
        <w:gridCol w:w="1215"/>
      </w:tblGrid>
      <w:tr w:rsidR="006D1AC6" w:rsidRPr="006D1AC6" w14:paraId="3856EFCB" w14:textId="77777777" w:rsidTr="00F33C76">
        <w:trPr>
          <w:cantSplit/>
        </w:trPr>
        <w:tc>
          <w:tcPr>
            <w:tcW w:w="851" w:type="dxa"/>
            <w:tcBorders>
              <w:bottom w:val="single" w:sz="12" w:space="0" w:color="auto"/>
            </w:tcBorders>
            <w:shd w:val="clear" w:color="auto" w:fill="auto"/>
            <w:vAlign w:val="bottom"/>
          </w:tcPr>
          <w:p w14:paraId="5C5CF4A7" w14:textId="77777777" w:rsidR="006D1AC6" w:rsidRPr="006D1AC6" w:rsidRDefault="006D1AC6" w:rsidP="006D1AC6">
            <w:pPr>
              <w:keepNext/>
              <w:keepLines/>
              <w:spacing w:before="80" w:after="80" w:line="200" w:lineRule="exact"/>
              <w:ind w:left="113" w:right="113"/>
              <w:rPr>
                <w:i/>
                <w:sz w:val="16"/>
              </w:rPr>
            </w:pPr>
            <w:r w:rsidRPr="006D1AC6">
              <w:rPr>
                <w:i/>
                <w:sz w:val="16"/>
              </w:rPr>
              <w:t>Size range indication (in cm)</w:t>
            </w:r>
          </w:p>
        </w:tc>
        <w:tc>
          <w:tcPr>
            <w:tcW w:w="851" w:type="dxa"/>
            <w:tcBorders>
              <w:bottom w:val="single" w:sz="12" w:space="0" w:color="auto"/>
            </w:tcBorders>
            <w:shd w:val="clear" w:color="auto" w:fill="auto"/>
            <w:vAlign w:val="bottom"/>
          </w:tcPr>
          <w:p w14:paraId="7522A34D" w14:textId="77777777" w:rsidR="006D1AC6" w:rsidRPr="006D1AC6" w:rsidRDefault="006D1AC6" w:rsidP="006D1AC6">
            <w:pPr>
              <w:keepNext/>
              <w:keepLines/>
              <w:spacing w:before="80" w:after="80" w:line="200" w:lineRule="exact"/>
              <w:ind w:left="113" w:right="113"/>
              <w:jc w:val="right"/>
              <w:rPr>
                <w:i/>
                <w:sz w:val="16"/>
              </w:rPr>
            </w:pPr>
            <w:r w:rsidRPr="006D1AC6">
              <w:rPr>
                <w:i/>
                <w:sz w:val="16"/>
              </w:rPr>
              <w:t>≤ 60</w:t>
            </w:r>
          </w:p>
        </w:tc>
        <w:tc>
          <w:tcPr>
            <w:tcW w:w="851" w:type="dxa"/>
            <w:tcBorders>
              <w:bottom w:val="single" w:sz="12" w:space="0" w:color="auto"/>
            </w:tcBorders>
            <w:shd w:val="clear" w:color="auto" w:fill="auto"/>
            <w:vAlign w:val="bottom"/>
          </w:tcPr>
          <w:p w14:paraId="4CDFABBF" w14:textId="77777777" w:rsidR="006D1AC6" w:rsidRPr="006D1AC6" w:rsidRDefault="006D1AC6" w:rsidP="006D1AC6">
            <w:pPr>
              <w:keepNext/>
              <w:keepLines/>
              <w:spacing w:before="80" w:after="80" w:line="200" w:lineRule="exact"/>
              <w:ind w:left="113" w:right="113"/>
              <w:jc w:val="right"/>
              <w:rPr>
                <w:i/>
                <w:sz w:val="16"/>
              </w:rPr>
            </w:pPr>
            <w:r w:rsidRPr="006D1AC6">
              <w:rPr>
                <w:i/>
                <w:sz w:val="16"/>
              </w:rPr>
              <w:t>60 &lt; x ≤ 75</w:t>
            </w:r>
          </w:p>
        </w:tc>
        <w:tc>
          <w:tcPr>
            <w:tcW w:w="851" w:type="dxa"/>
            <w:tcBorders>
              <w:bottom w:val="single" w:sz="12" w:space="0" w:color="auto"/>
            </w:tcBorders>
            <w:shd w:val="clear" w:color="auto" w:fill="auto"/>
            <w:vAlign w:val="bottom"/>
          </w:tcPr>
          <w:p w14:paraId="3BCC9215" w14:textId="77777777" w:rsidR="006D1AC6" w:rsidRPr="006D1AC6" w:rsidRDefault="006D1AC6" w:rsidP="006D1AC6">
            <w:pPr>
              <w:keepNext/>
              <w:keepLines/>
              <w:spacing w:before="80" w:after="80" w:line="200" w:lineRule="exact"/>
              <w:ind w:left="113" w:right="113"/>
              <w:jc w:val="right"/>
              <w:rPr>
                <w:i/>
                <w:sz w:val="16"/>
              </w:rPr>
            </w:pPr>
            <w:r w:rsidRPr="006D1AC6">
              <w:rPr>
                <w:i/>
                <w:sz w:val="16"/>
              </w:rPr>
              <w:t>75 &lt; x ≤ 87</w:t>
            </w:r>
          </w:p>
        </w:tc>
        <w:tc>
          <w:tcPr>
            <w:tcW w:w="851" w:type="dxa"/>
            <w:tcBorders>
              <w:bottom w:val="single" w:sz="12" w:space="0" w:color="auto"/>
            </w:tcBorders>
            <w:shd w:val="clear" w:color="auto" w:fill="auto"/>
            <w:vAlign w:val="bottom"/>
          </w:tcPr>
          <w:p w14:paraId="320D0559" w14:textId="77777777" w:rsidR="006D1AC6" w:rsidRPr="006D1AC6" w:rsidRDefault="006D1AC6" w:rsidP="006D1AC6">
            <w:pPr>
              <w:keepNext/>
              <w:keepLines/>
              <w:spacing w:before="80" w:after="80" w:line="200" w:lineRule="exact"/>
              <w:ind w:left="113" w:right="113"/>
              <w:jc w:val="right"/>
              <w:rPr>
                <w:i/>
                <w:sz w:val="16"/>
              </w:rPr>
            </w:pPr>
            <w:r w:rsidRPr="006D1AC6">
              <w:rPr>
                <w:i/>
                <w:sz w:val="16"/>
              </w:rPr>
              <w:t>87 &lt; x ≤ 105</w:t>
            </w:r>
          </w:p>
        </w:tc>
        <w:tc>
          <w:tcPr>
            <w:tcW w:w="851" w:type="dxa"/>
            <w:tcBorders>
              <w:bottom w:val="single" w:sz="12" w:space="0" w:color="auto"/>
            </w:tcBorders>
            <w:shd w:val="clear" w:color="auto" w:fill="auto"/>
            <w:vAlign w:val="bottom"/>
          </w:tcPr>
          <w:p w14:paraId="3892F961" w14:textId="77777777" w:rsidR="006D1AC6" w:rsidRPr="006D1AC6" w:rsidRDefault="006D1AC6" w:rsidP="006D1AC6">
            <w:pPr>
              <w:keepNext/>
              <w:keepLines/>
              <w:spacing w:before="80" w:after="80" w:line="200" w:lineRule="exact"/>
              <w:ind w:left="113" w:right="113"/>
              <w:jc w:val="right"/>
              <w:rPr>
                <w:i/>
                <w:sz w:val="16"/>
              </w:rPr>
            </w:pPr>
            <w:r w:rsidRPr="006D1AC6">
              <w:rPr>
                <w:i/>
                <w:sz w:val="16"/>
              </w:rPr>
              <w:t>105 &lt; x ≤ 125</w:t>
            </w:r>
          </w:p>
        </w:tc>
        <w:tc>
          <w:tcPr>
            <w:tcW w:w="851" w:type="dxa"/>
            <w:tcBorders>
              <w:bottom w:val="single" w:sz="12" w:space="0" w:color="auto"/>
            </w:tcBorders>
            <w:shd w:val="clear" w:color="auto" w:fill="auto"/>
            <w:vAlign w:val="bottom"/>
          </w:tcPr>
          <w:p w14:paraId="7975D41A" w14:textId="77777777" w:rsidR="006D1AC6" w:rsidRPr="006D1AC6" w:rsidRDefault="006D1AC6" w:rsidP="006D1AC6">
            <w:pPr>
              <w:keepNext/>
              <w:keepLines/>
              <w:spacing w:before="80" w:after="80" w:line="200" w:lineRule="exact"/>
              <w:ind w:left="113" w:right="113"/>
              <w:jc w:val="right"/>
              <w:rPr>
                <w:i/>
                <w:sz w:val="16"/>
              </w:rPr>
            </w:pPr>
            <w:r w:rsidRPr="006D1AC6">
              <w:rPr>
                <w:i/>
                <w:sz w:val="16"/>
              </w:rPr>
              <w:t>&gt;125</w:t>
            </w:r>
          </w:p>
        </w:tc>
      </w:tr>
      <w:tr w:rsidR="006D1AC6" w:rsidRPr="006D1AC6" w14:paraId="1F5F0E2C" w14:textId="77777777" w:rsidTr="00F33C76">
        <w:trPr>
          <w:cantSplit/>
        </w:trPr>
        <w:tc>
          <w:tcPr>
            <w:tcW w:w="851" w:type="dxa"/>
            <w:tcBorders>
              <w:top w:val="single" w:sz="12" w:space="0" w:color="auto"/>
              <w:bottom w:val="single" w:sz="12" w:space="0" w:color="auto"/>
            </w:tcBorders>
            <w:shd w:val="clear" w:color="auto" w:fill="auto"/>
            <w:vAlign w:val="bottom"/>
          </w:tcPr>
          <w:p w14:paraId="7A3A0C72" w14:textId="77777777" w:rsidR="006D1AC6" w:rsidRPr="006D1AC6" w:rsidRDefault="006D1AC6" w:rsidP="006D1AC6">
            <w:pPr>
              <w:keepNext/>
              <w:keepLines/>
              <w:spacing w:before="40" w:after="40" w:line="220" w:lineRule="exact"/>
              <w:ind w:left="57" w:right="113"/>
              <w:rPr>
                <w:sz w:val="18"/>
                <w:szCs w:val="18"/>
              </w:rPr>
            </w:pPr>
            <w:r w:rsidRPr="006D1AC6">
              <w:rPr>
                <w:sz w:val="18"/>
                <w:szCs w:val="18"/>
              </w:rPr>
              <w:t>Dummy</w:t>
            </w:r>
          </w:p>
        </w:tc>
        <w:tc>
          <w:tcPr>
            <w:tcW w:w="851" w:type="dxa"/>
            <w:tcBorders>
              <w:top w:val="single" w:sz="12" w:space="0" w:color="auto"/>
              <w:bottom w:val="single" w:sz="12" w:space="0" w:color="auto"/>
            </w:tcBorders>
            <w:shd w:val="clear" w:color="auto" w:fill="auto"/>
            <w:vAlign w:val="bottom"/>
          </w:tcPr>
          <w:p w14:paraId="1FFC591E" w14:textId="77777777" w:rsidR="006D1AC6" w:rsidRPr="006D1AC6" w:rsidRDefault="006D1AC6" w:rsidP="006D1AC6">
            <w:pPr>
              <w:keepNext/>
              <w:keepLines/>
              <w:spacing w:before="40" w:after="40" w:line="220" w:lineRule="exact"/>
              <w:ind w:right="113"/>
              <w:jc w:val="right"/>
              <w:rPr>
                <w:sz w:val="18"/>
                <w:szCs w:val="18"/>
              </w:rPr>
            </w:pPr>
            <w:r w:rsidRPr="006D1AC6">
              <w:rPr>
                <w:sz w:val="18"/>
                <w:szCs w:val="18"/>
              </w:rPr>
              <w:t>Q0</w:t>
            </w:r>
          </w:p>
        </w:tc>
        <w:tc>
          <w:tcPr>
            <w:tcW w:w="851" w:type="dxa"/>
            <w:tcBorders>
              <w:top w:val="single" w:sz="12" w:space="0" w:color="auto"/>
              <w:bottom w:val="single" w:sz="12" w:space="0" w:color="auto"/>
            </w:tcBorders>
            <w:shd w:val="clear" w:color="auto" w:fill="auto"/>
            <w:vAlign w:val="bottom"/>
          </w:tcPr>
          <w:p w14:paraId="2EF3965C" w14:textId="77777777" w:rsidR="006D1AC6" w:rsidRPr="006D1AC6" w:rsidRDefault="006D1AC6" w:rsidP="006D1AC6">
            <w:pPr>
              <w:keepNext/>
              <w:keepLines/>
              <w:spacing w:before="40" w:after="40" w:line="220" w:lineRule="exact"/>
              <w:ind w:right="113"/>
              <w:jc w:val="right"/>
              <w:rPr>
                <w:sz w:val="18"/>
                <w:szCs w:val="18"/>
              </w:rPr>
            </w:pPr>
            <w:r w:rsidRPr="006D1AC6">
              <w:rPr>
                <w:sz w:val="18"/>
                <w:szCs w:val="18"/>
              </w:rPr>
              <w:t>Q1</w:t>
            </w:r>
          </w:p>
        </w:tc>
        <w:tc>
          <w:tcPr>
            <w:tcW w:w="851" w:type="dxa"/>
            <w:tcBorders>
              <w:top w:val="single" w:sz="12" w:space="0" w:color="auto"/>
              <w:bottom w:val="single" w:sz="12" w:space="0" w:color="auto"/>
            </w:tcBorders>
            <w:shd w:val="clear" w:color="auto" w:fill="auto"/>
            <w:vAlign w:val="bottom"/>
          </w:tcPr>
          <w:p w14:paraId="51DC25AE" w14:textId="77777777" w:rsidR="006D1AC6" w:rsidRPr="006D1AC6" w:rsidRDefault="006D1AC6" w:rsidP="006D1AC6">
            <w:pPr>
              <w:keepNext/>
              <w:keepLines/>
              <w:spacing w:before="40" w:after="40" w:line="220" w:lineRule="exact"/>
              <w:ind w:right="113"/>
              <w:jc w:val="right"/>
              <w:rPr>
                <w:sz w:val="18"/>
                <w:szCs w:val="18"/>
              </w:rPr>
            </w:pPr>
            <w:r w:rsidRPr="006D1AC6">
              <w:rPr>
                <w:sz w:val="18"/>
                <w:szCs w:val="18"/>
              </w:rPr>
              <w:t>Q1.5</w:t>
            </w:r>
          </w:p>
        </w:tc>
        <w:tc>
          <w:tcPr>
            <w:tcW w:w="851" w:type="dxa"/>
            <w:tcBorders>
              <w:top w:val="single" w:sz="12" w:space="0" w:color="auto"/>
              <w:bottom w:val="single" w:sz="12" w:space="0" w:color="auto"/>
            </w:tcBorders>
            <w:shd w:val="clear" w:color="auto" w:fill="auto"/>
            <w:vAlign w:val="bottom"/>
          </w:tcPr>
          <w:p w14:paraId="059E7163" w14:textId="77777777" w:rsidR="006D1AC6" w:rsidRPr="006D1AC6" w:rsidRDefault="006D1AC6" w:rsidP="006D1AC6">
            <w:pPr>
              <w:keepNext/>
              <w:keepLines/>
              <w:spacing w:before="40" w:after="40" w:line="220" w:lineRule="exact"/>
              <w:ind w:right="113"/>
              <w:jc w:val="right"/>
              <w:rPr>
                <w:sz w:val="18"/>
                <w:szCs w:val="18"/>
              </w:rPr>
            </w:pPr>
            <w:r w:rsidRPr="006D1AC6">
              <w:rPr>
                <w:sz w:val="18"/>
                <w:szCs w:val="18"/>
              </w:rPr>
              <w:t>Q3</w:t>
            </w:r>
            <w:r w:rsidRPr="006D1AC6">
              <w:rPr>
                <w:szCs w:val="18"/>
                <w:vertAlign w:val="superscript"/>
              </w:rPr>
              <w:t>2</w:t>
            </w:r>
          </w:p>
        </w:tc>
        <w:tc>
          <w:tcPr>
            <w:tcW w:w="851" w:type="dxa"/>
            <w:tcBorders>
              <w:top w:val="single" w:sz="12" w:space="0" w:color="auto"/>
              <w:bottom w:val="single" w:sz="12" w:space="0" w:color="auto"/>
            </w:tcBorders>
            <w:shd w:val="clear" w:color="auto" w:fill="auto"/>
            <w:vAlign w:val="bottom"/>
          </w:tcPr>
          <w:p w14:paraId="2A708908" w14:textId="77777777" w:rsidR="006D1AC6" w:rsidRPr="006D1AC6" w:rsidRDefault="006D1AC6" w:rsidP="006D1AC6">
            <w:pPr>
              <w:keepNext/>
              <w:keepLines/>
              <w:spacing w:before="40" w:after="40" w:line="220" w:lineRule="exact"/>
              <w:ind w:right="113"/>
              <w:jc w:val="right"/>
              <w:rPr>
                <w:sz w:val="18"/>
                <w:szCs w:val="18"/>
              </w:rPr>
            </w:pPr>
            <w:r w:rsidRPr="006D1AC6">
              <w:rPr>
                <w:sz w:val="18"/>
                <w:szCs w:val="18"/>
              </w:rPr>
              <w:t>Q6</w:t>
            </w:r>
          </w:p>
        </w:tc>
        <w:tc>
          <w:tcPr>
            <w:tcW w:w="851" w:type="dxa"/>
            <w:tcBorders>
              <w:top w:val="single" w:sz="12" w:space="0" w:color="auto"/>
              <w:bottom w:val="single" w:sz="12" w:space="0" w:color="auto"/>
            </w:tcBorders>
            <w:shd w:val="clear" w:color="auto" w:fill="auto"/>
            <w:vAlign w:val="bottom"/>
          </w:tcPr>
          <w:p w14:paraId="3A45B5DF" w14:textId="77777777" w:rsidR="006D1AC6" w:rsidRPr="006D1AC6" w:rsidRDefault="006D1AC6" w:rsidP="006D1AC6">
            <w:pPr>
              <w:keepNext/>
              <w:keepLines/>
              <w:spacing w:before="40" w:after="40" w:line="220" w:lineRule="exact"/>
              <w:ind w:right="113"/>
              <w:jc w:val="right"/>
              <w:rPr>
                <w:sz w:val="18"/>
                <w:szCs w:val="18"/>
              </w:rPr>
            </w:pPr>
            <w:r w:rsidRPr="006D1AC6">
              <w:rPr>
                <w:sz w:val="18"/>
                <w:szCs w:val="18"/>
              </w:rPr>
              <w:t>Q10</w:t>
            </w:r>
            <w:r w:rsidRPr="006D1AC6">
              <w:rPr>
                <w:sz w:val="18"/>
                <w:szCs w:val="18"/>
                <w:vertAlign w:val="superscript"/>
              </w:rPr>
              <w:t>1</w:t>
            </w:r>
          </w:p>
        </w:tc>
      </w:tr>
      <w:tr w:rsidR="006D1AC6" w:rsidRPr="006D1AC6" w14:paraId="285F6F5E" w14:textId="77777777" w:rsidTr="00F33C76">
        <w:trPr>
          <w:cantSplit/>
        </w:trPr>
        <w:tc>
          <w:tcPr>
            <w:tcW w:w="851" w:type="dxa"/>
            <w:gridSpan w:val="7"/>
            <w:tcBorders>
              <w:top w:val="nil"/>
              <w:left w:val="nil"/>
              <w:bottom w:val="nil"/>
              <w:right w:val="nil"/>
            </w:tcBorders>
            <w:shd w:val="clear" w:color="auto" w:fill="auto"/>
          </w:tcPr>
          <w:p w14:paraId="1CAF5F84" w14:textId="77777777" w:rsidR="006D1AC6" w:rsidRPr="006D1AC6" w:rsidRDefault="006D1AC6" w:rsidP="006D1AC6">
            <w:pPr>
              <w:keepNext/>
              <w:keepLines/>
              <w:spacing w:before="120" w:line="220" w:lineRule="exact"/>
              <w:ind w:left="57" w:right="113"/>
              <w:rPr>
                <w:sz w:val="18"/>
                <w:szCs w:val="18"/>
              </w:rPr>
            </w:pPr>
            <w:r w:rsidRPr="006D1AC6">
              <w:rPr>
                <w:sz w:val="18"/>
              </w:rPr>
              <w:t xml:space="preserve">  </w:t>
            </w:r>
            <w:r w:rsidRPr="006D1AC6">
              <w:rPr>
                <w:sz w:val="18"/>
                <w:vertAlign w:val="superscript"/>
              </w:rPr>
              <w:t>1</w:t>
            </w:r>
            <w:r w:rsidRPr="006D1AC6">
              <w:rPr>
                <w:sz w:val="18"/>
              </w:rPr>
              <w:t xml:space="preserve">  </w:t>
            </w:r>
            <w:r w:rsidRPr="006D1AC6">
              <w:rPr>
                <w:sz w:val="18"/>
                <w:szCs w:val="18"/>
              </w:rPr>
              <w:t>No lateral impact test</w:t>
            </w:r>
            <w:r w:rsidRPr="006D1AC6">
              <w:rPr>
                <w:b/>
                <w:sz w:val="18"/>
                <w:szCs w:val="18"/>
              </w:rPr>
              <w:t xml:space="preserve"> </w:t>
            </w:r>
            <w:r w:rsidRPr="006D1AC6">
              <w:rPr>
                <w:sz w:val="18"/>
                <w:szCs w:val="18"/>
              </w:rPr>
              <w:t>using the Q10 dummy</w:t>
            </w:r>
            <w:r w:rsidRPr="006D1AC6">
              <w:rPr>
                <w:b/>
                <w:sz w:val="18"/>
                <w:szCs w:val="18"/>
              </w:rPr>
              <w:t xml:space="preserve"> </w:t>
            </w:r>
            <w:r w:rsidRPr="006D1AC6">
              <w:rPr>
                <w:sz w:val="18"/>
                <w:szCs w:val="18"/>
              </w:rPr>
              <w:t>is required for i-Size booster seats with a size range upper limit between 125 cm and 135 cm.</w:t>
            </w:r>
          </w:p>
          <w:p w14:paraId="0EF000E8" w14:textId="77777777" w:rsidR="006D1AC6" w:rsidRPr="006D1AC6" w:rsidRDefault="006D1AC6" w:rsidP="006D1AC6">
            <w:pPr>
              <w:keepNext/>
              <w:keepLines/>
              <w:spacing w:line="220" w:lineRule="exact"/>
              <w:ind w:left="57" w:right="113"/>
              <w:rPr>
                <w:sz w:val="18"/>
              </w:rPr>
            </w:pPr>
            <w:r w:rsidRPr="006D1AC6">
              <w:rPr>
                <w:sz w:val="18"/>
                <w:szCs w:val="18"/>
                <w:vertAlign w:val="superscript"/>
              </w:rPr>
              <w:t xml:space="preserve">  2</w:t>
            </w:r>
            <w:r w:rsidRPr="006D1AC6">
              <w:rPr>
                <w:sz w:val="18"/>
                <w:szCs w:val="18"/>
              </w:rPr>
              <w:t xml:space="preserve">  ECRS shall not be approved only on the base of Q3 test results in non-integral configuration</w:t>
            </w:r>
          </w:p>
        </w:tc>
      </w:tr>
    </w:tbl>
    <w:p w14:paraId="70402DA1" w14:textId="77777777" w:rsidR="006D1AC6" w:rsidRPr="006D1AC6" w:rsidRDefault="006D1AC6" w:rsidP="006D1AC6">
      <w:pPr>
        <w:spacing w:before="120" w:after="120"/>
        <w:ind w:left="2268" w:right="1134"/>
        <w:jc w:val="both"/>
        <w:rPr>
          <w:rFonts w:eastAsia="Yu Mincho"/>
          <w:snapToGrid w:val="0"/>
          <w:lang w:eastAsia="en-US"/>
        </w:rPr>
      </w:pPr>
      <w:r w:rsidRPr="006D1AC6">
        <w:rPr>
          <w:rFonts w:eastAsia="Yu Mincho"/>
          <w:snapToGrid w:val="0"/>
          <w:lang w:eastAsia="en-US"/>
        </w:rPr>
        <w:t>Where the Enhanced Child Restraint System requires substantial modification for different sizes (e.g., convertible Enhanced Child Restraint System</w:t>
      </w:r>
      <w:r w:rsidRPr="006D1AC6">
        <w:rPr>
          <w:b/>
          <w:bCs/>
          <w:snapToGrid w:val="0"/>
          <w:lang w:eastAsia="en-US"/>
        </w:rPr>
        <w:t>, when an insert is provided/removed</w:t>
      </w:r>
      <w:r w:rsidRPr="006D1AC6">
        <w:rPr>
          <w:rFonts w:eastAsia="Yu Mincho"/>
          <w:snapToGrid w:val="0"/>
          <w:lang w:eastAsia="en-US"/>
        </w:rPr>
        <w:t>) or if the size range cover</w:t>
      </w:r>
      <w:r w:rsidRPr="006D1AC6">
        <w:rPr>
          <w:rFonts w:eastAsia="Yu Mincho"/>
          <w:b/>
          <w:bCs/>
          <w:snapToGrid w:val="0"/>
          <w:lang w:eastAsia="en-US"/>
        </w:rPr>
        <w:t>s</w:t>
      </w:r>
      <w:r w:rsidRPr="006D1AC6">
        <w:rPr>
          <w:rFonts w:eastAsia="Yu Mincho"/>
          <w:snapToGrid w:val="0"/>
          <w:lang w:eastAsia="en-US"/>
        </w:rPr>
        <w:t xml:space="preserve"> more than 3 size ranges a relevant intermediate dummy(</w:t>
      </w:r>
      <w:proofErr w:type="spellStart"/>
      <w:r w:rsidRPr="006D1AC6">
        <w:rPr>
          <w:rFonts w:eastAsia="Yu Mincho"/>
          <w:snapToGrid w:val="0"/>
          <w:lang w:eastAsia="en-US"/>
        </w:rPr>
        <w:t>ies</w:t>
      </w:r>
      <w:proofErr w:type="spellEnd"/>
      <w:r w:rsidRPr="006D1AC6">
        <w:rPr>
          <w:rFonts w:eastAsia="Yu Mincho"/>
          <w:snapToGrid w:val="0"/>
          <w:lang w:eastAsia="en-US"/>
        </w:rPr>
        <w:t>) shall be tested in addition to the dummy(</w:t>
      </w:r>
      <w:proofErr w:type="spellStart"/>
      <w:r w:rsidRPr="006D1AC6">
        <w:rPr>
          <w:rFonts w:eastAsia="Yu Mincho"/>
          <w:snapToGrid w:val="0"/>
          <w:lang w:eastAsia="en-US"/>
        </w:rPr>
        <w:t>ies</w:t>
      </w:r>
      <w:proofErr w:type="spellEnd"/>
      <w:r w:rsidRPr="006D1AC6">
        <w:rPr>
          <w:rFonts w:eastAsia="Yu Mincho"/>
          <w:snapToGrid w:val="0"/>
          <w:lang w:eastAsia="en-US"/>
        </w:rPr>
        <w:t>) defined above.</w:t>
      </w:r>
    </w:p>
    <w:p w14:paraId="69237A70" w14:textId="77777777" w:rsidR="006D1AC6" w:rsidRPr="006D1AC6" w:rsidRDefault="006D1AC6" w:rsidP="006D1AC6">
      <w:pPr>
        <w:spacing w:before="120" w:after="120"/>
        <w:ind w:left="2268" w:right="1134"/>
        <w:jc w:val="both"/>
        <w:rPr>
          <w:rFonts w:eastAsia="Yu Mincho"/>
          <w:snapToGrid w:val="0"/>
          <w:lang w:eastAsia="en-US"/>
        </w:rPr>
      </w:pPr>
      <w:r w:rsidRPr="006D1AC6">
        <w:rPr>
          <w:rFonts w:eastAsia="Yu Mincho"/>
          <w:snapToGrid w:val="0"/>
          <w:lang w:eastAsia="en-US"/>
        </w:rPr>
        <w:t>…”</w:t>
      </w:r>
    </w:p>
    <w:p w14:paraId="7CB80B12" w14:textId="2F574F21" w:rsidR="00FC7200" w:rsidRPr="00B52190" w:rsidRDefault="00FC7200" w:rsidP="00FC7200">
      <w:pPr>
        <w:pStyle w:val="HChG"/>
      </w:pPr>
      <w:r>
        <w:tab/>
        <w:t>II.</w:t>
      </w:r>
      <w:r>
        <w:tab/>
      </w:r>
      <w:r w:rsidRPr="00B52190">
        <w:t>Justification</w:t>
      </w:r>
    </w:p>
    <w:p w14:paraId="49EFC2A4" w14:textId="5D08D919" w:rsidR="00612739" w:rsidRPr="00612739" w:rsidRDefault="00612739" w:rsidP="00612739">
      <w:pPr>
        <w:pStyle w:val="SingleTxtG"/>
      </w:pPr>
      <w:r>
        <w:t>1.</w:t>
      </w:r>
      <w:r>
        <w:tab/>
      </w:r>
      <w:r w:rsidRPr="00612739">
        <w:t>Removing an insert results in a new size range being determined. For example, if the child seat has a size range of 40-85 cm, this seat uses an insert with a size range of 40-60 cm. If the insert is removed, a size range of 61 to 85 cm remains. This means that the tests must also be carried out with Q1 as the smallest dummy for this 'new' range. At present, it may not be clear that a 'substantial change' may include the removal of an insert.</w:t>
      </w:r>
    </w:p>
    <w:p w14:paraId="2186826F" w14:textId="404698F1" w:rsidR="00D00CE2" w:rsidRPr="00D00CE2" w:rsidRDefault="00D00CE2" w:rsidP="00D00CE2">
      <w:pPr>
        <w:spacing w:before="240"/>
        <w:jc w:val="center"/>
        <w:rPr>
          <w:u w:val="single"/>
        </w:rPr>
      </w:pPr>
      <w:r>
        <w:rPr>
          <w:u w:val="single"/>
        </w:rPr>
        <w:tab/>
      </w:r>
      <w:r>
        <w:rPr>
          <w:u w:val="single"/>
        </w:rPr>
        <w:tab/>
      </w:r>
      <w:r>
        <w:rPr>
          <w:u w:val="single"/>
        </w:rPr>
        <w:tab/>
      </w:r>
    </w:p>
    <w:sectPr w:rsidR="00D00CE2" w:rsidRPr="00D00CE2" w:rsidSect="00F205C1">
      <w:headerReference w:type="default" r:id="rId11"/>
      <w:footerReference w:type="even" r:id="rId12"/>
      <w:footerReference w:type="default" r:id="rId13"/>
      <w:headerReference w:type="first" r:id="rId14"/>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CE9D2" w14:textId="77777777" w:rsidR="00D5283A" w:rsidRDefault="00D5283A"/>
  </w:endnote>
  <w:endnote w:type="continuationSeparator" w:id="0">
    <w:p w14:paraId="2340EF8C" w14:textId="77777777" w:rsidR="00D5283A" w:rsidRDefault="00D5283A"/>
  </w:endnote>
  <w:endnote w:type="continuationNotice" w:id="1">
    <w:p w14:paraId="69026A99" w14:textId="77777777" w:rsidR="00D5283A" w:rsidRDefault="00D52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47E8" w14:textId="77777777" w:rsidR="00D5283A" w:rsidRPr="000B175B" w:rsidRDefault="00D5283A" w:rsidP="000B175B">
      <w:pPr>
        <w:tabs>
          <w:tab w:val="right" w:pos="2155"/>
        </w:tabs>
        <w:spacing w:after="80"/>
        <w:ind w:left="680"/>
        <w:rPr>
          <w:u w:val="single"/>
        </w:rPr>
      </w:pPr>
      <w:r>
        <w:rPr>
          <w:u w:val="single"/>
        </w:rPr>
        <w:tab/>
      </w:r>
    </w:p>
  </w:footnote>
  <w:footnote w:type="continuationSeparator" w:id="0">
    <w:p w14:paraId="7682325D" w14:textId="77777777" w:rsidR="00D5283A" w:rsidRPr="00FC68B7" w:rsidRDefault="00D5283A" w:rsidP="00FC68B7">
      <w:pPr>
        <w:tabs>
          <w:tab w:val="left" w:pos="2155"/>
        </w:tabs>
        <w:spacing w:after="80"/>
        <w:ind w:left="680"/>
        <w:rPr>
          <w:u w:val="single"/>
        </w:rPr>
      </w:pPr>
      <w:r>
        <w:rPr>
          <w:u w:val="single"/>
        </w:rPr>
        <w:tab/>
      </w:r>
    </w:p>
  </w:footnote>
  <w:footnote w:type="continuationNotice" w:id="1">
    <w:p w14:paraId="6A2ECC63" w14:textId="77777777" w:rsidR="00D5283A" w:rsidRDefault="00D52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75A475BF" w:rsidR="00BB4BFD" w:rsidRPr="00BB4BFD" w:rsidRDefault="00BB4BFD" w:rsidP="00BB4BFD">
    <w:pPr>
      <w:pStyle w:val="Header"/>
      <w:tabs>
        <w:tab w:val="right" w:pos="9639"/>
      </w:tabs>
      <w:rPr>
        <w:lang w:val="en-US"/>
      </w:rPr>
    </w:pPr>
    <w:r w:rsidRPr="00BB4BFD">
      <w:rPr>
        <w:b w:val="0"/>
        <w:bCs/>
        <w:lang w:val="en-US"/>
      </w:rPr>
      <w:t xml:space="preserve">Submitted by </w:t>
    </w:r>
    <w:r w:rsidR="001613A5">
      <w:rPr>
        <w:b w:val="0"/>
        <w:bCs/>
        <w:lang w:val="en-US"/>
      </w:rPr>
      <w:t>the Kingdom of the Netherlands</w:t>
    </w:r>
    <w:r w:rsidRPr="00BB4BFD">
      <w:rPr>
        <w:b w:val="0"/>
        <w:bCs/>
        <w:lang w:val="en-US"/>
      </w:rPr>
      <w:tab/>
    </w:r>
    <w:r w:rsidRPr="00B73C54">
      <w:rPr>
        <w:sz w:val="24"/>
        <w:szCs w:val="28"/>
        <w:lang w:val="en-US"/>
      </w:rPr>
      <w:t>GRSP-77-</w:t>
    </w:r>
    <w:r w:rsidR="001613A5">
      <w:rPr>
        <w:sz w:val="24"/>
        <w:szCs w:val="28"/>
        <w:lang w:val="en-US"/>
      </w:rPr>
      <w:t>3</w:t>
    </w:r>
    <w:r w:rsidR="006F18CB">
      <w:rPr>
        <w:sz w:val="24"/>
        <w:szCs w:val="28"/>
        <w:lang w:val="en-US"/>
      </w:rPr>
      <w:t>4</w:t>
    </w:r>
  </w:p>
  <w:p w14:paraId="6A318103" w14:textId="3F831C9C"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 xml:space="preserve">genda item </w:t>
    </w:r>
    <w:r w:rsidR="006F18CB">
      <w:rPr>
        <w:b w:val="0"/>
        <w:bCs/>
        <w:lang w:val="en-US"/>
      </w:rPr>
      <w:t>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BF13284"/>
    <w:multiLevelType w:val="hybridMultilevel"/>
    <w:tmpl w:val="52F02832"/>
    <w:lvl w:ilvl="0" w:tplc="0C0A0019">
      <w:start w:val="1"/>
      <w:numFmt w:val="lowerLetter"/>
      <w:lvlText w:val="%1."/>
      <w:lvlJc w:val="left"/>
      <w:pPr>
        <w:ind w:left="5256" w:hanging="360"/>
      </w:pPr>
    </w:lvl>
    <w:lvl w:ilvl="1" w:tplc="0C0A0019" w:tentative="1">
      <w:start w:val="1"/>
      <w:numFmt w:val="lowerLetter"/>
      <w:lvlText w:val="%2."/>
      <w:lvlJc w:val="left"/>
      <w:pPr>
        <w:ind w:left="5976" w:hanging="360"/>
      </w:pPr>
    </w:lvl>
    <w:lvl w:ilvl="2" w:tplc="0C0A001B" w:tentative="1">
      <w:start w:val="1"/>
      <w:numFmt w:val="lowerRoman"/>
      <w:lvlText w:val="%3."/>
      <w:lvlJc w:val="right"/>
      <w:pPr>
        <w:ind w:left="6696" w:hanging="180"/>
      </w:pPr>
    </w:lvl>
    <w:lvl w:ilvl="3" w:tplc="0C0A000F" w:tentative="1">
      <w:start w:val="1"/>
      <w:numFmt w:val="decimal"/>
      <w:lvlText w:val="%4."/>
      <w:lvlJc w:val="left"/>
      <w:pPr>
        <w:ind w:left="7416" w:hanging="360"/>
      </w:pPr>
    </w:lvl>
    <w:lvl w:ilvl="4" w:tplc="0C0A0019" w:tentative="1">
      <w:start w:val="1"/>
      <w:numFmt w:val="lowerLetter"/>
      <w:lvlText w:val="%5."/>
      <w:lvlJc w:val="left"/>
      <w:pPr>
        <w:ind w:left="8136" w:hanging="360"/>
      </w:pPr>
    </w:lvl>
    <w:lvl w:ilvl="5" w:tplc="0C0A001B" w:tentative="1">
      <w:start w:val="1"/>
      <w:numFmt w:val="lowerRoman"/>
      <w:lvlText w:val="%6."/>
      <w:lvlJc w:val="right"/>
      <w:pPr>
        <w:ind w:left="8856" w:hanging="180"/>
      </w:pPr>
    </w:lvl>
    <w:lvl w:ilvl="6" w:tplc="0C0A000F" w:tentative="1">
      <w:start w:val="1"/>
      <w:numFmt w:val="decimal"/>
      <w:lvlText w:val="%7."/>
      <w:lvlJc w:val="left"/>
      <w:pPr>
        <w:ind w:left="9576" w:hanging="360"/>
      </w:pPr>
    </w:lvl>
    <w:lvl w:ilvl="7" w:tplc="0C0A0019" w:tentative="1">
      <w:start w:val="1"/>
      <w:numFmt w:val="lowerLetter"/>
      <w:lvlText w:val="%8."/>
      <w:lvlJc w:val="left"/>
      <w:pPr>
        <w:ind w:left="10296" w:hanging="360"/>
      </w:pPr>
    </w:lvl>
    <w:lvl w:ilvl="8" w:tplc="0C0A001B" w:tentative="1">
      <w:start w:val="1"/>
      <w:numFmt w:val="lowerRoman"/>
      <w:lvlText w:val="%9."/>
      <w:lvlJc w:val="right"/>
      <w:pPr>
        <w:ind w:left="11016" w:hanging="18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37156"/>
    <w:multiLevelType w:val="hybridMultilevel"/>
    <w:tmpl w:val="FA0EB062"/>
    <w:lvl w:ilvl="0" w:tplc="3ADA314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88651A7"/>
    <w:multiLevelType w:val="hybridMultilevel"/>
    <w:tmpl w:val="BD3C357E"/>
    <w:lvl w:ilvl="0" w:tplc="DE449BAC">
      <w:start w:val="1"/>
      <w:numFmt w:val="decimal"/>
      <w:lvlText w:val="%1."/>
      <w:lvlJc w:val="left"/>
      <w:pPr>
        <w:ind w:left="1689" w:hanging="555"/>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8" w15:restartNumberingAfterBreak="0">
    <w:nsid w:val="29DD4E4F"/>
    <w:multiLevelType w:val="multilevel"/>
    <w:tmpl w:val="026E901E"/>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isLgl/>
      <w:lvlText w:val="%1.%2.%3.%4.%5.%6.%7."/>
      <w:lvlJc w:val="left"/>
      <w:pPr>
        <w:ind w:left="2688" w:hanging="11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abstractNum w:abstractNumId="19" w15:restartNumberingAfterBreak="0">
    <w:nsid w:val="2EC324C1"/>
    <w:multiLevelType w:val="hybridMultilevel"/>
    <w:tmpl w:val="B78E5F8A"/>
    <w:lvl w:ilvl="0" w:tplc="E1729856">
      <w:start w:val="1"/>
      <w:numFmt w:val="upperRoman"/>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10B41D6"/>
    <w:multiLevelType w:val="hybridMultilevel"/>
    <w:tmpl w:val="FB824CC0"/>
    <w:lvl w:ilvl="0" w:tplc="CB8C7510">
      <w:numFmt w:val="bullet"/>
      <w:lvlText w:val="-"/>
      <w:lvlJc w:val="left"/>
      <w:pPr>
        <w:ind w:left="2619" w:hanging="360"/>
      </w:pPr>
      <w:rPr>
        <w:rFonts w:ascii="Aptos" w:eastAsiaTheme="minorHAnsi" w:hAnsi="Aptos" w:cstheme="minorBidi" w:hint="default"/>
      </w:rPr>
    </w:lvl>
    <w:lvl w:ilvl="1" w:tplc="04130003" w:tentative="1">
      <w:start w:val="1"/>
      <w:numFmt w:val="bullet"/>
      <w:lvlText w:val="o"/>
      <w:lvlJc w:val="left"/>
      <w:pPr>
        <w:ind w:left="3339" w:hanging="360"/>
      </w:pPr>
      <w:rPr>
        <w:rFonts w:ascii="Courier New" w:hAnsi="Courier New" w:cs="Courier New" w:hint="default"/>
      </w:rPr>
    </w:lvl>
    <w:lvl w:ilvl="2" w:tplc="04130005" w:tentative="1">
      <w:start w:val="1"/>
      <w:numFmt w:val="bullet"/>
      <w:lvlText w:val=""/>
      <w:lvlJc w:val="left"/>
      <w:pPr>
        <w:ind w:left="4059" w:hanging="360"/>
      </w:pPr>
      <w:rPr>
        <w:rFonts w:ascii="Wingdings" w:hAnsi="Wingdings" w:hint="default"/>
      </w:rPr>
    </w:lvl>
    <w:lvl w:ilvl="3" w:tplc="04130001" w:tentative="1">
      <w:start w:val="1"/>
      <w:numFmt w:val="bullet"/>
      <w:lvlText w:val=""/>
      <w:lvlJc w:val="left"/>
      <w:pPr>
        <w:ind w:left="4779" w:hanging="360"/>
      </w:pPr>
      <w:rPr>
        <w:rFonts w:ascii="Symbol" w:hAnsi="Symbol" w:hint="default"/>
      </w:rPr>
    </w:lvl>
    <w:lvl w:ilvl="4" w:tplc="04130003" w:tentative="1">
      <w:start w:val="1"/>
      <w:numFmt w:val="bullet"/>
      <w:lvlText w:val="o"/>
      <w:lvlJc w:val="left"/>
      <w:pPr>
        <w:ind w:left="5499" w:hanging="360"/>
      </w:pPr>
      <w:rPr>
        <w:rFonts w:ascii="Courier New" w:hAnsi="Courier New" w:cs="Courier New" w:hint="default"/>
      </w:rPr>
    </w:lvl>
    <w:lvl w:ilvl="5" w:tplc="04130005" w:tentative="1">
      <w:start w:val="1"/>
      <w:numFmt w:val="bullet"/>
      <w:lvlText w:val=""/>
      <w:lvlJc w:val="left"/>
      <w:pPr>
        <w:ind w:left="6219" w:hanging="360"/>
      </w:pPr>
      <w:rPr>
        <w:rFonts w:ascii="Wingdings" w:hAnsi="Wingdings" w:hint="default"/>
      </w:rPr>
    </w:lvl>
    <w:lvl w:ilvl="6" w:tplc="04130001" w:tentative="1">
      <w:start w:val="1"/>
      <w:numFmt w:val="bullet"/>
      <w:lvlText w:val=""/>
      <w:lvlJc w:val="left"/>
      <w:pPr>
        <w:ind w:left="6939" w:hanging="360"/>
      </w:pPr>
      <w:rPr>
        <w:rFonts w:ascii="Symbol" w:hAnsi="Symbol" w:hint="default"/>
      </w:rPr>
    </w:lvl>
    <w:lvl w:ilvl="7" w:tplc="04130003" w:tentative="1">
      <w:start w:val="1"/>
      <w:numFmt w:val="bullet"/>
      <w:lvlText w:val="o"/>
      <w:lvlJc w:val="left"/>
      <w:pPr>
        <w:ind w:left="7659" w:hanging="360"/>
      </w:pPr>
      <w:rPr>
        <w:rFonts w:ascii="Courier New" w:hAnsi="Courier New" w:cs="Courier New" w:hint="default"/>
      </w:rPr>
    </w:lvl>
    <w:lvl w:ilvl="8" w:tplc="04130005" w:tentative="1">
      <w:start w:val="1"/>
      <w:numFmt w:val="bullet"/>
      <w:lvlText w:val=""/>
      <w:lvlJc w:val="left"/>
      <w:pPr>
        <w:ind w:left="8379"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AD075CE"/>
    <w:multiLevelType w:val="hybridMultilevel"/>
    <w:tmpl w:val="A4D86578"/>
    <w:lvl w:ilvl="0" w:tplc="A3BE37A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4232350F"/>
    <w:multiLevelType w:val="hybridMultilevel"/>
    <w:tmpl w:val="BB64A326"/>
    <w:lvl w:ilvl="0" w:tplc="70689FBE">
      <w:start w:val="1"/>
      <w:numFmt w:val="decimal"/>
      <w:lvlText w:val="%1."/>
      <w:lvlJc w:val="left"/>
      <w:pPr>
        <w:ind w:left="1710" w:hanging="576"/>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5" w15:restartNumberingAfterBreak="0">
    <w:nsid w:val="515D1D37"/>
    <w:multiLevelType w:val="hybridMultilevel"/>
    <w:tmpl w:val="05F277A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3A62B7"/>
    <w:multiLevelType w:val="multilevel"/>
    <w:tmpl w:val="B6D45C0E"/>
    <w:lvl w:ilvl="0">
      <w:numFmt w:val="decimal"/>
      <w:lvlText w:val="%1."/>
      <w:lvlJc w:val="left"/>
      <w:pPr>
        <w:ind w:left="720" w:hanging="360"/>
      </w:pPr>
      <w:rPr>
        <w:rFonts w:hint="default"/>
      </w:rPr>
    </w:lvl>
    <w:lvl w:ilvl="1">
      <w:start w:val="1"/>
      <w:numFmt w:val="decimal"/>
      <w:isLgl/>
      <w:lvlText w:val="%1.%2."/>
      <w:lvlJc w:val="left"/>
      <w:pPr>
        <w:ind w:left="2259" w:hanging="1125"/>
      </w:pPr>
      <w:rPr>
        <w:rFonts w:hint="default"/>
      </w:rPr>
    </w:lvl>
    <w:lvl w:ilvl="2">
      <w:start w:val="1"/>
      <w:numFmt w:val="decimal"/>
      <w:isLgl/>
      <w:lvlText w:val="%1.%2.%3."/>
      <w:lvlJc w:val="left"/>
      <w:pPr>
        <w:ind w:left="3033" w:hanging="1125"/>
      </w:pPr>
      <w:rPr>
        <w:rFonts w:hint="default"/>
      </w:rPr>
    </w:lvl>
    <w:lvl w:ilvl="3">
      <w:start w:val="1"/>
      <w:numFmt w:val="decimal"/>
      <w:isLgl/>
      <w:lvlText w:val="%1.%2.%3.%4."/>
      <w:lvlJc w:val="left"/>
      <w:pPr>
        <w:ind w:left="3807" w:hanging="1125"/>
      </w:pPr>
      <w:rPr>
        <w:rFonts w:hint="default"/>
      </w:rPr>
    </w:lvl>
    <w:lvl w:ilvl="4">
      <w:start w:val="1"/>
      <w:numFmt w:val="decimal"/>
      <w:isLgl/>
      <w:lvlText w:val="%1.%2.%3.%4.%5."/>
      <w:lvlJc w:val="left"/>
      <w:pPr>
        <w:ind w:left="4581" w:hanging="1125"/>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28" w15:restartNumberingAfterBreak="0">
    <w:nsid w:val="71A21577"/>
    <w:multiLevelType w:val="multilevel"/>
    <w:tmpl w:val="531A6C9A"/>
    <w:lvl w:ilvl="0">
      <w:start w:val="1"/>
      <w:numFmt w:val="decimal"/>
      <w:lvlText w:val="%1."/>
      <w:lvlJc w:val="left"/>
      <w:pPr>
        <w:ind w:left="206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2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AF314E"/>
    <w:multiLevelType w:val="multilevel"/>
    <w:tmpl w:val="5610180C"/>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lvlText w:val="%7."/>
      <w:lvlJc w:val="left"/>
      <w:pPr>
        <w:ind w:left="1908" w:hanging="36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21"/>
  </w:num>
  <w:num w:numId="12" w16cid:durableId="1415778789">
    <w:abstractNumId w:val="15"/>
  </w:num>
  <w:num w:numId="13" w16cid:durableId="112525587">
    <w:abstractNumId w:val="10"/>
  </w:num>
  <w:num w:numId="14" w16cid:durableId="597950943">
    <w:abstractNumId w:val="12"/>
  </w:num>
  <w:num w:numId="15" w16cid:durableId="1924677541">
    <w:abstractNumId w:val="22"/>
  </w:num>
  <w:num w:numId="16" w16cid:durableId="764957565">
    <w:abstractNumId w:val="14"/>
  </w:num>
  <w:num w:numId="17" w16cid:durableId="490950738">
    <w:abstractNumId w:val="26"/>
  </w:num>
  <w:num w:numId="18" w16cid:durableId="1995598346">
    <w:abstractNumId w:val="29"/>
  </w:num>
  <w:num w:numId="19" w16cid:durableId="1552426132">
    <w:abstractNumId w:val="11"/>
  </w:num>
  <w:num w:numId="20" w16cid:durableId="80416414">
    <w:abstractNumId w:val="19"/>
  </w:num>
  <w:num w:numId="21" w16cid:durableId="450363951">
    <w:abstractNumId w:val="25"/>
  </w:num>
  <w:num w:numId="22" w16cid:durableId="600837926">
    <w:abstractNumId w:val="28"/>
  </w:num>
  <w:num w:numId="23" w16cid:durableId="1461846863">
    <w:abstractNumId w:val="13"/>
  </w:num>
  <w:num w:numId="24" w16cid:durableId="405958453">
    <w:abstractNumId w:val="27"/>
  </w:num>
  <w:num w:numId="25" w16cid:durableId="2047486837">
    <w:abstractNumId w:val="20"/>
  </w:num>
  <w:num w:numId="26" w16cid:durableId="1942448549">
    <w:abstractNumId w:val="16"/>
  </w:num>
  <w:num w:numId="27" w16cid:durableId="464547541">
    <w:abstractNumId w:val="18"/>
  </w:num>
  <w:num w:numId="28" w16cid:durableId="1024593240">
    <w:abstractNumId w:val="30"/>
  </w:num>
  <w:num w:numId="29" w16cid:durableId="993535033">
    <w:abstractNumId w:val="23"/>
  </w:num>
  <w:num w:numId="30" w16cid:durableId="2135175645">
    <w:abstractNumId w:val="24"/>
  </w:num>
  <w:num w:numId="31" w16cid:durableId="120082371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2A7D"/>
    <w:rsid w:val="00002FD9"/>
    <w:rsid w:val="000038A8"/>
    <w:rsid w:val="00005DF3"/>
    <w:rsid w:val="00006790"/>
    <w:rsid w:val="000248EE"/>
    <w:rsid w:val="00027624"/>
    <w:rsid w:val="00050F6B"/>
    <w:rsid w:val="00061E89"/>
    <w:rsid w:val="00066E6B"/>
    <w:rsid w:val="000678CD"/>
    <w:rsid w:val="00070708"/>
    <w:rsid w:val="00072C8C"/>
    <w:rsid w:val="00081CE0"/>
    <w:rsid w:val="00084D30"/>
    <w:rsid w:val="00090320"/>
    <w:rsid w:val="00092F5D"/>
    <w:rsid w:val="000931C0"/>
    <w:rsid w:val="000953A0"/>
    <w:rsid w:val="00097003"/>
    <w:rsid w:val="0009775F"/>
    <w:rsid w:val="000A2E09"/>
    <w:rsid w:val="000B0BAB"/>
    <w:rsid w:val="000B175B"/>
    <w:rsid w:val="000B3A0F"/>
    <w:rsid w:val="000B55C7"/>
    <w:rsid w:val="000C1C27"/>
    <w:rsid w:val="000C740C"/>
    <w:rsid w:val="000D4DD3"/>
    <w:rsid w:val="000E0415"/>
    <w:rsid w:val="000E5AB1"/>
    <w:rsid w:val="000F7715"/>
    <w:rsid w:val="0010176D"/>
    <w:rsid w:val="001140B2"/>
    <w:rsid w:val="00117807"/>
    <w:rsid w:val="00137704"/>
    <w:rsid w:val="00141936"/>
    <w:rsid w:val="001463BB"/>
    <w:rsid w:val="0015490D"/>
    <w:rsid w:val="00156B99"/>
    <w:rsid w:val="001613A5"/>
    <w:rsid w:val="00162FDB"/>
    <w:rsid w:val="00166124"/>
    <w:rsid w:val="00172239"/>
    <w:rsid w:val="00172DD4"/>
    <w:rsid w:val="00183B2B"/>
    <w:rsid w:val="00184DDA"/>
    <w:rsid w:val="001900CD"/>
    <w:rsid w:val="001A0452"/>
    <w:rsid w:val="001A5040"/>
    <w:rsid w:val="001B4B04"/>
    <w:rsid w:val="001B5875"/>
    <w:rsid w:val="001C3E64"/>
    <w:rsid w:val="001C4B9C"/>
    <w:rsid w:val="001C6663"/>
    <w:rsid w:val="001C7895"/>
    <w:rsid w:val="001D07F5"/>
    <w:rsid w:val="001D26DF"/>
    <w:rsid w:val="001F1599"/>
    <w:rsid w:val="001F19C4"/>
    <w:rsid w:val="001F33F8"/>
    <w:rsid w:val="002012B6"/>
    <w:rsid w:val="00202781"/>
    <w:rsid w:val="002043F0"/>
    <w:rsid w:val="00211E0B"/>
    <w:rsid w:val="0021321E"/>
    <w:rsid w:val="00213AB7"/>
    <w:rsid w:val="00216709"/>
    <w:rsid w:val="002202AC"/>
    <w:rsid w:val="002233E6"/>
    <w:rsid w:val="00231DC6"/>
    <w:rsid w:val="00232575"/>
    <w:rsid w:val="00237732"/>
    <w:rsid w:val="00240C29"/>
    <w:rsid w:val="00247258"/>
    <w:rsid w:val="002516C7"/>
    <w:rsid w:val="00257CAC"/>
    <w:rsid w:val="0027224D"/>
    <w:rsid w:val="0027237A"/>
    <w:rsid w:val="0027673C"/>
    <w:rsid w:val="0029719E"/>
    <w:rsid w:val="002974E9"/>
    <w:rsid w:val="002A306B"/>
    <w:rsid w:val="002A3384"/>
    <w:rsid w:val="002A605E"/>
    <w:rsid w:val="002A7F94"/>
    <w:rsid w:val="002B109A"/>
    <w:rsid w:val="002C0990"/>
    <w:rsid w:val="002C12EA"/>
    <w:rsid w:val="002C4366"/>
    <w:rsid w:val="002C4397"/>
    <w:rsid w:val="002C6D45"/>
    <w:rsid w:val="002D352D"/>
    <w:rsid w:val="002D6E53"/>
    <w:rsid w:val="002E2078"/>
    <w:rsid w:val="002E3AAE"/>
    <w:rsid w:val="002E7D1D"/>
    <w:rsid w:val="002F046D"/>
    <w:rsid w:val="002F28A3"/>
    <w:rsid w:val="002F3023"/>
    <w:rsid w:val="00301764"/>
    <w:rsid w:val="003229D8"/>
    <w:rsid w:val="00327B11"/>
    <w:rsid w:val="00336C97"/>
    <w:rsid w:val="00337F88"/>
    <w:rsid w:val="00342432"/>
    <w:rsid w:val="0035223F"/>
    <w:rsid w:val="00352D4B"/>
    <w:rsid w:val="0035638C"/>
    <w:rsid w:val="0035760E"/>
    <w:rsid w:val="00365B8A"/>
    <w:rsid w:val="00372E83"/>
    <w:rsid w:val="00375316"/>
    <w:rsid w:val="00376396"/>
    <w:rsid w:val="00393E4B"/>
    <w:rsid w:val="003A3AFA"/>
    <w:rsid w:val="003A46BB"/>
    <w:rsid w:val="003A4EC7"/>
    <w:rsid w:val="003A7295"/>
    <w:rsid w:val="003B1F60"/>
    <w:rsid w:val="003B3091"/>
    <w:rsid w:val="003B5757"/>
    <w:rsid w:val="003B7C8C"/>
    <w:rsid w:val="003C2CC4"/>
    <w:rsid w:val="003C3513"/>
    <w:rsid w:val="003D1B2D"/>
    <w:rsid w:val="003D4B23"/>
    <w:rsid w:val="003E278A"/>
    <w:rsid w:val="003F0F1E"/>
    <w:rsid w:val="003F4B89"/>
    <w:rsid w:val="00401FD9"/>
    <w:rsid w:val="004112A2"/>
    <w:rsid w:val="00413520"/>
    <w:rsid w:val="004138EC"/>
    <w:rsid w:val="00423025"/>
    <w:rsid w:val="0042586A"/>
    <w:rsid w:val="004325CB"/>
    <w:rsid w:val="00434097"/>
    <w:rsid w:val="00440A07"/>
    <w:rsid w:val="00455A06"/>
    <w:rsid w:val="0045663B"/>
    <w:rsid w:val="00461435"/>
    <w:rsid w:val="00462880"/>
    <w:rsid w:val="0046310A"/>
    <w:rsid w:val="00464AC3"/>
    <w:rsid w:val="00466044"/>
    <w:rsid w:val="00473BCE"/>
    <w:rsid w:val="00476F24"/>
    <w:rsid w:val="00490FE0"/>
    <w:rsid w:val="00492189"/>
    <w:rsid w:val="004968D3"/>
    <w:rsid w:val="004A1F3B"/>
    <w:rsid w:val="004A5D33"/>
    <w:rsid w:val="004A6C8D"/>
    <w:rsid w:val="004C0E79"/>
    <w:rsid w:val="004C4E0F"/>
    <w:rsid w:val="004C55B0"/>
    <w:rsid w:val="004D5410"/>
    <w:rsid w:val="004E3AA6"/>
    <w:rsid w:val="004E72DC"/>
    <w:rsid w:val="004F0ED2"/>
    <w:rsid w:val="004F6BA0"/>
    <w:rsid w:val="00503BEA"/>
    <w:rsid w:val="00521FF9"/>
    <w:rsid w:val="00531173"/>
    <w:rsid w:val="00533616"/>
    <w:rsid w:val="00535ABA"/>
    <w:rsid w:val="00535FC6"/>
    <w:rsid w:val="0053768B"/>
    <w:rsid w:val="00537E94"/>
    <w:rsid w:val="005420F2"/>
    <w:rsid w:val="0054285C"/>
    <w:rsid w:val="00547182"/>
    <w:rsid w:val="0057276E"/>
    <w:rsid w:val="00573AC9"/>
    <w:rsid w:val="005760CB"/>
    <w:rsid w:val="00584173"/>
    <w:rsid w:val="00595309"/>
    <w:rsid w:val="00595520"/>
    <w:rsid w:val="005A44B9"/>
    <w:rsid w:val="005A61EF"/>
    <w:rsid w:val="005A7EDC"/>
    <w:rsid w:val="005B0BC0"/>
    <w:rsid w:val="005B1BA0"/>
    <w:rsid w:val="005B3DB3"/>
    <w:rsid w:val="005C0268"/>
    <w:rsid w:val="005C0CDC"/>
    <w:rsid w:val="005C47EC"/>
    <w:rsid w:val="005C685F"/>
    <w:rsid w:val="005D089B"/>
    <w:rsid w:val="005D15CA"/>
    <w:rsid w:val="005F08DF"/>
    <w:rsid w:val="005F0B24"/>
    <w:rsid w:val="005F3066"/>
    <w:rsid w:val="005F3E61"/>
    <w:rsid w:val="005F58C0"/>
    <w:rsid w:val="005F5C2C"/>
    <w:rsid w:val="00600A51"/>
    <w:rsid w:val="00600BF0"/>
    <w:rsid w:val="00604DDD"/>
    <w:rsid w:val="006107D6"/>
    <w:rsid w:val="006115CC"/>
    <w:rsid w:val="00611FC4"/>
    <w:rsid w:val="00612739"/>
    <w:rsid w:val="006176FB"/>
    <w:rsid w:val="006178CE"/>
    <w:rsid w:val="00630FCB"/>
    <w:rsid w:val="006317CB"/>
    <w:rsid w:val="006347E5"/>
    <w:rsid w:val="00637A54"/>
    <w:rsid w:val="006405A1"/>
    <w:rsid w:val="00640B26"/>
    <w:rsid w:val="00644DE2"/>
    <w:rsid w:val="0065766B"/>
    <w:rsid w:val="00657764"/>
    <w:rsid w:val="006665F8"/>
    <w:rsid w:val="00670237"/>
    <w:rsid w:val="00672FF3"/>
    <w:rsid w:val="006770B2"/>
    <w:rsid w:val="00681AC3"/>
    <w:rsid w:val="00683E55"/>
    <w:rsid w:val="00684D27"/>
    <w:rsid w:val="00686A48"/>
    <w:rsid w:val="0068763C"/>
    <w:rsid w:val="00691D35"/>
    <w:rsid w:val="00692077"/>
    <w:rsid w:val="00692D25"/>
    <w:rsid w:val="006940E1"/>
    <w:rsid w:val="006954B1"/>
    <w:rsid w:val="00696C10"/>
    <w:rsid w:val="006A271D"/>
    <w:rsid w:val="006A3C72"/>
    <w:rsid w:val="006A7392"/>
    <w:rsid w:val="006A7770"/>
    <w:rsid w:val="006B03A1"/>
    <w:rsid w:val="006B67D9"/>
    <w:rsid w:val="006B727E"/>
    <w:rsid w:val="006C5535"/>
    <w:rsid w:val="006D0589"/>
    <w:rsid w:val="006D1AC6"/>
    <w:rsid w:val="006E564B"/>
    <w:rsid w:val="006E64C6"/>
    <w:rsid w:val="006E7154"/>
    <w:rsid w:val="006F18CB"/>
    <w:rsid w:val="007003CD"/>
    <w:rsid w:val="0070172D"/>
    <w:rsid w:val="0070701E"/>
    <w:rsid w:val="007146AC"/>
    <w:rsid w:val="0072632A"/>
    <w:rsid w:val="007358E8"/>
    <w:rsid w:val="00736ECE"/>
    <w:rsid w:val="00741637"/>
    <w:rsid w:val="0074533B"/>
    <w:rsid w:val="00762438"/>
    <w:rsid w:val="007631AC"/>
    <w:rsid w:val="007643BC"/>
    <w:rsid w:val="0077422D"/>
    <w:rsid w:val="00774B4F"/>
    <w:rsid w:val="00780C68"/>
    <w:rsid w:val="00786DA8"/>
    <w:rsid w:val="007959FE"/>
    <w:rsid w:val="007976C0"/>
    <w:rsid w:val="007A0CF1"/>
    <w:rsid w:val="007B646C"/>
    <w:rsid w:val="007B6BA5"/>
    <w:rsid w:val="007C1E8B"/>
    <w:rsid w:val="007C3390"/>
    <w:rsid w:val="007C42D8"/>
    <w:rsid w:val="007C4F4B"/>
    <w:rsid w:val="007C6F8D"/>
    <w:rsid w:val="007D01D7"/>
    <w:rsid w:val="007D5A51"/>
    <w:rsid w:val="007D6F65"/>
    <w:rsid w:val="007D7362"/>
    <w:rsid w:val="007F5CE2"/>
    <w:rsid w:val="007F6611"/>
    <w:rsid w:val="00800855"/>
    <w:rsid w:val="00800E7D"/>
    <w:rsid w:val="0080624A"/>
    <w:rsid w:val="00807123"/>
    <w:rsid w:val="00810BAC"/>
    <w:rsid w:val="00814C29"/>
    <w:rsid w:val="008175E9"/>
    <w:rsid w:val="0082294F"/>
    <w:rsid w:val="008242D7"/>
    <w:rsid w:val="0082577B"/>
    <w:rsid w:val="00825CB5"/>
    <w:rsid w:val="00831D3D"/>
    <w:rsid w:val="00833AAA"/>
    <w:rsid w:val="00835D52"/>
    <w:rsid w:val="00840217"/>
    <w:rsid w:val="00842608"/>
    <w:rsid w:val="0084677E"/>
    <w:rsid w:val="0085398D"/>
    <w:rsid w:val="008638B7"/>
    <w:rsid w:val="00866893"/>
    <w:rsid w:val="00866F02"/>
    <w:rsid w:val="00867B1E"/>
    <w:rsid w:val="00867D18"/>
    <w:rsid w:val="008702BA"/>
    <w:rsid w:val="00871F9A"/>
    <w:rsid w:val="00871FD5"/>
    <w:rsid w:val="00874153"/>
    <w:rsid w:val="0088172E"/>
    <w:rsid w:val="00881EFA"/>
    <w:rsid w:val="0088436A"/>
    <w:rsid w:val="008879CB"/>
    <w:rsid w:val="00895B92"/>
    <w:rsid w:val="008979B1"/>
    <w:rsid w:val="008A67D9"/>
    <w:rsid w:val="008A6B25"/>
    <w:rsid w:val="008A6C4F"/>
    <w:rsid w:val="008B389E"/>
    <w:rsid w:val="008B5440"/>
    <w:rsid w:val="008C025D"/>
    <w:rsid w:val="008D045E"/>
    <w:rsid w:val="008D21F5"/>
    <w:rsid w:val="008D3F25"/>
    <w:rsid w:val="008D4D82"/>
    <w:rsid w:val="008D5DFB"/>
    <w:rsid w:val="008E0E46"/>
    <w:rsid w:val="008E1EDD"/>
    <w:rsid w:val="008E7116"/>
    <w:rsid w:val="008F143B"/>
    <w:rsid w:val="008F3882"/>
    <w:rsid w:val="008F4B7C"/>
    <w:rsid w:val="0090426C"/>
    <w:rsid w:val="00917FFB"/>
    <w:rsid w:val="00921BD2"/>
    <w:rsid w:val="009251B2"/>
    <w:rsid w:val="0092556A"/>
    <w:rsid w:val="00926E47"/>
    <w:rsid w:val="0093075E"/>
    <w:rsid w:val="00931348"/>
    <w:rsid w:val="009334DB"/>
    <w:rsid w:val="00937CE6"/>
    <w:rsid w:val="00940A55"/>
    <w:rsid w:val="009428C3"/>
    <w:rsid w:val="00947162"/>
    <w:rsid w:val="0095610E"/>
    <w:rsid w:val="009610D0"/>
    <w:rsid w:val="00962870"/>
    <w:rsid w:val="0096375C"/>
    <w:rsid w:val="009662E6"/>
    <w:rsid w:val="0096756F"/>
    <w:rsid w:val="0097095E"/>
    <w:rsid w:val="00981AD7"/>
    <w:rsid w:val="009821D7"/>
    <w:rsid w:val="0098592B"/>
    <w:rsid w:val="00985FC4"/>
    <w:rsid w:val="00990766"/>
    <w:rsid w:val="00991261"/>
    <w:rsid w:val="009964C4"/>
    <w:rsid w:val="009A0BE1"/>
    <w:rsid w:val="009A7B81"/>
    <w:rsid w:val="009B011B"/>
    <w:rsid w:val="009B4B21"/>
    <w:rsid w:val="009B7EB7"/>
    <w:rsid w:val="009C07B7"/>
    <w:rsid w:val="009C0E65"/>
    <w:rsid w:val="009C767D"/>
    <w:rsid w:val="009D01C0"/>
    <w:rsid w:val="009D19F9"/>
    <w:rsid w:val="009D6744"/>
    <w:rsid w:val="009D6A08"/>
    <w:rsid w:val="009D6B01"/>
    <w:rsid w:val="009E0A16"/>
    <w:rsid w:val="009E65AE"/>
    <w:rsid w:val="009E6CB7"/>
    <w:rsid w:val="009E7970"/>
    <w:rsid w:val="009F07A8"/>
    <w:rsid w:val="009F1396"/>
    <w:rsid w:val="009F2EAC"/>
    <w:rsid w:val="009F48BA"/>
    <w:rsid w:val="009F57E3"/>
    <w:rsid w:val="00A01846"/>
    <w:rsid w:val="00A0184C"/>
    <w:rsid w:val="00A01BA5"/>
    <w:rsid w:val="00A077A2"/>
    <w:rsid w:val="00A10F4F"/>
    <w:rsid w:val="00A11067"/>
    <w:rsid w:val="00A1704A"/>
    <w:rsid w:val="00A23E00"/>
    <w:rsid w:val="00A343DF"/>
    <w:rsid w:val="00A36AC2"/>
    <w:rsid w:val="00A425EB"/>
    <w:rsid w:val="00A50EA4"/>
    <w:rsid w:val="00A573D8"/>
    <w:rsid w:val="00A578A1"/>
    <w:rsid w:val="00A578A5"/>
    <w:rsid w:val="00A60979"/>
    <w:rsid w:val="00A6195F"/>
    <w:rsid w:val="00A679E6"/>
    <w:rsid w:val="00A72F22"/>
    <w:rsid w:val="00A733BC"/>
    <w:rsid w:val="00A748A6"/>
    <w:rsid w:val="00A76A69"/>
    <w:rsid w:val="00A834EF"/>
    <w:rsid w:val="00A879A4"/>
    <w:rsid w:val="00AA0FF8"/>
    <w:rsid w:val="00AA15B0"/>
    <w:rsid w:val="00AB5DDB"/>
    <w:rsid w:val="00AB793D"/>
    <w:rsid w:val="00AC0F2C"/>
    <w:rsid w:val="00AC1803"/>
    <w:rsid w:val="00AC502A"/>
    <w:rsid w:val="00AC77F0"/>
    <w:rsid w:val="00AE1E26"/>
    <w:rsid w:val="00AE3980"/>
    <w:rsid w:val="00AE58B3"/>
    <w:rsid w:val="00AE693A"/>
    <w:rsid w:val="00AF58C1"/>
    <w:rsid w:val="00B0350A"/>
    <w:rsid w:val="00B04A3F"/>
    <w:rsid w:val="00B06643"/>
    <w:rsid w:val="00B11ACD"/>
    <w:rsid w:val="00B148CE"/>
    <w:rsid w:val="00B15055"/>
    <w:rsid w:val="00B20551"/>
    <w:rsid w:val="00B2314C"/>
    <w:rsid w:val="00B23F38"/>
    <w:rsid w:val="00B26902"/>
    <w:rsid w:val="00B30179"/>
    <w:rsid w:val="00B31E0B"/>
    <w:rsid w:val="00B321BF"/>
    <w:rsid w:val="00B33FC7"/>
    <w:rsid w:val="00B37B15"/>
    <w:rsid w:val="00B4162A"/>
    <w:rsid w:val="00B45C02"/>
    <w:rsid w:val="00B46509"/>
    <w:rsid w:val="00B70B63"/>
    <w:rsid w:val="00B72A1E"/>
    <w:rsid w:val="00B73C54"/>
    <w:rsid w:val="00B74717"/>
    <w:rsid w:val="00B75FB4"/>
    <w:rsid w:val="00B80F3E"/>
    <w:rsid w:val="00B81E12"/>
    <w:rsid w:val="00B91F37"/>
    <w:rsid w:val="00BA339B"/>
    <w:rsid w:val="00BB21DE"/>
    <w:rsid w:val="00BB22B8"/>
    <w:rsid w:val="00BB23CC"/>
    <w:rsid w:val="00BB4BFD"/>
    <w:rsid w:val="00BC1E7E"/>
    <w:rsid w:val="00BC2596"/>
    <w:rsid w:val="00BC29D0"/>
    <w:rsid w:val="00BC74E9"/>
    <w:rsid w:val="00BE1B67"/>
    <w:rsid w:val="00BE237F"/>
    <w:rsid w:val="00BE36A9"/>
    <w:rsid w:val="00BE60E1"/>
    <w:rsid w:val="00BE618E"/>
    <w:rsid w:val="00BE705B"/>
    <w:rsid w:val="00BE7BEC"/>
    <w:rsid w:val="00BF0A5A"/>
    <w:rsid w:val="00BF0E63"/>
    <w:rsid w:val="00BF12A3"/>
    <w:rsid w:val="00BF16D7"/>
    <w:rsid w:val="00BF2373"/>
    <w:rsid w:val="00BF279B"/>
    <w:rsid w:val="00BF4B66"/>
    <w:rsid w:val="00BF5695"/>
    <w:rsid w:val="00C044E2"/>
    <w:rsid w:val="00C048CB"/>
    <w:rsid w:val="00C066F3"/>
    <w:rsid w:val="00C1161B"/>
    <w:rsid w:val="00C2074A"/>
    <w:rsid w:val="00C334CC"/>
    <w:rsid w:val="00C44775"/>
    <w:rsid w:val="00C463DD"/>
    <w:rsid w:val="00C576AB"/>
    <w:rsid w:val="00C745C3"/>
    <w:rsid w:val="00C8522F"/>
    <w:rsid w:val="00C90A32"/>
    <w:rsid w:val="00C978F5"/>
    <w:rsid w:val="00CA24A4"/>
    <w:rsid w:val="00CA3188"/>
    <w:rsid w:val="00CB08CC"/>
    <w:rsid w:val="00CB348D"/>
    <w:rsid w:val="00CC468B"/>
    <w:rsid w:val="00CC65B7"/>
    <w:rsid w:val="00CC6981"/>
    <w:rsid w:val="00CD3C03"/>
    <w:rsid w:val="00CD46F5"/>
    <w:rsid w:val="00CD5093"/>
    <w:rsid w:val="00CE4A8F"/>
    <w:rsid w:val="00CF071D"/>
    <w:rsid w:val="00CF6E3F"/>
    <w:rsid w:val="00D00CE2"/>
    <w:rsid w:val="00D0123D"/>
    <w:rsid w:val="00D15B04"/>
    <w:rsid w:val="00D2031B"/>
    <w:rsid w:val="00D25FE2"/>
    <w:rsid w:val="00D37DA9"/>
    <w:rsid w:val="00D406A7"/>
    <w:rsid w:val="00D41AE9"/>
    <w:rsid w:val="00D42AC4"/>
    <w:rsid w:val="00D43252"/>
    <w:rsid w:val="00D43D30"/>
    <w:rsid w:val="00D44D86"/>
    <w:rsid w:val="00D4539E"/>
    <w:rsid w:val="00D50B7D"/>
    <w:rsid w:val="00D52012"/>
    <w:rsid w:val="00D52228"/>
    <w:rsid w:val="00D5283A"/>
    <w:rsid w:val="00D53D0C"/>
    <w:rsid w:val="00D704E5"/>
    <w:rsid w:val="00D72727"/>
    <w:rsid w:val="00D72BBD"/>
    <w:rsid w:val="00D82689"/>
    <w:rsid w:val="00D86AEA"/>
    <w:rsid w:val="00D90BC3"/>
    <w:rsid w:val="00D935FE"/>
    <w:rsid w:val="00D978C6"/>
    <w:rsid w:val="00D97C51"/>
    <w:rsid w:val="00DA0956"/>
    <w:rsid w:val="00DA357F"/>
    <w:rsid w:val="00DA3E12"/>
    <w:rsid w:val="00DC18AD"/>
    <w:rsid w:val="00DC792B"/>
    <w:rsid w:val="00DE6AD4"/>
    <w:rsid w:val="00DF2C61"/>
    <w:rsid w:val="00DF7CAE"/>
    <w:rsid w:val="00E032FD"/>
    <w:rsid w:val="00E149B5"/>
    <w:rsid w:val="00E22B54"/>
    <w:rsid w:val="00E257A6"/>
    <w:rsid w:val="00E3074A"/>
    <w:rsid w:val="00E40FC9"/>
    <w:rsid w:val="00E423C0"/>
    <w:rsid w:val="00E445D1"/>
    <w:rsid w:val="00E5015A"/>
    <w:rsid w:val="00E503B8"/>
    <w:rsid w:val="00E52978"/>
    <w:rsid w:val="00E57190"/>
    <w:rsid w:val="00E61EA2"/>
    <w:rsid w:val="00E6414C"/>
    <w:rsid w:val="00E66F5B"/>
    <w:rsid w:val="00E70E0F"/>
    <w:rsid w:val="00E7260F"/>
    <w:rsid w:val="00E8702D"/>
    <w:rsid w:val="00E905F4"/>
    <w:rsid w:val="00E916A9"/>
    <w:rsid w:val="00E916DE"/>
    <w:rsid w:val="00E925AD"/>
    <w:rsid w:val="00E96630"/>
    <w:rsid w:val="00EB0A66"/>
    <w:rsid w:val="00EB2084"/>
    <w:rsid w:val="00EB4D0B"/>
    <w:rsid w:val="00EB6912"/>
    <w:rsid w:val="00EC23DE"/>
    <w:rsid w:val="00ED18DC"/>
    <w:rsid w:val="00ED4883"/>
    <w:rsid w:val="00ED59BC"/>
    <w:rsid w:val="00ED6201"/>
    <w:rsid w:val="00ED7A2A"/>
    <w:rsid w:val="00ED7F18"/>
    <w:rsid w:val="00EE41AF"/>
    <w:rsid w:val="00EE4276"/>
    <w:rsid w:val="00EE5D74"/>
    <w:rsid w:val="00EF1D7F"/>
    <w:rsid w:val="00F0137E"/>
    <w:rsid w:val="00F04E44"/>
    <w:rsid w:val="00F05B93"/>
    <w:rsid w:val="00F07B88"/>
    <w:rsid w:val="00F203C0"/>
    <w:rsid w:val="00F205C1"/>
    <w:rsid w:val="00F211D3"/>
    <w:rsid w:val="00F21786"/>
    <w:rsid w:val="00F24C2D"/>
    <w:rsid w:val="00F25D06"/>
    <w:rsid w:val="00F25FAF"/>
    <w:rsid w:val="00F31CFF"/>
    <w:rsid w:val="00F3742B"/>
    <w:rsid w:val="00F41FDB"/>
    <w:rsid w:val="00F4478A"/>
    <w:rsid w:val="00F50597"/>
    <w:rsid w:val="00F51019"/>
    <w:rsid w:val="00F51AA6"/>
    <w:rsid w:val="00F56D63"/>
    <w:rsid w:val="00F609A9"/>
    <w:rsid w:val="00F62C34"/>
    <w:rsid w:val="00F6401D"/>
    <w:rsid w:val="00F678B7"/>
    <w:rsid w:val="00F7373F"/>
    <w:rsid w:val="00F73AD4"/>
    <w:rsid w:val="00F803C8"/>
    <w:rsid w:val="00F80C99"/>
    <w:rsid w:val="00F812F5"/>
    <w:rsid w:val="00F85846"/>
    <w:rsid w:val="00F85BF4"/>
    <w:rsid w:val="00F867EC"/>
    <w:rsid w:val="00F87F88"/>
    <w:rsid w:val="00F91B2B"/>
    <w:rsid w:val="00F963D3"/>
    <w:rsid w:val="00FA061B"/>
    <w:rsid w:val="00FA065B"/>
    <w:rsid w:val="00FA2052"/>
    <w:rsid w:val="00FA61B7"/>
    <w:rsid w:val="00FB4412"/>
    <w:rsid w:val="00FB7CD1"/>
    <w:rsid w:val="00FC03CD"/>
    <w:rsid w:val="00FC0646"/>
    <w:rsid w:val="00FC5676"/>
    <w:rsid w:val="00FC68B7"/>
    <w:rsid w:val="00FC7200"/>
    <w:rsid w:val="00FE6985"/>
    <w:rsid w:val="00FE704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55"/>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
    <w:basedOn w:val="DefaultParagraphFont"/>
    <w:link w:val="FootnoteTex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paragraph" w:styleId="Date">
    <w:name w:val="Date"/>
    <w:basedOn w:val="Normal"/>
    <w:next w:val="Normal"/>
    <w:link w:val="DateChar"/>
    <w:semiHidden/>
    <w:rsid w:val="002233E6"/>
  </w:style>
  <w:style w:type="character" w:customStyle="1" w:styleId="DateChar">
    <w:name w:val="Date Char"/>
    <w:basedOn w:val="DefaultParagraphFont"/>
    <w:link w:val="Date"/>
    <w:semiHidden/>
    <w:rsid w:val="002233E6"/>
    <w:rPr>
      <w:lang w:val="en-GB"/>
    </w:rPr>
  </w:style>
  <w:style w:type="character" w:customStyle="1" w:styleId="HChGChar">
    <w:name w:val="_ H _Ch_G Char"/>
    <w:link w:val="HChG"/>
    <w:rsid w:val="005760CB"/>
    <w:rPr>
      <w:b/>
      <w:sz w:val="28"/>
      <w:lang w:val="en-GB"/>
    </w:rPr>
  </w:style>
  <w:style w:type="paragraph" w:styleId="ListParagraph">
    <w:name w:val="List Paragraph"/>
    <w:basedOn w:val="Normal"/>
    <w:uiPriority w:val="34"/>
    <w:qFormat/>
    <w:rsid w:val="005760CB"/>
    <w:pPr>
      <w:suppressAutoHyphens/>
      <w:ind w:left="720"/>
      <w:contextualSpacing/>
    </w:pPr>
    <w:rPr>
      <w:rFonts w:eastAsia="Batang"/>
      <w:lang w:eastAsia="en-US"/>
    </w:rPr>
  </w:style>
  <w:style w:type="paragraph" w:customStyle="1" w:styleId="para">
    <w:name w:val="para"/>
    <w:basedOn w:val="Normal"/>
    <w:link w:val="paraChar"/>
    <w:qFormat/>
    <w:rsid w:val="00800855"/>
    <w:pPr>
      <w:spacing w:after="120"/>
      <w:ind w:left="2268" w:right="1134" w:hanging="1134"/>
      <w:jc w:val="both"/>
    </w:pPr>
    <w:rPr>
      <w:rFonts w:eastAsia="Yu Mincho"/>
      <w:snapToGrid w:val="0"/>
      <w:lang w:val="fr-FR" w:eastAsia="en-US"/>
    </w:rPr>
  </w:style>
  <w:style w:type="character" w:customStyle="1" w:styleId="paraChar">
    <w:name w:val="para Char"/>
    <w:link w:val="para"/>
    <w:rsid w:val="00800855"/>
    <w:rPr>
      <w:rFonts w:eastAsia="Yu Mincho"/>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0" ma:contentTypeDescription="Create a new document." ma:contentTypeScope="" ma:versionID="8bda90588dd6c335b37361152779e204">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59377319ba133a51200161d4574cec6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5D97EFF4-B47F-4873-9C6B-373A23D5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12</TotalTime>
  <Pages>1</Pages>
  <Words>301</Words>
  <Characters>1718</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GRSP-77-33</vt:lpstr>
      <vt:lpstr/>
    </vt:vector>
  </TitlesOfParts>
  <Company>CSD</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GRSP-77-34</dc:title>
  <dc:creator>Editorial</dc:creator>
  <cp:lastModifiedBy>Armando Serrano Lombillo</cp:lastModifiedBy>
  <cp:revision>27</cp:revision>
  <cp:lastPrinted>2025-05-01T10:02:00Z</cp:lastPrinted>
  <dcterms:created xsi:type="dcterms:W3CDTF">2025-05-01T13:53:00Z</dcterms:created>
  <dcterms:modified xsi:type="dcterms:W3CDTF">2025-05-02T07:28:00Z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