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3E5F008" w14:textId="77777777" w:rsidTr="00B20551">
        <w:trPr>
          <w:cantSplit/>
          <w:trHeight w:hRule="exact" w:val="851"/>
        </w:trPr>
        <w:tc>
          <w:tcPr>
            <w:tcW w:w="1276" w:type="dxa"/>
            <w:tcBorders>
              <w:bottom w:val="single" w:sz="4" w:space="0" w:color="auto"/>
            </w:tcBorders>
            <w:vAlign w:val="bottom"/>
          </w:tcPr>
          <w:p w14:paraId="3208AEB5" w14:textId="77777777" w:rsidR="009E6CB7" w:rsidRDefault="009E6CB7" w:rsidP="00B20551">
            <w:pPr>
              <w:spacing w:after="80"/>
            </w:pPr>
          </w:p>
        </w:tc>
        <w:tc>
          <w:tcPr>
            <w:tcW w:w="2268" w:type="dxa"/>
            <w:tcBorders>
              <w:bottom w:val="single" w:sz="4" w:space="0" w:color="auto"/>
            </w:tcBorders>
            <w:vAlign w:val="bottom"/>
          </w:tcPr>
          <w:p w14:paraId="12232C4D"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A673194" w14:textId="692E0F5F" w:rsidR="009E6CB7" w:rsidRPr="00D47EEA" w:rsidRDefault="004E3F12" w:rsidP="004E3F12">
            <w:pPr>
              <w:jc w:val="right"/>
            </w:pPr>
            <w:r w:rsidRPr="004E3F12">
              <w:rPr>
                <w:sz w:val="40"/>
              </w:rPr>
              <w:t>ECE</w:t>
            </w:r>
            <w:r>
              <w:t>/TRANS/WP.29/GRSP/2025/8</w:t>
            </w:r>
          </w:p>
        </w:tc>
      </w:tr>
      <w:tr w:rsidR="009E6CB7" w14:paraId="3A58073D" w14:textId="77777777" w:rsidTr="00B20551">
        <w:trPr>
          <w:cantSplit/>
          <w:trHeight w:hRule="exact" w:val="2835"/>
        </w:trPr>
        <w:tc>
          <w:tcPr>
            <w:tcW w:w="1276" w:type="dxa"/>
            <w:tcBorders>
              <w:top w:val="single" w:sz="4" w:space="0" w:color="auto"/>
              <w:bottom w:val="single" w:sz="12" w:space="0" w:color="auto"/>
            </w:tcBorders>
          </w:tcPr>
          <w:p w14:paraId="773620A5" w14:textId="77777777" w:rsidR="009E6CB7" w:rsidRDefault="00686A48" w:rsidP="00B20551">
            <w:pPr>
              <w:spacing w:before="120"/>
            </w:pPr>
            <w:r>
              <w:rPr>
                <w:noProof/>
                <w:lang w:val="fr-CH" w:eastAsia="fr-CH"/>
              </w:rPr>
              <w:drawing>
                <wp:inline distT="0" distB="0" distL="0" distR="0" wp14:anchorId="3BCA0DE1" wp14:editId="51833E7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28F4D8E"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F47904B" w14:textId="77777777" w:rsidR="009E6CB7" w:rsidRDefault="004E3F12" w:rsidP="004E3F12">
            <w:pPr>
              <w:spacing w:before="240" w:line="240" w:lineRule="exact"/>
            </w:pPr>
            <w:r>
              <w:t>Distr.: General</w:t>
            </w:r>
          </w:p>
          <w:p w14:paraId="635B3B1E" w14:textId="779535DB" w:rsidR="004E3F12" w:rsidRDefault="00687644" w:rsidP="004E3F12">
            <w:pPr>
              <w:spacing w:line="240" w:lineRule="exact"/>
            </w:pPr>
            <w:r>
              <w:t>24</w:t>
            </w:r>
            <w:r w:rsidR="004E3F12">
              <w:t xml:space="preserve"> February 2025</w:t>
            </w:r>
          </w:p>
          <w:p w14:paraId="6A25DC3F" w14:textId="77777777" w:rsidR="004E3F12" w:rsidRDefault="004E3F12" w:rsidP="004E3F12">
            <w:pPr>
              <w:spacing w:line="240" w:lineRule="exact"/>
            </w:pPr>
          </w:p>
          <w:p w14:paraId="7E9F24E9" w14:textId="497F4C14" w:rsidR="004E3F12" w:rsidRDefault="004E3F12" w:rsidP="004E3F12">
            <w:pPr>
              <w:spacing w:line="240" w:lineRule="exact"/>
            </w:pPr>
            <w:r>
              <w:t>Original: English</w:t>
            </w:r>
          </w:p>
        </w:tc>
      </w:tr>
    </w:tbl>
    <w:p w14:paraId="49298172" w14:textId="77777777" w:rsidR="004E3F12" w:rsidRPr="00371D53" w:rsidRDefault="004E3F12" w:rsidP="004E3F12">
      <w:pPr>
        <w:spacing w:before="120"/>
        <w:rPr>
          <w:b/>
          <w:sz w:val="28"/>
          <w:szCs w:val="28"/>
        </w:rPr>
      </w:pPr>
      <w:r w:rsidRPr="00371D53">
        <w:rPr>
          <w:b/>
          <w:sz w:val="28"/>
          <w:szCs w:val="28"/>
        </w:rPr>
        <w:t>Economic Commission for Europe</w:t>
      </w:r>
    </w:p>
    <w:p w14:paraId="5857DEC2" w14:textId="77777777" w:rsidR="004E3F12" w:rsidRPr="00371D53" w:rsidRDefault="004E3F12" w:rsidP="004E3F12">
      <w:pPr>
        <w:spacing w:before="120"/>
        <w:rPr>
          <w:sz w:val="28"/>
          <w:szCs w:val="28"/>
        </w:rPr>
      </w:pPr>
      <w:r w:rsidRPr="00371D53">
        <w:rPr>
          <w:sz w:val="28"/>
          <w:szCs w:val="28"/>
        </w:rPr>
        <w:t>Inland Transport Committee</w:t>
      </w:r>
    </w:p>
    <w:p w14:paraId="3E09AB58" w14:textId="77777777" w:rsidR="004E3F12" w:rsidRPr="00371D53" w:rsidRDefault="004E3F12" w:rsidP="004E3F12">
      <w:pPr>
        <w:spacing w:before="120"/>
        <w:rPr>
          <w:b/>
          <w:sz w:val="24"/>
          <w:szCs w:val="24"/>
        </w:rPr>
      </w:pPr>
      <w:r w:rsidRPr="00371D53">
        <w:rPr>
          <w:b/>
          <w:sz w:val="24"/>
          <w:szCs w:val="24"/>
        </w:rPr>
        <w:t>World Forum for Harmonization of Vehicle Regulations</w:t>
      </w:r>
    </w:p>
    <w:p w14:paraId="13FF13E8" w14:textId="77777777" w:rsidR="004E3F12" w:rsidRPr="00371D53" w:rsidRDefault="004E3F12" w:rsidP="004E3F12">
      <w:pPr>
        <w:spacing w:before="120" w:after="120"/>
        <w:rPr>
          <w:b/>
          <w:bCs/>
        </w:rPr>
      </w:pPr>
      <w:r w:rsidRPr="00371D53">
        <w:rPr>
          <w:b/>
          <w:bCs/>
        </w:rPr>
        <w:t>Working Party on Passive Safety</w:t>
      </w:r>
    </w:p>
    <w:p w14:paraId="3BAB62F4" w14:textId="77777777" w:rsidR="004E3F12" w:rsidRPr="00371D53" w:rsidRDefault="004E3F12" w:rsidP="004E3F12">
      <w:pPr>
        <w:rPr>
          <w:b/>
        </w:rPr>
      </w:pPr>
      <w:r w:rsidRPr="00371D53">
        <w:rPr>
          <w:b/>
        </w:rPr>
        <w:t>Seventy-</w:t>
      </w:r>
      <w:r>
        <w:rPr>
          <w:b/>
        </w:rPr>
        <w:t>seventh</w:t>
      </w:r>
      <w:r w:rsidRPr="00371D53">
        <w:rPr>
          <w:b/>
        </w:rPr>
        <w:t xml:space="preserve"> session </w:t>
      </w:r>
    </w:p>
    <w:p w14:paraId="390002E8" w14:textId="77777777" w:rsidR="004E3F12" w:rsidRPr="00003BAC" w:rsidRDefault="004E3F12" w:rsidP="004E3F12">
      <w:pPr>
        <w:spacing w:line="240" w:lineRule="auto"/>
      </w:pPr>
      <w:r w:rsidRPr="00003BAC">
        <w:t>Geneva, 5–9 May 2025</w:t>
      </w:r>
    </w:p>
    <w:p w14:paraId="507C5712" w14:textId="428A084C" w:rsidR="004E3F12" w:rsidRPr="00B16B68" w:rsidRDefault="004E3F12" w:rsidP="004E3F12">
      <w:pPr>
        <w:rPr>
          <w:rFonts w:asciiTheme="majorBidi" w:hAnsiTheme="majorBidi" w:cstheme="majorBidi"/>
        </w:rPr>
      </w:pPr>
      <w:r w:rsidRPr="00B16B68">
        <w:rPr>
          <w:rFonts w:asciiTheme="majorBidi" w:hAnsiTheme="majorBidi" w:cstheme="majorBidi"/>
        </w:rPr>
        <w:t xml:space="preserve">Item </w:t>
      </w:r>
      <w:r w:rsidR="00FF2836">
        <w:rPr>
          <w:rFonts w:asciiTheme="majorBidi" w:hAnsiTheme="majorBidi" w:cstheme="majorBidi"/>
        </w:rPr>
        <w:t>12</w:t>
      </w:r>
      <w:r w:rsidRPr="00B16B68">
        <w:rPr>
          <w:rFonts w:asciiTheme="majorBidi" w:hAnsiTheme="majorBidi" w:cstheme="majorBidi"/>
        </w:rPr>
        <w:t xml:space="preserve"> of the provisional agenda</w:t>
      </w:r>
    </w:p>
    <w:p w14:paraId="4D2530BE" w14:textId="6204A794" w:rsidR="004E3F12" w:rsidRPr="00B16B68" w:rsidRDefault="004E3F12" w:rsidP="004E3F12">
      <w:r w:rsidRPr="00B16B68">
        <w:rPr>
          <w:b/>
        </w:rPr>
        <w:t>UN Regulation No. 1</w:t>
      </w:r>
      <w:r w:rsidR="00FF2836">
        <w:rPr>
          <w:b/>
        </w:rPr>
        <w:t>27</w:t>
      </w:r>
      <w:r w:rsidRPr="00B16B68">
        <w:rPr>
          <w:b/>
        </w:rPr>
        <w:t xml:space="preserve"> (</w:t>
      </w:r>
      <w:r w:rsidR="00A31672">
        <w:rPr>
          <w:b/>
        </w:rPr>
        <w:t>Pedestrian safety</w:t>
      </w:r>
      <w:r w:rsidRPr="00B16B68">
        <w:rPr>
          <w:b/>
        </w:rPr>
        <w:t>)</w:t>
      </w:r>
    </w:p>
    <w:p w14:paraId="26CBD5BF" w14:textId="7401056E" w:rsidR="004E3F12" w:rsidRDefault="004E3F12" w:rsidP="004E3F12">
      <w:pPr>
        <w:pStyle w:val="HChG"/>
      </w:pPr>
      <w:r>
        <w:tab/>
      </w:r>
      <w:r>
        <w:tab/>
      </w:r>
      <w:r w:rsidRPr="0079666C">
        <w:t xml:space="preserve">Proposal for </w:t>
      </w:r>
      <w:r w:rsidR="0037278D">
        <w:t xml:space="preserve">supplements </w:t>
      </w:r>
      <w:r>
        <w:t>1</w:t>
      </w:r>
      <w:r w:rsidR="00D60F2A">
        <w:t xml:space="preserve">, </w:t>
      </w:r>
      <w:r w:rsidR="009038C5">
        <w:t>2 and 4</w:t>
      </w:r>
      <w:r>
        <w:t xml:space="preserve"> to the 0</w:t>
      </w:r>
      <w:r w:rsidR="009038C5">
        <w:t>2</w:t>
      </w:r>
      <w:r>
        <w:t>,</w:t>
      </w:r>
      <w:r w:rsidRPr="0079666C">
        <w:t xml:space="preserve"> </w:t>
      </w:r>
      <w:r>
        <w:t>03 and 0</w:t>
      </w:r>
      <w:r w:rsidR="009038C5">
        <w:t>4</w:t>
      </w:r>
      <w:r>
        <w:t xml:space="preserve"> s</w:t>
      </w:r>
      <w:r w:rsidRPr="0079666C">
        <w:t xml:space="preserve">eries of </w:t>
      </w:r>
      <w:r>
        <w:t>a</w:t>
      </w:r>
      <w:r w:rsidRPr="0079666C">
        <w:t>mendments to UN Regulation No. 1</w:t>
      </w:r>
      <w:r>
        <w:t>27</w:t>
      </w:r>
      <w:r w:rsidRPr="0079666C">
        <w:t xml:space="preserve"> (</w:t>
      </w:r>
      <w:r w:rsidRPr="007C5742">
        <w:t xml:space="preserve">Pedestrian </w:t>
      </w:r>
      <w:r>
        <w:t>s</w:t>
      </w:r>
      <w:r w:rsidRPr="007C5742">
        <w:t>afety</w:t>
      </w:r>
      <w:r>
        <w:t>)</w:t>
      </w:r>
    </w:p>
    <w:p w14:paraId="74D3C95D" w14:textId="49929E28" w:rsidR="004E3F12" w:rsidRDefault="004E3F12" w:rsidP="004E3F12">
      <w:pPr>
        <w:pStyle w:val="H1G"/>
        <w:rPr>
          <w:sz w:val="20"/>
        </w:rPr>
      </w:pPr>
      <w:r>
        <w:tab/>
      </w:r>
      <w:r>
        <w:tab/>
        <w:t xml:space="preserve">Submitted by the </w:t>
      </w:r>
      <w:r>
        <w:rPr>
          <w:spacing w:val="-4"/>
        </w:rPr>
        <w:t>experts from Germany and Japan</w:t>
      </w:r>
      <w:r w:rsidRPr="00122355">
        <w:rPr>
          <w:rStyle w:val="FootnoteReference"/>
          <w:sz w:val="20"/>
          <w:vertAlign w:val="baseline"/>
        </w:rPr>
        <w:t xml:space="preserve"> </w:t>
      </w:r>
      <w:r w:rsidRPr="00122355">
        <w:rPr>
          <w:rStyle w:val="FootnoteReference"/>
          <w:sz w:val="20"/>
          <w:vertAlign w:val="baseline"/>
        </w:rPr>
        <w:footnoteReference w:customMarkFollows="1" w:id="2"/>
        <w:t>*</w:t>
      </w:r>
    </w:p>
    <w:p w14:paraId="7BE0F1D6" w14:textId="6E8181A2" w:rsidR="004E3F12" w:rsidRPr="001573A3" w:rsidRDefault="004E3F12" w:rsidP="004E3F12">
      <w:pPr>
        <w:pStyle w:val="SingleTxtG"/>
        <w:rPr>
          <w:lang w:val="es-ES"/>
        </w:rPr>
      </w:pPr>
      <w:r>
        <w:rPr>
          <w:rStyle w:val="FootnoteReference"/>
          <w:sz w:val="20"/>
          <w:vertAlign w:val="baseline"/>
        </w:rPr>
        <w:tab/>
      </w:r>
      <w:r w:rsidRPr="004E3F12">
        <w:rPr>
          <w:rStyle w:val="FootnoteReference"/>
          <w:sz w:val="20"/>
          <w:vertAlign w:val="baseline"/>
        </w:rPr>
        <w:t xml:space="preserve">The text reproduced below was </w:t>
      </w:r>
      <w:r w:rsidR="00237B7E">
        <w:t xml:space="preserve">initially </w:t>
      </w:r>
      <w:r w:rsidRPr="004E3F12">
        <w:rPr>
          <w:rStyle w:val="FootnoteReference"/>
          <w:sz w:val="20"/>
          <w:vertAlign w:val="baseline"/>
        </w:rPr>
        <w:t>prepared by the experts from Germany and Japan</w:t>
      </w:r>
      <w:r w:rsidR="00FB3A0B">
        <w:t xml:space="preserve"> </w:t>
      </w:r>
      <w:r w:rsidRPr="004E3F12">
        <w:rPr>
          <w:rStyle w:val="FootnoteReference"/>
          <w:sz w:val="20"/>
          <w:vertAlign w:val="baseline"/>
        </w:rPr>
        <w:t>to correct an inconsistency in the 0</w:t>
      </w:r>
      <w:r w:rsidR="009038C5">
        <w:t>2</w:t>
      </w:r>
      <w:r w:rsidRPr="004E3F12">
        <w:rPr>
          <w:rStyle w:val="FootnoteReference"/>
          <w:sz w:val="20"/>
          <w:vertAlign w:val="baseline"/>
        </w:rPr>
        <w:t>, 03 and 0</w:t>
      </w:r>
      <w:r w:rsidR="009038C5">
        <w:t>4</w:t>
      </w:r>
      <w:r w:rsidRPr="004E3F12">
        <w:rPr>
          <w:rStyle w:val="FootnoteReference"/>
          <w:sz w:val="20"/>
          <w:vertAlign w:val="baseline"/>
        </w:rPr>
        <w:t xml:space="preserve"> </w:t>
      </w:r>
      <w:r>
        <w:t>s</w:t>
      </w:r>
      <w:r w:rsidRPr="004E3F12">
        <w:rPr>
          <w:rStyle w:val="FootnoteReference"/>
          <w:sz w:val="20"/>
          <w:vertAlign w:val="baseline"/>
        </w:rPr>
        <w:t xml:space="preserve">eries of </w:t>
      </w:r>
      <w:r>
        <w:t>a</w:t>
      </w:r>
      <w:r w:rsidRPr="004E3F12">
        <w:rPr>
          <w:rStyle w:val="FootnoteReference"/>
          <w:sz w:val="20"/>
          <w:vertAlign w:val="baseline"/>
        </w:rPr>
        <w:t>mendments to UN Regulation No. 127</w:t>
      </w:r>
      <w:r w:rsidR="00DD58C9">
        <w:t xml:space="preserve"> (see informal document GRSP-76-07)</w:t>
      </w:r>
      <w:r w:rsidRPr="004E3F12">
        <w:rPr>
          <w:rStyle w:val="FootnoteReference"/>
          <w:sz w:val="20"/>
          <w:vertAlign w:val="baseline"/>
        </w:rPr>
        <w:t>.</w:t>
      </w:r>
      <w:r>
        <w:t xml:space="preserve"> Following an initial discussion in its seventy-sixth session, the </w:t>
      </w:r>
      <w:r w:rsidRPr="004E3F12">
        <w:t>Working Party on Passive Safety</w:t>
      </w:r>
      <w:r w:rsidR="00DD58C9" w:rsidRPr="00DD58C9">
        <w:t xml:space="preserve"> </w:t>
      </w:r>
      <w:r w:rsidR="00DD58C9">
        <w:t>supported the amendments but indicated a preference for incorporating them as supplements to the relevant series of amendments rather than as corrigenda</w:t>
      </w:r>
      <w:r w:rsidR="00F47A21">
        <w:t xml:space="preserve"> </w:t>
      </w:r>
      <w:r w:rsidR="002E1403">
        <w:t xml:space="preserve">(see also paragraph 26 of </w:t>
      </w:r>
      <w:r w:rsidR="002E1403" w:rsidRPr="003E6577">
        <w:t>ECE/TRANS/WP.29/GRSP/76</w:t>
      </w:r>
      <w:r w:rsidR="002E1403">
        <w:t>)</w:t>
      </w:r>
      <w:r>
        <w:t>.</w:t>
      </w:r>
      <w:r w:rsidRPr="004E3F12">
        <w:rPr>
          <w:rStyle w:val="FootnoteReference"/>
          <w:sz w:val="20"/>
          <w:vertAlign w:val="baseline"/>
        </w:rPr>
        <w:t xml:space="preserve"> </w:t>
      </w:r>
      <w:r w:rsidR="00342C8D">
        <w:rPr>
          <w:rStyle w:val="FootnoteReference"/>
          <w:sz w:val="20"/>
          <w:vertAlign w:val="baseline"/>
        </w:rPr>
        <w:t>A</w:t>
      </w:r>
      <w:proofErr w:type="spellStart"/>
      <w:r w:rsidR="00342C8D" w:rsidRPr="001573A3">
        <w:rPr>
          <w:lang w:val="es-ES"/>
        </w:rPr>
        <w:t>mendments</w:t>
      </w:r>
      <w:proofErr w:type="spellEnd"/>
      <w:r w:rsidRPr="001573A3">
        <w:rPr>
          <w:rStyle w:val="FootnoteReference"/>
          <w:sz w:val="20"/>
          <w:vertAlign w:val="baseline"/>
          <w:lang w:val="es-ES"/>
        </w:rPr>
        <w:t xml:space="preserve"> </w:t>
      </w:r>
      <w:proofErr w:type="spellStart"/>
      <w:r w:rsidRPr="001573A3">
        <w:rPr>
          <w:rStyle w:val="FootnoteReference"/>
          <w:sz w:val="20"/>
          <w:vertAlign w:val="baseline"/>
          <w:lang w:val="es-ES"/>
        </w:rPr>
        <w:t>t</w:t>
      </w:r>
      <w:r w:rsidRPr="001573A3">
        <w:rPr>
          <w:lang w:val="es-ES"/>
        </w:rPr>
        <w:t>o</w:t>
      </w:r>
      <w:proofErr w:type="spellEnd"/>
      <w:r w:rsidRPr="001573A3">
        <w:rPr>
          <w:lang w:val="es-ES"/>
        </w:rPr>
        <w:t xml:space="preserve"> UN </w:t>
      </w:r>
      <w:proofErr w:type="spellStart"/>
      <w:r w:rsidRPr="001573A3">
        <w:rPr>
          <w:lang w:val="es-ES"/>
        </w:rPr>
        <w:t>Regulation</w:t>
      </w:r>
      <w:proofErr w:type="spellEnd"/>
      <w:r w:rsidRPr="001573A3">
        <w:rPr>
          <w:lang w:val="es-ES"/>
        </w:rPr>
        <w:t xml:space="preserve"> No. 127 </w:t>
      </w:r>
      <w:r w:rsidRPr="001573A3">
        <w:rPr>
          <w:rStyle w:val="FootnoteReference"/>
          <w:sz w:val="20"/>
          <w:vertAlign w:val="baseline"/>
          <w:lang w:val="es-ES"/>
        </w:rPr>
        <w:t xml:space="preserve">are </w:t>
      </w:r>
      <w:proofErr w:type="spellStart"/>
      <w:r w:rsidRPr="001573A3">
        <w:rPr>
          <w:rStyle w:val="FootnoteReference"/>
          <w:sz w:val="20"/>
          <w:vertAlign w:val="baseline"/>
          <w:lang w:val="es-ES"/>
        </w:rPr>
        <w:t>marked</w:t>
      </w:r>
      <w:proofErr w:type="spellEnd"/>
      <w:r w:rsidRPr="001573A3">
        <w:rPr>
          <w:rStyle w:val="FootnoteReference"/>
          <w:sz w:val="20"/>
          <w:vertAlign w:val="baseline"/>
          <w:lang w:val="es-ES"/>
        </w:rPr>
        <w:t xml:space="preserve"> in </w:t>
      </w:r>
      <w:proofErr w:type="spellStart"/>
      <w:r w:rsidRPr="001573A3">
        <w:rPr>
          <w:rStyle w:val="FootnoteReference"/>
          <w:sz w:val="20"/>
          <w:vertAlign w:val="baseline"/>
          <w:lang w:val="es-ES"/>
        </w:rPr>
        <w:t>bold</w:t>
      </w:r>
      <w:proofErr w:type="spellEnd"/>
      <w:r w:rsidRPr="001573A3">
        <w:rPr>
          <w:rStyle w:val="FootnoteReference"/>
          <w:sz w:val="20"/>
          <w:vertAlign w:val="baseline"/>
          <w:lang w:val="es-ES"/>
        </w:rPr>
        <w:t xml:space="preserve"> </w:t>
      </w:r>
      <w:proofErr w:type="spellStart"/>
      <w:r w:rsidRPr="001573A3">
        <w:rPr>
          <w:rStyle w:val="FootnoteReference"/>
          <w:sz w:val="20"/>
          <w:vertAlign w:val="baseline"/>
          <w:lang w:val="es-ES"/>
        </w:rPr>
        <w:t>for</w:t>
      </w:r>
      <w:proofErr w:type="spellEnd"/>
      <w:r w:rsidRPr="001573A3">
        <w:rPr>
          <w:rStyle w:val="FootnoteReference"/>
          <w:sz w:val="20"/>
          <w:vertAlign w:val="baseline"/>
          <w:lang w:val="es-ES"/>
        </w:rPr>
        <w:t xml:space="preserve"> new and </w:t>
      </w:r>
      <w:proofErr w:type="spellStart"/>
      <w:r w:rsidRPr="001573A3">
        <w:rPr>
          <w:rStyle w:val="FootnoteReference"/>
          <w:sz w:val="20"/>
          <w:vertAlign w:val="baseline"/>
          <w:lang w:val="es-ES"/>
        </w:rPr>
        <w:t>strikethrough</w:t>
      </w:r>
      <w:proofErr w:type="spellEnd"/>
      <w:r w:rsidRPr="001573A3">
        <w:rPr>
          <w:rStyle w:val="FootnoteReference"/>
          <w:sz w:val="20"/>
          <w:vertAlign w:val="baseline"/>
          <w:lang w:val="es-ES"/>
        </w:rPr>
        <w:t xml:space="preserve"> </w:t>
      </w:r>
      <w:proofErr w:type="spellStart"/>
      <w:r w:rsidRPr="001573A3">
        <w:rPr>
          <w:rStyle w:val="FootnoteReference"/>
          <w:sz w:val="20"/>
          <w:vertAlign w:val="baseline"/>
          <w:lang w:val="es-ES"/>
        </w:rPr>
        <w:t>for</w:t>
      </w:r>
      <w:proofErr w:type="spellEnd"/>
      <w:r w:rsidRPr="001573A3">
        <w:rPr>
          <w:rStyle w:val="FootnoteReference"/>
          <w:sz w:val="20"/>
          <w:vertAlign w:val="baseline"/>
          <w:lang w:val="es-ES"/>
        </w:rPr>
        <w:t xml:space="preserve"> </w:t>
      </w:r>
      <w:proofErr w:type="spellStart"/>
      <w:r w:rsidRPr="001573A3">
        <w:rPr>
          <w:rStyle w:val="FootnoteReference"/>
          <w:sz w:val="20"/>
          <w:vertAlign w:val="baseline"/>
          <w:lang w:val="es-ES"/>
        </w:rPr>
        <w:t>deleted</w:t>
      </w:r>
      <w:proofErr w:type="spellEnd"/>
      <w:r w:rsidRPr="001573A3">
        <w:rPr>
          <w:rStyle w:val="FootnoteReference"/>
          <w:sz w:val="20"/>
          <w:vertAlign w:val="baseline"/>
          <w:lang w:val="es-ES"/>
        </w:rPr>
        <w:t xml:space="preserve"> </w:t>
      </w:r>
      <w:proofErr w:type="spellStart"/>
      <w:r w:rsidRPr="001573A3">
        <w:rPr>
          <w:rStyle w:val="FootnoteReference"/>
          <w:sz w:val="20"/>
          <w:vertAlign w:val="baseline"/>
          <w:lang w:val="es-ES"/>
        </w:rPr>
        <w:t>characters</w:t>
      </w:r>
      <w:proofErr w:type="spellEnd"/>
      <w:r w:rsidRPr="001573A3">
        <w:rPr>
          <w:rStyle w:val="FootnoteReference"/>
          <w:sz w:val="20"/>
          <w:vertAlign w:val="baseline"/>
          <w:lang w:val="es-ES"/>
        </w:rPr>
        <w:t>.</w:t>
      </w:r>
    </w:p>
    <w:p w14:paraId="7FAAA516" w14:textId="77777777" w:rsidR="004E3F12" w:rsidRPr="001573A3" w:rsidRDefault="004E3F12" w:rsidP="004E3F12">
      <w:pPr>
        <w:rPr>
          <w:lang w:val="es-ES"/>
        </w:rPr>
      </w:pPr>
      <w:r w:rsidRPr="001573A3">
        <w:rPr>
          <w:lang w:val="es-ES"/>
        </w:rPr>
        <w:br w:type="page"/>
      </w:r>
    </w:p>
    <w:p w14:paraId="4016DD5F" w14:textId="11D0ED0E" w:rsidR="004E3F12" w:rsidRPr="004E3F12" w:rsidRDefault="004E3F12" w:rsidP="004E3F12">
      <w:pPr>
        <w:pStyle w:val="HChG"/>
      </w:pPr>
      <w:r w:rsidRPr="001573A3">
        <w:rPr>
          <w:lang w:val="es-ES"/>
        </w:rPr>
        <w:lastRenderedPageBreak/>
        <w:tab/>
      </w:r>
      <w:r>
        <w:t>I.</w:t>
      </w:r>
      <w:r>
        <w:tab/>
      </w:r>
      <w:r w:rsidRPr="004E3F12">
        <w:t>Proposal</w:t>
      </w:r>
    </w:p>
    <w:p w14:paraId="0C079743" w14:textId="77777777" w:rsidR="004E3F12" w:rsidRDefault="004E3F12" w:rsidP="004E3F12">
      <w:pPr>
        <w:pStyle w:val="SingleTxtG"/>
        <w:ind w:left="2268" w:hanging="1134"/>
      </w:pPr>
      <w:r>
        <w:rPr>
          <w:i/>
        </w:rPr>
        <w:t xml:space="preserve">Annex 4, </w:t>
      </w:r>
      <w:r w:rsidRPr="00F252A8">
        <w:rPr>
          <w:i/>
        </w:rPr>
        <w:t xml:space="preserve">Paragraph </w:t>
      </w:r>
      <w:r>
        <w:rPr>
          <w:i/>
        </w:rPr>
        <w:t>1.4.</w:t>
      </w:r>
      <w:r w:rsidRPr="00F252A8">
        <w:rPr>
          <w:i/>
          <w:iCs/>
        </w:rPr>
        <w:t>,</w:t>
      </w:r>
      <w:r>
        <w:rPr>
          <w:i/>
          <w:iCs/>
        </w:rPr>
        <w:t xml:space="preserve"> </w:t>
      </w:r>
      <w:r w:rsidRPr="009345C7">
        <w:t>amend to read:</w:t>
      </w:r>
    </w:p>
    <w:p w14:paraId="1A42AA94" w14:textId="77777777" w:rsidR="004E3F12" w:rsidRDefault="004E3F12" w:rsidP="00D04F31">
      <w:pPr>
        <w:pStyle w:val="SingleTxtG"/>
        <w:tabs>
          <w:tab w:val="clear" w:pos="1701"/>
        </w:tabs>
        <w:ind w:left="2268" w:hanging="1134"/>
      </w:pPr>
      <w:r>
        <w:t>“1.4.</w:t>
      </w:r>
      <w:r>
        <w:tab/>
        <w:t>The masses of the femur and the tibia without the flesh and skin, including the connection parts to the knee joint, shall be 2.46 kg ± 0.12 kg and</w:t>
      </w:r>
    </w:p>
    <w:p w14:paraId="0A969CF3" w14:textId="36883536" w:rsidR="004E3F12" w:rsidRDefault="00D04F31" w:rsidP="00D04F31">
      <w:pPr>
        <w:pStyle w:val="SingleTxtG"/>
        <w:tabs>
          <w:tab w:val="clear" w:pos="1701"/>
        </w:tabs>
        <w:ind w:left="2268" w:hanging="1134"/>
      </w:pPr>
      <w:r>
        <w:tab/>
      </w:r>
      <w:r w:rsidR="004E3F12">
        <w:t>2.64 kg ± 0.13 kg respectively. The mass of the knee joint without the flesh and skin shall be 4.28 kg ± 0.21 kg. The assembled mass of the femur, the knee joint and the tibia without the flesh and skin shall be 9.38 kg ± 0.3 kg.</w:t>
      </w:r>
    </w:p>
    <w:p w14:paraId="4F0FDE0F" w14:textId="77777777" w:rsidR="004E3F12" w:rsidRDefault="004E3F12" w:rsidP="00D04F31">
      <w:pPr>
        <w:pStyle w:val="SingleTxtG"/>
        <w:tabs>
          <w:tab w:val="clear" w:pos="1701"/>
        </w:tabs>
        <w:ind w:left="2268" w:hanging="1134"/>
      </w:pPr>
      <w:r>
        <w:tab/>
        <w:t xml:space="preserve">The centres of gravity of the femur and tibia without the flesh and skin, including the connection parts to the knee joint, shall be as defined in Figure 1. The centre of gravity of the knee joint shall be as defined in Figure 1. </w:t>
      </w:r>
    </w:p>
    <w:p w14:paraId="2EC6BFBD" w14:textId="77777777" w:rsidR="004E3F12" w:rsidRPr="009345C7" w:rsidRDefault="004E3F12" w:rsidP="00D04F31">
      <w:pPr>
        <w:pStyle w:val="SingleTxtG"/>
        <w:tabs>
          <w:tab w:val="clear" w:pos="1701"/>
        </w:tabs>
        <w:ind w:left="2268" w:hanging="1134"/>
        <w:rPr>
          <w:b/>
          <w:bCs/>
          <w:szCs w:val="16"/>
        </w:rPr>
      </w:pPr>
      <w:r>
        <w:tab/>
        <w:t>The moment of inertia of the femur and the tibia without the flesh and skin, including the connection parts inserted to the knee joint, about the X-axis through the respective centre of gravity shall be 0.03</w:t>
      </w:r>
      <w:r w:rsidRPr="004132DC">
        <w:rPr>
          <w:b/>
        </w:rPr>
        <w:t>39</w:t>
      </w:r>
      <w:r w:rsidRPr="004132DC">
        <w:rPr>
          <w:strike/>
        </w:rPr>
        <w:t xml:space="preserve">25 </w:t>
      </w:r>
      <w:r>
        <w:t>kgm² ± 0.0016 kgm² and 0.04</w:t>
      </w:r>
      <w:r w:rsidRPr="004132DC">
        <w:rPr>
          <w:b/>
        </w:rPr>
        <w:t>86</w:t>
      </w:r>
      <w:r w:rsidRPr="004132DC">
        <w:rPr>
          <w:strike/>
        </w:rPr>
        <w:t>67</w:t>
      </w:r>
      <w:r>
        <w:t xml:space="preserve"> kgm² ± 0.0023 kgm² respectively.  The moment of inertia of the knee joint about the X-axis through the respective centre of gravity shall be 0.0180 kgm² ± 0.0009 kgm².”</w:t>
      </w:r>
      <w:r w:rsidRPr="009345C7">
        <w:t xml:space="preserve"> </w:t>
      </w:r>
    </w:p>
    <w:p w14:paraId="19B68AC8" w14:textId="77777777" w:rsidR="004E3F12" w:rsidRPr="004E3F12" w:rsidRDefault="004E3F12" w:rsidP="004E3F12">
      <w:pPr>
        <w:pStyle w:val="HChG"/>
      </w:pPr>
      <w:r w:rsidRPr="004E3F12">
        <w:tab/>
        <w:t>II.</w:t>
      </w:r>
      <w:r w:rsidRPr="004E3F12">
        <w:tab/>
      </w:r>
      <w:r w:rsidRPr="004E3F12">
        <w:tab/>
        <w:t>Justification</w:t>
      </w:r>
    </w:p>
    <w:p w14:paraId="0AF6DB53" w14:textId="71577ABA" w:rsidR="004E3F12" w:rsidRPr="004E3F12" w:rsidRDefault="00CD135A" w:rsidP="004E3F12">
      <w:pPr>
        <w:pStyle w:val="SingleTxtG"/>
      </w:pPr>
      <w:r>
        <w:tab/>
      </w:r>
      <w:r w:rsidR="004E3F12" w:rsidRPr="004E3F12">
        <w:t xml:space="preserve">The purpose of this </w:t>
      </w:r>
      <w:r w:rsidR="00A468CB">
        <w:t>proposal</w:t>
      </w:r>
      <w:r w:rsidR="004E3F12" w:rsidRPr="004E3F12">
        <w:t xml:space="preserve"> is to correct </w:t>
      </w:r>
      <w:r w:rsidR="00F24405">
        <w:t>an</w:t>
      </w:r>
      <w:r w:rsidR="004E3F12" w:rsidRPr="004E3F12">
        <w:t xml:space="preserve"> inconsistency.  The moment</w:t>
      </w:r>
      <w:r w:rsidR="000957E8">
        <w:t>s</w:t>
      </w:r>
      <w:r w:rsidR="004E3F12" w:rsidRPr="004E3F12">
        <w:t xml:space="preserve"> of inertia of the femur and the tibia of </w:t>
      </w:r>
      <w:r w:rsidR="00D4308F">
        <w:t xml:space="preserve">the </w:t>
      </w:r>
      <w:r w:rsidR="00353161">
        <w:t>f</w:t>
      </w:r>
      <w:r w:rsidR="004E3F12" w:rsidRPr="004E3F12">
        <w:t xml:space="preserve">lexible lower </w:t>
      </w:r>
      <w:proofErr w:type="spellStart"/>
      <w:r w:rsidR="004E3F12" w:rsidRPr="004E3F12">
        <w:t>legform</w:t>
      </w:r>
      <w:proofErr w:type="spellEnd"/>
      <w:r w:rsidR="004E3F12" w:rsidRPr="004E3F12">
        <w:t xml:space="preserve"> impactor in UN Regulation No. 127 and in UN Global Technical Regulation No. 9 Phase 2 and </w:t>
      </w:r>
      <w:r w:rsidR="007064A0">
        <w:t xml:space="preserve">addendum 3 of </w:t>
      </w:r>
      <w:r w:rsidR="004E3F12" w:rsidRPr="004E3F12">
        <w:t xml:space="preserve">Mutual Resolution No. 1 are different.  This </w:t>
      </w:r>
      <w:r w:rsidR="00D4308F">
        <w:t>is</w:t>
      </w:r>
      <w:r w:rsidR="004E3F12" w:rsidRPr="004E3F12">
        <w:t xml:space="preserve"> because in the 10</w:t>
      </w:r>
      <w:r w:rsidR="004E3F12" w:rsidRPr="00CE420E">
        <w:rPr>
          <w:vertAlign w:val="superscript"/>
        </w:rPr>
        <w:t>th</w:t>
      </w:r>
      <w:r w:rsidR="00CE420E">
        <w:t xml:space="preserve"> </w:t>
      </w:r>
      <w:r w:rsidR="004E3F12" w:rsidRPr="004E3F12">
        <w:t xml:space="preserve">meeting of the Informal Group on Global Technical Regulation No. 9 –Phase 2, which made the draft of UN Global Technical Regulation No. 9 Phase 2 and </w:t>
      </w:r>
      <w:r w:rsidR="008A585F">
        <w:t xml:space="preserve">addendum 3 of </w:t>
      </w:r>
      <w:r w:rsidR="004E3F12" w:rsidRPr="004E3F12">
        <w:t xml:space="preserve">Mutual Resolution No. 1, the moment of inertia of </w:t>
      </w:r>
      <w:r w:rsidR="00D82D4C">
        <w:t xml:space="preserve">the </w:t>
      </w:r>
      <w:r w:rsidR="00CE420E">
        <w:t>f</w:t>
      </w:r>
      <w:r w:rsidR="004E3F12" w:rsidRPr="004E3F12">
        <w:t xml:space="preserve">lexible lower </w:t>
      </w:r>
      <w:proofErr w:type="spellStart"/>
      <w:r w:rsidR="004E3F12" w:rsidRPr="004E3F12">
        <w:t>legform</w:t>
      </w:r>
      <w:proofErr w:type="spellEnd"/>
      <w:r w:rsidR="004E3F12" w:rsidRPr="004E3F12">
        <w:t xml:space="preserve"> impactor were corrected because of the manufacturer’s request, however UN Regulation No. 127 was not amend</w:t>
      </w:r>
      <w:r w:rsidR="00D82D4C">
        <w:t>ed</w:t>
      </w:r>
      <w:r w:rsidR="004E3F12" w:rsidRPr="004E3F12">
        <w:t>.</w:t>
      </w:r>
    </w:p>
    <w:p w14:paraId="09A9B675" w14:textId="067AF2E9" w:rsidR="001C6663" w:rsidRPr="004E3F12" w:rsidRDefault="004E3F12" w:rsidP="004E3F12">
      <w:pPr>
        <w:spacing w:before="240"/>
        <w:jc w:val="center"/>
        <w:rPr>
          <w:u w:val="single"/>
        </w:rPr>
      </w:pPr>
      <w:r>
        <w:rPr>
          <w:u w:val="single"/>
        </w:rPr>
        <w:tab/>
      </w:r>
      <w:r>
        <w:rPr>
          <w:u w:val="single"/>
        </w:rPr>
        <w:tab/>
      </w:r>
      <w:r>
        <w:rPr>
          <w:u w:val="single"/>
        </w:rPr>
        <w:tab/>
      </w:r>
    </w:p>
    <w:sectPr w:rsidR="001C6663" w:rsidRPr="004E3F12" w:rsidSect="004E3F12">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DDD7" w14:textId="77777777" w:rsidR="004C2078" w:rsidRDefault="004C2078"/>
  </w:endnote>
  <w:endnote w:type="continuationSeparator" w:id="0">
    <w:p w14:paraId="72FECDFF" w14:textId="77777777" w:rsidR="004C2078" w:rsidRDefault="004C2078"/>
  </w:endnote>
  <w:endnote w:type="continuationNotice" w:id="1">
    <w:p w14:paraId="710E3E9B" w14:textId="77777777" w:rsidR="004C2078" w:rsidRDefault="004C2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CA7E" w14:textId="31E304C6" w:rsidR="004E3F12" w:rsidRPr="004E3F12" w:rsidRDefault="004E3F12" w:rsidP="004E3F12">
    <w:pPr>
      <w:pStyle w:val="Footer"/>
      <w:tabs>
        <w:tab w:val="right" w:pos="9638"/>
      </w:tabs>
      <w:rPr>
        <w:sz w:val="18"/>
      </w:rPr>
    </w:pPr>
    <w:r w:rsidRPr="004E3F12">
      <w:rPr>
        <w:b/>
        <w:sz w:val="18"/>
      </w:rPr>
      <w:fldChar w:fldCharType="begin"/>
    </w:r>
    <w:r w:rsidRPr="004E3F12">
      <w:rPr>
        <w:b/>
        <w:sz w:val="18"/>
      </w:rPr>
      <w:instrText xml:space="preserve"> PAGE  \* MERGEFORMAT </w:instrText>
    </w:r>
    <w:r w:rsidRPr="004E3F12">
      <w:rPr>
        <w:b/>
        <w:sz w:val="18"/>
      </w:rPr>
      <w:fldChar w:fldCharType="separate"/>
    </w:r>
    <w:r w:rsidRPr="004E3F12">
      <w:rPr>
        <w:b/>
        <w:noProof/>
        <w:sz w:val="18"/>
      </w:rPr>
      <w:t>2</w:t>
    </w:r>
    <w:r w:rsidRPr="004E3F1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E1E3" w14:textId="34A4A349" w:rsidR="004E3F12" w:rsidRPr="004E3F12" w:rsidRDefault="004E3F12" w:rsidP="004E3F12">
    <w:pPr>
      <w:pStyle w:val="Footer"/>
      <w:tabs>
        <w:tab w:val="right" w:pos="9638"/>
      </w:tabs>
      <w:rPr>
        <w:b/>
        <w:sz w:val="18"/>
      </w:rPr>
    </w:pPr>
    <w:r>
      <w:tab/>
    </w:r>
    <w:r w:rsidRPr="004E3F12">
      <w:rPr>
        <w:b/>
        <w:sz w:val="18"/>
      </w:rPr>
      <w:fldChar w:fldCharType="begin"/>
    </w:r>
    <w:r w:rsidRPr="004E3F12">
      <w:rPr>
        <w:b/>
        <w:sz w:val="18"/>
      </w:rPr>
      <w:instrText xml:space="preserve"> PAGE  \* MERGEFORMAT </w:instrText>
    </w:r>
    <w:r w:rsidRPr="004E3F12">
      <w:rPr>
        <w:b/>
        <w:sz w:val="18"/>
      </w:rPr>
      <w:fldChar w:fldCharType="separate"/>
    </w:r>
    <w:r w:rsidRPr="004E3F12">
      <w:rPr>
        <w:b/>
        <w:noProof/>
        <w:sz w:val="18"/>
      </w:rPr>
      <w:t>3</w:t>
    </w:r>
    <w:r w:rsidRPr="004E3F1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E65A" w14:textId="1F38B176" w:rsidR="00825E46" w:rsidRDefault="00825E46" w:rsidP="00825E46">
    <w:pPr>
      <w:pStyle w:val="Footer"/>
    </w:pPr>
    <w:r w:rsidRPr="0027112F">
      <w:rPr>
        <w:noProof/>
        <w:lang w:val="en-US"/>
      </w:rPr>
      <w:drawing>
        <wp:anchor distT="0" distB="0" distL="114300" distR="114300" simplePos="0" relativeHeight="251660288" behindDoc="0" locked="1" layoutInCell="1" allowOverlap="1" wp14:anchorId="5CFCD003" wp14:editId="69C4DC41">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169FCC2" w14:textId="27272B7B" w:rsidR="00825E46" w:rsidRPr="00825E46" w:rsidRDefault="00825E46" w:rsidP="00825E46">
    <w:pPr>
      <w:pStyle w:val="Footer"/>
      <w:ind w:right="1134"/>
      <w:rPr>
        <w:sz w:val="20"/>
      </w:rPr>
    </w:pPr>
    <w:r>
      <w:rPr>
        <w:sz w:val="20"/>
      </w:rPr>
      <w:t>GE.25-03015  (E)</w:t>
    </w:r>
    <w:r>
      <w:rPr>
        <w:noProof/>
        <w:sz w:val="20"/>
      </w:rPr>
      <w:drawing>
        <wp:anchor distT="0" distB="0" distL="114300" distR="114300" simplePos="0" relativeHeight="251658240" behindDoc="0" locked="0" layoutInCell="1" allowOverlap="1" wp14:anchorId="340899A2" wp14:editId="4A616018">
          <wp:simplePos x="0" y="0"/>
          <wp:positionH relativeFrom="margin">
            <wp:posOffset>5615940</wp:posOffset>
          </wp:positionH>
          <wp:positionV relativeFrom="margin">
            <wp:posOffset>8905875</wp:posOffset>
          </wp:positionV>
          <wp:extent cx="571500" cy="571500"/>
          <wp:effectExtent l="0" t="0" r="0" b="0"/>
          <wp:wrapNone/>
          <wp:docPr id="1809580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5B41" w14:textId="77777777" w:rsidR="004C2078" w:rsidRPr="000B175B" w:rsidRDefault="004C2078" w:rsidP="000B175B">
      <w:pPr>
        <w:tabs>
          <w:tab w:val="right" w:pos="2155"/>
        </w:tabs>
        <w:spacing w:after="80"/>
        <w:ind w:left="680"/>
        <w:rPr>
          <w:u w:val="single"/>
        </w:rPr>
      </w:pPr>
      <w:r>
        <w:rPr>
          <w:u w:val="single"/>
        </w:rPr>
        <w:tab/>
      </w:r>
    </w:p>
  </w:footnote>
  <w:footnote w:type="continuationSeparator" w:id="0">
    <w:p w14:paraId="13C646C9" w14:textId="77777777" w:rsidR="004C2078" w:rsidRPr="00FC68B7" w:rsidRDefault="004C2078" w:rsidP="00FC68B7">
      <w:pPr>
        <w:tabs>
          <w:tab w:val="left" w:pos="2155"/>
        </w:tabs>
        <w:spacing w:after="80"/>
        <w:ind w:left="680"/>
        <w:rPr>
          <w:u w:val="single"/>
        </w:rPr>
      </w:pPr>
      <w:r>
        <w:rPr>
          <w:u w:val="single"/>
        </w:rPr>
        <w:tab/>
      </w:r>
    </w:p>
  </w:footnote>
  <w:footnote w:type="continuationNotice" w:id="1">
    <w:p w14:paraId="7A4B963E" w14:textId="77777777" w:rsidR="004C2078" w:rsidRDefault="004C2078"/>
  </w:footnote>
  <w:footnote w:id="2">
    <w:p w14:paraId="508C310E" w14:textId="77777777" w:rsidR="004E3F12" w:rsidRPr="00122355" w:rsidRDefault="004E3F12" w:rsidP="004E3F12">
      <w:pPr>
        <w:pStyle w:val="FootnoteText"/>
        <w:rPr>
          <w:lang w:val="en-US"/>
        </w:rPr>
      </w:pPr>
      <w:r w:rsidRPr="00A8733B">
        <w:rPr>
          <w:rStyle w:val="FootnoteReference"/>
          <w:sz w:val="20"/>
        </w:rPr>
        <w:tab/>
      </w:r>
      <w:r w:rsidRPr="00A8733B">
        <w:rPr>
          <w:rStyle w:val="FootnoteReference"/>
          <w:sz w:val="20"/>
          <w:vertAlign w:val="baseline"/>
        </w:rPr>
        <w:t>*</w:t>
      </w:r>
      <w:r w:rsidRPr="00A8733B">
        <w:rPr>
          <w:rStyle w:val="FootnoteReference"/>
          <w:sz w:val="20"/>
          <w:vertAlign w:val="baseline"/>
        </w:rPr>
        <w:tab/>
      </w:r>
      <w:r w:rsidRPr="00E70781">
        <w:rPr>
          <w:rStyle w:val="FootnoteReference"/>
          <w:szCs w:val="18"/>
          <w:vertAlign w:val="baseline"/>
        </w:rPr>
        <w:t>In accordance with the programme of work of the Inland Transport Committee for 2025 as outlined in proposed programme budget for 2025 (A/79/6 (Sect. 20), table 20.6),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BF55" w14:textId="33B7DED6" w:rsidR="004E3F12" w:rsidRPr="004E3F12" w:rsidRDefault="00504A22">
    <w:pPr>
      <w:pStyle w:val="Header"/>
    </w:pPr>
    <w:r>
      <w:t>ECE/TRANS/WP.29/GRSP/2025/8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244D" w14:textId="1DD52D02" w:rsidR="004E3F12" w:rsidRPr="004E3F12" w:rsidRDefault="00504A22" w:rsidP="004E3F12">
    <w:pPr>
      <w:pStyle w:val="Header"/>
      <w:jc w:val="right"/>
    </w:pPr>
    <w:fldSimple w:instr=" TITLE  \* MERGEFORMAT ">
      <w:r>
        <w:t>ECE/TRANS/WP.29/GRSP/2025/8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232350F"/>
    <w:multiLevelType w:val="hybridMultilevel"/>
    <w:tmpl w:val="BB64A326"/>
    <w:lvl w:ilvl="0" w:tplc="70689FBE">
      <w:start w:val="1"/>
      <w:numFmt w:val="decimal"/>
      <w:lvlText w:val="%1."/>
      <w:lvlJc w:val="left"/>
      <w:pPr>
        <w:ind w:left="1710" w:hanging="576"/>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8477343">
    <w:abstractNumId w:val="1"/>
  </w:num>
  <w:num w:numId="2" w16cid:durableId="2020036246">
    <w:abstractNumId w:val="0"/>
  </w:num>
  <w:num w:numId="3" w16cid:durableId="312372730">
    <w:abstractNumId w:val="2"/>
  </w:num>
  <w:num w:numId="4" w16cid:durableId="251352391">
    <w:abstractNumId w:val="3"/>
  </w:num>
  <w:num w:numId="5" w16cid:durableId="1875539963">
    <w:abstractNumId w:val="8"/>
  </w:num>
  <w:num w:numId="6" w16cid:durableId="1818910855">
    <w:abstractNumId w:val="9"/>
  </w:num>
  <w:num w:numId="7" w16cid:durableId="1686125524">
    <w:abstractNumId w:val="7"/>
  </w:num>
  <w:num w:numId="8" w16cid:durableId="30544779">
    <w:abstractNumId w:val="6"/>
  </w:num>
  <w:num w:numId="9" w16cid:durableId="833301218">
    <w:abstractNumId w:val="5"/>
  </w:num>
  <w:num w:numId="10" w16cid:durableId="459688079">
    <w:abstractNumId w:val="4"/>
  </w:num>
  <w:num w:numId="11" w16cid:durableId="116725213">
    <w:abstractNumId w:val="16"/>
  </w:num>
  <w:num w:numId="12" w16cid:durableId="1490243610">
    <w:abstractNumId w:val="14"/>
  </w:num>
  <w:num w:numId="13" w16cid:durableId="1092430554">
    <w:abstractNumId w:val="10"/>
  </w:num>
  <w:num w:numId="14" w16cid:durableId="889683343">
    <w:abstractNumId w:val="12"/>
  </w:num>
  <w:num w:numId="15" w16cid:durableId="1418477926">
    <w:abstractNumId w:val="17"/>
  </w:num>
  <w:num w:numId="16" w16cid:durableId="1301181254">
    <w:abstractNumId w:val="13"/>
  </w:num>
  <w:num w:numId="17" w16cid:durableId="1620994746">
    <w:abstractNumId w:val="19"/>
  </w:num>
  <w:num w:numId="18" w16cid:durableId="121122049">
    <w:abstractNumId w:val="20"/>
  </w:num>
  <w:num w:numId="19" w16cid:durableId="127357625">
    <w:abstractNumId w:val="11"/>
  </w:num>
  <w:num w:numId="20" w16cid:durableId="1196847999">
    <w:abstractNumId w:val="15"/>
  </w:num>
  <w:num w:numId="21" w16cid:durableId="193975149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12"/>
    <w:rsid w:val="00002A7D"/>
    <w:rsid w:val="00002CBA"/>
    <w:rsid w:val="000038A8"/>
    <w:rsid w:val="00005DF3"/>
    <w:rsid w:val="00006790"/>
    <w:rsid w:val="00027624"/>
    <w:rsid w:val="00050F6B"/>
    <w:rsid w:val="000678CD"/>
    <w:rsid w:val="00072C8C"/>
    <w:rsid w:val="0007426E"/>
    <w:rsid w:val="00081CE0"/>
    <w:rsid w:val="00084D30"/>
    <w:rsid w:val="00090320"/>
    <w:rsid w:val="000931C0"/>
    <w:rsid w:val="000957E8"/>
    <w:rsid w:val="00097003"/>
    <w:rsid w:val="000A2E09"/>
    <w:rsid w:val="000B175B"/>
    <w:rsid w:val="000B3A0F"/>
    <w:rsid w:val="000E0415"/>
    <w:rsid w:val="000F7715"/>
    <w:rsid w:val="00156B99"/>
    <w:rsid w:val="001573A3"/>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26573"/>
    <w:rsid w:val="00232575"/>
    <w:rsid w:val="00237B7E"/>
    <w:rsid w:val="00247258"/>
    <w:rsid w:val="002566AB"/>
    <w:rsid w:val="00257CAC"/>
    <w:rsid w:val="0027237A"/>
    <w:rsid w:val="00272D29"/>
    <w:rsid w:val="00284483"/>
    <w:rsid w:val="002974E9"/>
    <w:rsid w:val="002A306B"/>
    <w:rsid w:val="002A7F94"/>
    <w:rsid w:val="002B109A"/>
    <w:rsid w:val="002C6D45"/>
    <w:rsid w:val="002D6E53"/>
    <w:rsid w:val="002E1403"/>
    <w:rsid w:val="002F046D"/>
    <w:rsid w:val="002F3023"/>
    <w:rsid w:val="00301764"/>
    <w:rsid w:val="003229D8"/>
    <w:rsid w:val="00336C97"/>
    <w:rsid w:val="00337F88"/>
    <w:rsid w:val="00342432"/>
    <w:rsid w:val="00342C8D"/>
    <w:rsid w:val="0035223F"/>
    <w:rsid w:val="00352D4B"/>
    <w:rsid w:val="00353161"/>
    <w:rsid w:val="0035638C"/>
    <w:rsid w:val="0037278D"/>
    <w:rsid w:val="003A46BB"/>
    <w:rsid w:val="003A4EC7"/>
    <w:rsid w:val="003A7295"/>
    <w:rsid w:val="003B1F60"/>
    <w:rsid w:val="003C2CC4"/>
    <w:rsid w:val="003D4B23"/>
    <w:rsid w:val="003E278A"/>
    <w:rsid w:val="00413520"/>
    <w:rsid w:val="004325CB"/>
    <w:rsid w:val="00440A07"/>
    <w:rsid w:val="0044404E"/>
    <w:rsid w:val="00462880"/>
    <w:rsid w:val="00476F24"/>
    <w:rsid w:val="004A5D33"/>
    <w:rsid w:val="004C2078"/>
    <w:rsid w:val="004C55B0"/>
    <w:rsid w:val="004E3F12"/>
    <w:rsid w:val="004F6BA0"/>
    <w:rsid w:val="00503BEA"/>
    <w:rsid w:val="00504A22"/>
    <w:rsid w:val="00533616"/>
    <w:rsid w:val="00535ABA"/>
    <w:rsid w:val="0053768B"/>
    <w:rsid w:val="005420F2"/>
    <w:rsid w:val="0054285C"/>
    <w:rsid w:val="00584173"/>
    <w:rsid w:val="00595520"/>
    <w:rsid w:val="005A44B9"/>
    <w:rsid w:val="005B1BA0"/>
    <w:rsid w:val="005B3DB3"/>
    <w:rsid w:val="005C0268"/>
    <w:rsid w:val="005D15CA"/>
    <w:rsid w:val="005D79A7"/>
    <w:rsid w:val="005F08DF"/>
    <w:rsid w:val="005F3066"/>
    <w:rsid w:val="005F3E61"/>
    <w:rsid w:val="005F79BF"/>
    <w:rsid w:val="00604DDD"/>
    <w:rsid w:val="006107D6"/>
    <w:rsid w:val="006115CC"/>
    <w:rsid w:val="00611FC4"/>
    <w:rsid w:val="006176FB"/>
    <w:rsid w:val="00630FCB"/>
    <w:rsid w:val="00640B26"/>
    <w:rsid w:val="0065766B"/>
    <w:rsid w:val="006770B2"/>
    <w:rsid w:val="00686A48"/>
    <w:rsid w:val="0068763C"/>
    <w:rsid w:val="00687644"/>
    <w:rsid w:val="006940E1"/>
    <w:rsid w:val="006A3C72"/>
    <w:rsid w:val="006A7392"/>
    <w:rsid w:val="006B03A1"/>
    <w:rsid w:val="006B67D9"/>
    <w:rsid w:val="006C5535"/>
    <w:rsid w:val="006D0589"/>
    <w:rsid w:val="006E564B"/>
    <w:rsid w:val="006E7154"/>
    <w:rsid w:val="007003CD"/>
    <w:rsid w:val="007064A0"/>
    <w:rsid w:val="0070701E"/>
    <w:rsid w:val="0072632A"/>
    <w:rsid w:val="007358E8"/>
    <w:rsid w:val="00736ECE"/>
    <w:rsid w:val="0074533B"/>
    <w:rsid w:val="007643BC"/>
    <w:rsid w:val="00780C68"/>
    <w:rsid w:val="007959FE"/>
    <w:rsid w:val="007A0CF1"/>
    <w:rsid w:val="007B6BA5"/>
    <w:rsid w:val="007C3390"/>
    <w:rsid w:val="007C42D8"/>
    <w:rsid w:val="007C4F4B"/>
    <w:rsid w:val="007D6F65"/>
    <w:rsid w:val="007D7362"/>
    <w:rsid w:val="007F5CE2"/>
    <w:rsid w:val="007F6611"/>
    <w:rsid w:val="00810BAC"/>
    <w:rsid w:val="00814C29"/>
    <w:rsid w:val="008175E9"/>
    <w:rsid w:val="008242D7"/>
    <w:rsid w:val="0082577B"/>
    <w:rsid w:val="00825CB5"/>
    <w:rsid w:val="00825E46"/>
    <w:rsid w:val="00855E30"/>
    <w:rsid w:val="00866893"/>
    <w:rsid w:val="00866F02"/>
    <w:rsid w:val="00867D18"/>
    <w:rsid w:val="00871F9A"/>
    <w:rsid w:val="00871FD5"/>
    <w:rsid w:val="0088172E"/>
    <w:rsid w:val="00881EFA"/>
    <w:rsid w:val="008879CB"/>
    <w:rsid w:val="008979B1"/>
    <w:rsid w:val="008A585F"/>
    <w:rsid w:val="008A6B25"/>
    <w:rsid w:val="008A6C4F"/>
    <w:rsid w:val="008B389E"/>
    <w:rsid w:val="008D045E"/>
    <w:rsid w:val="008D3F25"/>
    <w:rsid w:val="008D4D82"/>
    <w:rsid w:val="008E0E46"/>
    <w:rsid w:val="008E7116"/>
    <w:rsid w:val="008F143B"/>
    <w:rsid w:val="008F3882"/>
    <w:rsid w:val="008F4B7C"/>
    <w:rsid w:val="009038C5"/>
    <w:rsid w:val="0092556A"/>
    <w:rsid w:val="00926E47"/>
    <w:rsid w:val="009407AB"/>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D7440"/>
    <w:rsid w:val="009E0A16"/>
    <w:rsid w:val="009E6CB7"/>
    <w:rsid w:val="009E7970"/>
    <w:rsid w:val="009F2EAC"/>
    <w:rsid w:val="009F57E3"/>
    <w:rsid w:val="00A024E6"/>
    <w:rsid w:val="00A077A2"/>
    <w:rsid w:val="00A10F4F"/>
    <w:rsid w:val="00A11067"/>
    <w:rsid w:val="00A1704A"/>
    <w:rsid w:val="00A31672"/>
    <w:rsid w:val="00A36AC2"/>
    <w:rsid w:val="00A425EB"/>
    <w:rsid w:val="00A468CB"/>
    <w:rsid w:val="00A72F22"/>
    <w:rsid w:val="00A733BC"/>
    <w:rsid w:val="00A748A6"/>
    <w:rsid w:val="00A76A69"/>
    <w:rsid w:val="00A879A4"/>
    <w:rsid w:val="00AA0FF8"/>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76106"/>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72746"/>
    <w:rsid w:val="00C745C3"/>
    <w:rsid w:val="00C94837"/>
    <w:rsid w:val="00C978F5"/>
    <w:rsid w:val="00CA24A4"/>
    <w:rsid w:val="00CB348D"/>
    <w:rsid w:val="00CB683A"/>
    <w:rsid w:val="00CD135A"/>
    <w:rsid w:val="00CD46F5"/>
    <w:rsid w:val="00CE420E"/>
    <w:rsid w:val="00CE4A8F"/>
    <w:rsid w:val="00CF071D"/>
    <w:rsid w:val="00D0123D"/>
    <w:rsid w:val="00D04F31"/>
    <w:rsid w:val="00D15B04"/>
    <w:rsid w:val="00D2031B"/>
    <w:rsid w:val="00D25FE2"/>
    <w:rsid w:val="00D37DA9"/>
    <w:rsid w:val="00D406A7"/>
    <w:rsid w:val="00D41AE9"/>
    <w:rsid w:val="00D4308F"/>
    <w:rsid w:val="00D43252"/>
    <w:rsid w:val="00D44D86"/>
    <w:rsid w:val="00D50B7D"/>
    <w:rsid w:val="00D52012"/>
    <w:rsid w:val="00D52B6C"/>
    <w:rsid w:val="00D60F2A"/>
    <w:rsid w:val="00D704E5"/>
    <w:rsid w:val="00D72727"/>
    <w:rsid w:val="00D82D4C"/>
    <w:rsid w:val="00D978C6"/>
    <w:rsid w:val="00DA0956"/>
    <w:rsid w:val="00DA357F"/>
    <w:rsid w:val="00DA3E12"/>
    <w:rsid w:val="00DC18AD"/>
    <w:rsid w:val="00DD58C9"/>
    <w:rsid w:val="00DF7CAE"/>
    <w:rsid w:val="00E238AE"/>
    <w:rsid w:val="00E423C0"/>
    <w:rsid w:val="00E6414C"/>
    <w:rsid w:val="00E65E0F"/>
    <w:rsid w:val="00E7260F"/>
    <w:rsid w:val="00E8086D"/>
    <w:rsid w:val="00E8702D"/>
    <w:rsid w:val="00E905F4"/>
    <w:rsid w:val="00E916A9"/>
    <w:rsid w:val="00E916DE"/>
    <w:rsid w:val="00E925AD"/>
    <w:rsid w:val="00E96630"/>
    <w:rsid w:val="00ED18DC"/>
    <w:rsid w:val="00ED6201"/>
    <w:rsid w:val="00ED7A2A"/>
    <w:rsid w:val="00EF1D7F"/>
    <w:rsid w:val="00F0137E"/>
    <w:rsid w:val="00F04E44"/>
    <w:rsid w:val="00F21786"/>
    <w:rsid w:val="00F24405"/>
    <w:rsid w:val="00F25D06"/>
    <w:rsid w:val="00F31CFF"/>
    <w:rsid w:val="00F3742B"/>
    <w:rsid w:val="00F41FDB"/>
    <w:rsid w:val="00F47A21"/>
    <w:rsid w:val="00F50597"/>
    <w:rsid w:val="00F56D63"/>
    <w:rsid w:val="00F609A9"/>
    <w:rsid w:val="00F80C99"/>
    <w:rsid w:val="00F82D48"/>
    <w:rsid w:val="00F867EC"/>
    <w:rsid w:val="00F91B2B"/>
    <w:rsid w:val="00FB3A0B"/>
    <w:rsid w:val="00FC03CD"/>
    <w:rsid w:val="00FC0646"/>
    <w:rsid w:val="00FC68B7"/>
    <w:rsid w:val="00FE6985"/>
    <w:rsid w:val="00FF283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EE95"/>
  <w15:docId w15:val="{8EB9C86C-213D-4092-BEDB-757EF68C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
    <w:basedOn w:val="DefaultParagraphFont"/>
    <w:qFormat/>
    <w:rsid w:val="006107D6"/>
    <w:rPr>
      <w:rFonts w:ascii="Times New Roman" w:hAnsi="Times New Roman"/>
      <w:sz w:val="18"/>
      <w:vertAlign w:val="superscript"/>
      <w:lang w:val="en-GB"/>
    </w:rPr>
  </w:style>
  <w:style w:type="paragraph" w:styleId="FootnoteText">
    <w:name w:val="footnote text"/>
    <w:aliases w:val="5_G"/>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
    <w:basedOn w:val="DefaultParagraphFont"/>
    <w:link w:val="FootnoteText"/>
    <w:rsid w:val="006107D6"/>
    <w:rPr>
      <w:rFonts w:eastAsiaTheme="minorHAnsi"/>
      <w:sz w:val="18"/>
      <w:lang w:val="en-GB" w:eastAsia="en-US"/>
    </w:rPr>
  </w:style>
  <w:style w:type="character" w:customStyle="1" w:styleId="HChGChar">
    <w:name w:val="_ H _Ch_G Char"/>
    <w:link w:val="HChG"/>
    <w:locked/>
    <w:rsid w:val="004E3F12"/>
    <w:rPr>
      <w:b/>
      <w:sz w:val="28"/>
      <w:lang w:val="en-GB"/>
    </w:rPr>
  </w:style>
  <w:style w:type="character" w:customStyle="1" w:styleId="SingleTxtGChar">
    <w:name w:val="_ Single Txt_G Char"/>
    <w:link w:val="SingleTxtG"/>
    <w:qFormat/>
    <w:rsid w:val="004E3F1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B6F2023D-BB36-4B17-9700-29E3AAAAA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purl.org/dc/elements/1.1/"/>
    <ds:schemaRef ds:uri="4b4a1c0d-4a69-4996-a84a-fc699b9f49de"/>
    <ds:schemaRef ds:uri="acccb6d4-dbe5-46d2-b4d3-5733603d8cc6"/>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985ec44e-1bab-4c0b-9df0-6ba128686fc9"/>
    <ds:schemaRef ds:uri="http://www.w3.org/XML/1998/namespace"/>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2</Pages>
  <Words>499</Words>
  <Characters>2445</Characters>
  <Application>Microsoft Office Word</Application>
  <DocSecurity>0</DocSecurity>
  <Lines>56</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ECE/TRANS/WP.29/GRSP/2025/8</dc:title>
  <dc:subject>2503015</dc:subject>
  <dc:creator>Editorial</dc:creator>
  <cp:keywords/>
  <dc:description/>
  <cp:lastModifiedBy>Don Canete Martin</cp:lastModifiedBy>
  <cp:revision>2</cp:revision>
  <cp:lastPrinted>2025-02-24T09:27:00Z</cp:lastPrinted>
  <dcterms:created xsi:type="dcterms:W3CDTF">2025-02-24T09:37:00Z</dcterms:created>
  <dcterms:modified xsi:type="dcterms:W3CDTF">2025-02-24T09:37:00Z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