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EAAE" w14:textId="5596F4CD" w:rsidR="00101C00" w:rsidRPr="009641B8" w:rsidRDefault="00AE31A0" w:rsidP="00101C00">
      <w:pPr>
        <w:pStyle w:val="HChG"/>
        <w:rPr>
          <w:szCs w:val="28"/>
        </w:rPr>
      </w:pPr>
      <w:r w:rsidRPr="009641B8">
        <w:tab/>
      </w:r>
      <w:r w:rsidRPr="009641B8">
        <w:tab/>
      </w:r>
      <w:r w:rsidR="00D30CE4" w:rsidRPr="005C53A6">
        <w:rPr>
          <w:szCs w:val="28"/>
        </w:rPr>
        <w:t>Proposal for the 01 Series of Amendments to UN Regulation No.</w:t>
      </w:r>
      <w:r w:rsidR="00D30CE4" w:rsidRPr="005C53A6">
        <w:t> </w:t>
      </w:r>
      <w:r w:rsidR="00D30CE4" w:rsidRPr="005C53A6">
        <w:rPr>
          <w:szCs w:val="28"/>
        </w:rPr>
        <w:t>122 (</w:t>
      </w:r>
      <w:r w:rsidR="00D30CE4" w:rsidRPr="005C53A6">
        <w:t>Heating Systems</w:t>
      </w:r>
      <w:r w:rsidR="00D30CE4" w:rsidRPr="005C53A6">
        <w:rPr>
          <w:szCs w:val="28"/>
        </w:rPr>
        <w:t>)</w:t>
      </w:r>
    </w:p>
    <w:p w14:paraId="6FACE5D5" w14:textId="6A1083FB" w:rsidR="00101C00" w:rsidRPr="009641B8" w:rsidRDefault="005B5855" w:rsidP="00101C00">
      <w:pPr>
        <w:pStyle w:val="H1G"/>
        <w:tabs>
          <w:tab w:val="clear" w:pos="851"/>
          <w:tab w:val="left" w:pos="8505"/>
        </w:tabs>
        <w:ind w:firstLine="0"/>
        <w:rPr>
          <w:vertAlign w:val="superscript"/>
        </w:rPr>
      </w:pPr>
      <w:r w:rsidRPr="00A22CA7">
        <w:t>Submitted by the expert from the Kingdom of the Netherlands on behalf of the Task Force on Automated Vehicles Regulatory Screening</w:t>
      </w:r>
      <w:r w:rsidR="00101C00" w:rsidRPr="009641B8">
        <w:footnoteReference w:customMarkFollows="1" w:id="2"/>
        <w:t xml:space="preserve">* </w:t>
      </w:r>
    </w:p>
    <w:p w14:paraId="38F76FB9" w14:textId="5057A987" w:rsidR="00101C00" w:rsidRPr="009641B8" w:rsidRDefault="00101C00" w:rsidP="00101C00">
      <w:pPr>
        <w:pStyle w:val="HChG"/>
        <w:ind w:firstLine="567"/>
        <w:jc w:val="both"/>
        <w:rPr>
          <w:b w:val="0"/>
          <w:sz w:val="20"/>
        </w:rPr>
      </w:pPr>
      <w:r w:rsidRPr="009641B8">
        <w:rPr>
          <w:b w:val="0"/>
          <w:sz w:val="20"/>
        </w:rPr>
        <w:tab/>
        <w:t xml:space="preserve">The text reproduced below was </w:t>
      </w:r>
      <w:r w:rsidR="00AF56D8" w:rsidRPr="009641B8">
        <w:rPr>
          <w:b w:val="0"/>
          <w:sz w:val="20"/>
        </w:rPr>
        <w:t>prepared</w:t>
      </w:r>
      <w:r w:rsidRPr="009641B8">
        <w:rPr>
          <w:b w:val="0"/>
          <w:sz w:val="20"/>
        </w:rPr>
        <w:t xml:space="preserve"> by the</w:t>
      </w:r>
      <w:r w:rsidR="00347F11" w:rsidRPr="009641B8">
        <w:rPr>
          <w:b w:val="0"/>
          <w:sz w:val="20"/>
        </w:rPr>
        <w:t xml:space="preserve"> </w:t>
      </w:r>
      <w:r w:rsidR="0092315E" w:rsidRPr="00973DD7">
        <w:rPr>
          <w:b w:val="0"/>
          <w:sz w:val="20"/>
        </w:rPr>
        <w:t>Task Force on Automated Vehicles Regulatory Screening (TF-AVRS)</w:t>
      </w:r>
      <w:r w:rsidR="00B91AC9" w:rsidRPr="009641B8">
        <w:rPr>
          <w:b w:val="0"/>
          <w:sz w:val="20"/>
        </w:rPr>
        <w:t xml:space="preserve">, </w:t>
      </w:r>
      <w:r w:rsidR="00857A35">
        <w:rPr>
          <w:b w:val="0"/>
          <w:sz w:val="20"/>
        </w:rPr>
        <w:t>with the aim to amend and supersede</w:t>
      </w:r>
      <w:r w:rsidR="006B0524">
        <w:rPr>
          <w:b w:val="0"/>
          <w:sz w:val="20"/>
        </w:rPr>
        <w:t xml:space="preserve"> </w:t>
      </w:r>
      <w:r w:rsidR="00973DD7">
        <w:rPr>
          <w:b w:val="0"/>
          <w:sz w:val="20"/>
        </w:rPr>
        <w:t xml:space="preserve">document </w:t>
      </w:r>
      <w:r w:rsidR="006B0524">
        <w:rPr>
          <w:b w:val="0"/>
          <w:sz w:val="20"/>
        </w:rPr>
        <w:t>ECE/TRANS/GRS</w:t>
      </w:r>
      <w:r w:rsidR="00404AA7">
        <w:rPr>
          <w:b w:val="0"/>
          <w:sz w:val="20"/>
        </w:rPr>
        <w:t>G</w:t>
      </w:r>
      <w:r w:rsidR="006B0524">
        <w:rPr>
          <w:b w:val="0"/>
          <w:sz w:val="20"/>
        </w:rPr>
        <w:t>/2025/</w:t>
      </w:r>
      <w:r w:rsidR="00857A35">
        <w:rPr>
          <w:b w:val="0"/>
          <w:sz w:val="20"/>
        </w:rPr>
        <w:t>3</w:t>
      </w:r>
      <w:r w:rsidR="00D30CE4">
        <w:rPr>
          <w:b w:val="0"/>
          <w:sz w:val="20"/>
        </w:rPr>
        <w:t>5</w:t>
      </w:r>
      <w:r w:rsidR="00973DD7">
        <w:rPr>
          <w:b w:val="0"/>
          <w:sz w:val="20"/>
        </w:rPr>
        <w:t>.</w:t>
      </w:r>
      <w:r w:rsidRPr="009641B8">
        <w:rPr>
          <w:b w:val="0"/>
          <w:sz w:val="20"/>
        </w:rPr>
        <w:t xml:space="preserve"> The modifications to </w:t>
      </w:r>
      <w:r w:rsidR="00792646">
        <w:rPr>
          <w:b w:val="0"/>
          <w:sz w:val="20"/>
        </w:rPr>
        <w:t>ECE/TRANS/GRS</w:t>
      </w:r>
      <w:r w:rsidR="00404AA7">
        <w:rPr>
          <w:b w:val="0"/>
          <w:sz w:val="20"/>
        </w:rPr>
        <w:t>G</w:t>
      </w:r>
      <w:r w:rsidR="00792646">
        <w:rPr>
          <w:b w:val="0"/>
          <w:sz w:val="20"/>
        </w:rPr>
        <w:t>/2025/</w:t>
      </w:r>
      <w:r w:rsidR="00973DD7">
        <w:rPr>
          <w:b w:val="0"/>
          <w:sz w:val="20"/>
        </w:rPr>
        <w:t>3</w:t>
      </w:r>
      <w:r w:rsidR="00D30CE4">
        <w:rPr>
          <w:b w:val="0"/>
          <w:sz w:val="20"/>
        </w:rPr>
        <w:t>5</w:t>
      </w:r>
      <w:r w:rsidR="00792646">
        <w:rPr>
          <w:b w:val="0"/>
          <w:sz w:val="20"/>
        </w:rPr>
        <w:t xml:space="preserve"> </w:t>
      </w:r>
      <w:r w:rsidRPr="009641B8">
        <w:rPr>
          <w:b w:val="0"/>
          <w:sz w:val="20"/>
        </w:rPr>
        <w:t xml:space="preserve">are marked in </w:t>
      </w:r>
      <w:r w:rsidR="0079080A">
        <w:rPr>
          <w:b w:val="0"/>
          <w:sz w:val="20"/>
        </w:rPr>
        <w:t>(</w:t>
      </w:r>
      <w:r w:rsidR="0079080A" w:rsidRPr="00592B12">
        <w:rPr>
          <w:bCs/>
          <w:color w:val="FF0000"/>
          <w:sz w:val="20"/>
        </w:rPr>
        <w:t>bold</w:t>
      </w:r>
      <w:r w:rsidR="0079080A" w:rsidRPr="00544EE3">
        <w:rPr>
          <w:b w:val="0"/>
          <w:sz w:val="20"/>
        </w:rPr>
        <w:t>)</w:t>
      </w:r>
      <w:r w:rsidR="0079080A">
        <w:rPr>
          <w:b w:val="0"/>
          <w:sz w:val="20"/>
        </w:rPr>
        <w:t xml:space="preserve"> </w:t>
      </w:r>
      <w:r w:rsidR="00592B12" w:rsidRPr="00592B12">
        <w:rPr>
          <w:b w:val="0"/>
          <w:color w:val="FF0000"/>
          <w:sz w:val="20"/>
        </w:rPr>
        <w:t>red</w:t>
      </w:r>
      <w:r w:rsidRPr="009641B8">
        <w:rPr>
          <w:b w:val="0"/>
          <w:sz w:val="20"/>
        </w:rPr>
        <w:t xml:space="preserve"> for new or </w:t>
      </w:r>
      <w:r w:rsidRPr="00592B12">
        <w:rPr>
          <w:b w:val="0"/>
          <w:strike/>
          <w:color w:val="FF0000"/>
          <w:sz w:val="20"/>
        </w:rPr>
        <w:t>strikethrough</w:t>
      </w:r>
      <w:r w:rsidRPr="009641B8">
        <w:rPr>
          <w:b w:val="0"/>
          <w:sz w:val="20"/>
        </w:rPr>
        <w:t xml:space="preserve"> for deleted characters. </w:t>
      </w:r>
    </w:p>
    <w:p w14:paraId="06BB73FD" w14:textId="0785ED05" w:rsidR="00112120" w:rsidRPr="009641B8" w:rsidRDefault="00112120" w:rsidP="00101C00">
      <w:pPr>
        <w:pStyle w:val="HChG"/>
        <w:ind w:firstLine="567"/>
        <w:rPr>
          <w:u w:val="single"/>
        </w:rPr>
      </w:pPr>
      <w:r w:rsidRPr="009641B8">
        <w:rPr>
          <w:u w:val="single"/>
        </w:rPr>
        <w:br w:type="page"/>
      </w:r>
    </w:p>
    <w:p w14:paraId="54A3EE78" w14:textId="77777777" w:rsidR="000E7406" w:rsidRPr="009641B8" w:rsidRDefault="00AE31A0" w:rsidP="000E7406">
      <w:pPr>
        <w:pStyle w:val="HChG"/>
      </w:pPr>
      <w:r w:rsidRPr="009641B8">
        <w:lastRenderedPageBreak/>
        <w:tab/>
      </w:r>
      <w:r w:rsidR="000E7406" w:rsidRPr="009641B8">
        <w:rPr>
          <w:spacing w:val="1"/>
        </w:rPr>
        <w:t>I</w:t>
      </w:r>
      <w:r w:rsidR="000E7406" w:rsidRPr="009641B8">
        <w:t>.</w:t>
      </w:r>
      <w:r w:rsidR="000E7406" w:rsidRPr="009641B8">
        <w:tab/>
        <w:t>Pr</w:t>
      </w:r>
      <w:r w:rsidR="000E7406" w:rsidRPr="009641B8">
        <w:rPr>
          <w:spacing w:val="1"/>
        </w:rPr>
        <w:t>o</w:t>
      </w:r>
      <w:r w:rsidR="000E7406" w:rsidRPr="009641B8">
        <w:t>pos</w:t>
      </w:r>
      <w:r w:rsidR="000E7406" w:rsidRPr="009641B8">
        <w:rPr>
          <w:spacing w:val="1"/>
        </w:rPr>
        <w:t>a</w:t>
      </w:r>
      <w:r w:rsidR="000E7406" w:rsidRPr="009641B8">
        <w:t>l</w:t>
      </w:r>
    </w:p>
    <w:p w14:paraId="43739CED" w14:textId="77777777" w:rsidR="00AF56D8" w:rsidRPr="009641B8" w:rsidRDefault="00AF56D8" w:rsidP="00AF56D8"/>
    <w:p w14:paraId="46D7BFE4" w14:textId="77777777" w:rsidR="005C302C" w:rsidRPr="005C53A6" w:rsidRDefault="005C302C" w:rsidP="005C302C">
      <w:pPr>
        <w:autoSpaceDE w:val="0"/>
        <w:autoSpaceDN w:val="0"/>
        <w:adjustRightInd w:val="0"/>
        <w:spacing w:before="120" w:after="120" w:line="240" w:lineRule="auto"/>
        <w:ind w:left="1134" w:right="1134"/>
        <w:jc w:val="both"/>
        <w:rPr>
          <w:rFonts w:eastAsia="DengXian"/>
          <w:iCs/>
          <w:lang w:eastAsia="zh-CN"/>
        </w:rPr>
      </w:pPr>
      <w:r w:rsidRPr="005C53A6">
        <w:rPr>
          <w:rFonts w:eastAsia="DengXian"/>
          <w:i/>
          <w:lang w:eastAsia="zh-CN"/>
        </w:rPr>
        <w:t>Insert new paragraphs 0. and 0.1. to 0.1.</w:t>
      </w:r>
      <w:r>
        <w:rPr>
          <w:rFonts w:eastAsia="DengXian"/>
          <w:i/>
          <w:lang w:eastAsia="zh-CN"/>
        </w:rPr>
        <w:t>4</w:t>
      </w:r>
      <w:r w:rsidRPr="005C53A6">
        <w:rPr>
          <w:rFonts w:eastAsia="DengXian"/>
          <w:i/>
          <w:lang w:eastAsia="zh-CN"/>
        </w:rPr>
        <w:t>.,</w:t>
      </w:r>
      <w:r w:rsidRPr="005C53A6">
        <w:rPr>
          <w:rFonts w:eastAsia="DengXian"/>
          <w:iCs/>
          <w:lang w:eastAsia="zh-CN"/>
        </w:rPr>
        <w:t xml:space="preserve"> to read:</w:t>
      </w:r>
    </w:p>
    <w:p w14:paraId="5DE96A83" w14:textId="77777777" w:rsidR="005C302C" w:rsidRPr="005C53A6" w:rsidRDefault="005C302C" w:rsidP="005C302C">
      <w:pPr>
        <w:autoSpaceDE w:val="0"/>
        <w:autoSpaceDN w:val="0"/>
        <w:adjustRightInd w:val="0"/>
        <w:spacing w:before="120" w:after="120" w:line="240" w:lineRule="auto"/>
        <w:ind w:left="567" w:right="1134" w:firstLine="567"/>
        <w:jc w:val="both"/>
        <w:rPr>
          <w:rFonts w:eastAsia="DengXian"/>
          <w:b/>
          <w:bCs/>
          <w:iCs/>
          <w:sz w:val="28"/>
          <w:szCs w:val="28"/>
          <w:lang w:eastAsia="zh-CN"/>
        </w:rPr>
      </w:pPr>
      <w:r>
        <w:rPr>
          <w:rFonts w:eastAsia="DengXian"/>
          <w:b/>
          <w:bCs/>
          <w:iCs/>
          <w:sz w:val="28"/>
          <w:szCs w:val="28"/>
          <w:lang w:eastAsia="zh-CN"/>
        </w:rPr>
        <w:t>"</w:t>
      </w:r>
      <w:r w:rsidRPr="005C53A6">
        <w:rPr>
          <w:rFonts w:eastAsia="DengXian"/>
          <w:b/>
          <w:bCs/>
          <w:iCs/>
          <w:sz w:val="28"/>
          <w:szCs w:val="28"/>
          <w:lang w:eastAsia="zh-CN"/>
        </w:rPr>
        <w:t>0.</w:t>
      </w:r>
      <w:r w:rsidRPr="005C53A6">
        <w:rPr>
          <w:rFonts w:eastAsia="DengXian"/>
          <w:b/>
          <w:bCs/>
          <w:iCs/>
          <w:sz w:val="28"/>
          <w:szCs w:val="28"/>
          <w:lang w:eastAsia="zh-CN"/>
        </w:rPr>
        <w:tab/>
      </w:r>
      <w:r w:rsidRPr="005C53A6">
        <w:rPr>
          <w:rFonts w:eastAsia="DengXian"/>
          <w:b/>
          <w:bCs/>
          <w:iCs/>
          <w:sz w:val="28"/>
          <w:szCs w:val="28"/>
          <w:lang w:eastAsia="zh-CN"/>
        </w:rPr>
        <w:tab/>
        <w:t>Introduction</w:t>
      </w:r>
    </w:p>
    <w:p w14:paraId="5EA817E1" w14:textId="525259E0" w:rsidR="005C302C" w:rsidRPr="00F03DC9" w:rsidRDefault="005C302C" w:rsidP="005C302C">
      <w:pPr>
        <w:pStyle w:val="SingleTxtG"/>
        <w:spacing w:line="240" w:lineRule="exact"/>
        <w:ind w:left="2268" w:rightChars="567" w:hanging="1134"/>
      </w:pPr>
      <w:r w:rsidRPr="00F03DC9">
        <w:t>0.1.</w:t>
      </w:r>
      <w:r w:rsidRPr="00F03DC9">
        <w:tab/>
      </w:r>
      <w:r w:rsidRPr="00F03DC9">
        <w:tab/>
        <w:t>The 01 series of amendments is introduced to take into account vehicles of categories X and Y</w:t>
      </w:r>
      <w:r w:rsidR="00451CF7">
        <w:t xml:space="preserve"> </w:t>
      </w:r>
      <w:r w:rsidR="00451CF7" w:rsidRPr="00451CF7">
        <w:rPr>
          <w:color w:val="FF0000"/>
          <w:vertAlign w:val="superscript"/>
        </w:rPr>
        <w:t>1</w:t>
      </w:r>
      <w:r w:rsidRPr="00F03DC9">
        <w:t xml:space="preserve">, and to align the provisions in Annex 5 for all occupants. </w:t>
      </w:r>
    </w:p>
    <w:p w14:paraId="71A8E8FA" w14:textId="0C298642" w:rsidR="005C302C" w:rsidRPr="00F03DC9" w:rsidRDefault="005C302C" w:rsidP="005C302C">
      <w:pPr>
        <w:pStyle w:val="SingleTxtG"/>
        <w:spacing w:line="240" w:lineRule="exact"/>
        <w:ind w:left="2268" w:rightChars="567" w:hanging="1134"/>
      </w:pPr>
      <w:r w:rsidRPr="00F03DC9">
        <w:t>0.1.1.</w:t>
      </w:r>
      <w:r w:rsidRPr="00F03DC9">
        <w:tab/>
      </w:r>
      <w:r w:rsidRPr="00F03DC9">
        <w:tab/>
        <w:t>It was noticed by GRSG experts, that for the allowed surface temperatures, it should not matter whether the occupant is performing the Dynamic Driving Task (DDT)</w:t>
      </w:r>
      <w:r w:rsidR="00913FD0" w:rsidRPr="00913FD0">
        <w:rPr>
          <w:color w:val="FF0000"/>
          <w:vertAlign w:val="superscript"/>
        </w:rPr>
        <w:t xml:space="preserve"> </w:t>
      </w:r>
      <w:r w:rsidR="00913FD0" w:rsidRPr="00F03DC9">
        <w:rPr>
          <w:color w:val="FF0000"/>
          <w:vertAlign w:val="superscript"/>
        </w:rPr>
        <w:t>1</w:t>
      </w:r>
      <w:r w:rsidRPr="00F03DC9">
        <w:t xml:space="preserve"> (i.e. is the driver) or is a passenger and it also should not matter if an occupant is sitting in the front seat row or a rear seat and/or in which vehicle category. </w:t>
      </w:r>
    </w:p>
    <w:p w14:paraId="77FEC1A4" w14:textId="77777777" w:rsidR="005C302C" w:rsidRPr="00F03DC9" w:rsidRDefault="005C302C" w:rsidP="005C302C">
      <w:pPr>
        <w:pStyle w:val="SingleTxtG"/>
        <w:spacing w:line="240" w:lineRule="exact"/>
        <w:ind w:left="2268" w:rightChars="567" w:hanging="1134"/>
      </w:pPr>
      <w:r w:rsidRPr="00F03DC9">
        <w:t>0.1.2.</w:t>
      </w:r>
      <w:r w:rsidRPr="00F03DC9">
        <w:tab/>
      </w:r>
      <w:r w:rsidRPr="00F03DC9">
        <w:tab/>
        <w:t>Special care shall be given to rear seats of M</w:t>
      </w:r>
      <w:r w:rsidRPr="00F03DC9">
        <w:rPr>
          <w:vertAlign w:val="subscript"/>
        </w:rPr>
        <w:t>1</w:t>
      </w:r>
      <w:r w:rsidRPr="00F03DC9">
        <w:t xml:space="preserve">, since they are the typical seating positions to carry children. </w:t>
      </w:r>
    </w:p>
    <w:p w14:paraId="0357B67B" w14:textId="7A63F244" w:rsidR="005C302C" w:rsidRPr="00F03DC9" w:rsidRDefault="005C302C" w:rsidP="005C302C">
      <w:pPr>
        <w:pStyle w:val="SingleTxtG"/>
        <w:spacing w:line="240" w:lineRule="exact"/>
        <w:ind w:left="2268" w:rightChars="567" w:hanging="1134"/>
      </w:pPr>
      <w:r w:rsidRPr="00F03DC9">
        <w:t>0.1.3.</w:t>
      </w:r>
      <w:r w:rsidRPr="00F03DC9">
        <w:tab/>
      </w:r>
      <w:r w:rsidRPr="00F03DC9">
        <w:tab/>
        <w:t>Therefore, GRSG in its 128</w:t>
      </w:r>
      <w:r w:rsidRPr="00F03DC9">
        <w:rPr>
          <w:vertAlign w:val="superscript"/>
        </w:rPr>
        <w:t>th</w:t>
      </w:r>
      <w:r w:rsidRPr="00F03DC9">
        <w:t xml:space="preserve"> session, decided that TF-AVRS would take this topic on board their work to update the Regulation for the purpose of fitness for </w:t>
      </w:r>
      <w:r w:rsidRPr="00B93ECD">
        <w:rPr>
          <w:strike/>
          <w:color w:val="FF0000"/>
        </w:rPr>
        <w:t>Autonomous</w:t>
      </w:r>
      <w:r w:rsidRPr="00F03DC9">
        <w:t xml:space="preserve"> </w:t>
      </w:r>
      <w:r w:rsidR="00B93ECD" w:rsidRPr="00B93ECD">
        <w:rPr>
          <w:color w:val="FF0000"/>
        </w:rPr>
        <w:t>Automated</w:t>
      </w:r>
      <w:r w:rsidR="00B93ECD">
        <w:t xml:space="preserve"> </w:t>
      </w:r>
      <w:r w:rsidRPr="00F03DC9">
        <w:t>Driving System (ADS)</w:t>
      </w:r>
      <w:r w:rsidR="00451CF7" w:rsidRPr="00451CF7">
        <w:rPr>
          <w:color w:val="FF0000"/>
          <w:vertAlign w:val="superscript"/>
        </w:rPr>
        <w:t xml:space="preserve"> </w:t>
      </w:r>
      <w:r w:rsidR="00451CF7" w:rsidRPr="00285EB3">
        <w:rPr>
          <w:color w:val="FF0000"/>
          <w:vertAlign w:val="superscript"/>
        </w:rPr>
        <w:t>1</w:t>
      </w:r>
      <w:r w:rsidRPr="00F03DC9">
        <w:t>. It helps TF-AVRS, to be able to have the same provisions for driver and passengers, i.e. for all occupants and increases the level of safety with regard to minimising the risk of burns.</w:t>
      </w:r>
    </w:p>
    <w:p w14:paraId="57003093" w14:textId="77777777" w:rsidR="005C302C" w:rsidRPr="00F03DC9" w:rsidRDefault="005C302C" w:rsidP="005C302C">
      <w:pPr>
        <w:spacing w:after="120" w:line="240" w:lineRule="exact"/>
        <w:ind w:left="2268" w:rightChars="567" w:right="1134" w:hanging="1134"/>
        <w:contextualSpacing/>
        <w:jc w:val="both"/>
      </w:pPr>
      <w:r w:rsidRPr="00F03DC9">
        <w:t>0.1.4.</w:t>
      </w:r>
      <w:r w:rsidRPr="00F03DC9">
        <w:tab/>
      </w:r>
      <w:r w:rsidRPr="00F03DC9">
        <w:tab/>
        <w:t>Paragraph 2 already provides for the possibility for manufacturers to justify in a safety concept to allow for higher temperatures without increasing the risk for occupants to get burns."</w:t>
      </w:r>
    </w:p>
    <w:p w14:paraId="3D545177" w14:textId="77777777" w:rsidR="005C302C" w:rsidRPr="005C53A6" w:rsidRDefault="005C302C" w:rsidP="005C302C">
      <w:pPr>
        <w:spacing w:after="120" w:line="240" w:lineRule="exact"/>
        <w:ind w:left="2268" w:rightChars="567" w:right="1134" w:hanging="1134"/>
        <w:contextualSpacing/>
        <w:jc w:val="both"/>
        <w:rPr>
          <w:rFonts w:eastAsiaTheme="minorEastAsia"/>
          <w:color w:val="000000" w:themeColor="text1"/>
        </w:rPr>
      </w:pPr>
    </w:p>
    <w:p w14:paraId="66C628CE" w14:textId="77777777" w:rsidR="005C302C" w:rsidRDefault="005C302C" w:rsidP="005C302C">
      <w:pPr>
        <w:autoSpaceDE w:val="0"/>
        <w:autoSpaceDN w:val="0"/>
        <w:adjustRightInd w:val="0"/>
        <w:spacing w:before="120" w:after="120" w:line="240" w:lineRule="auto"/>
        <w:ind w:left="1134" w:right="1134"/>
        <w:jc w:val="both"/>
        <w:rPr>
          <w:rFonts w:eastAsia="DengXian"/>
          <w:i/>
          <w:lang w:eastAsia="zh-CN"/>
        </w:rPr>
      </w:pPr>
      <w:r>
        <w:rPr>
          <w:rFonts w:eastAsia="DengXian"/>
          <w:i/>
          <w:lang w:eastAsia="zh-CN"/>
        </w:rPr>
        <w:t xml:space="preserve">Paragraph 1.1. and 2.2., footnote 1, </w:t>
      </w:r>
      <w:r w:rsidRPr="00310475">
        <w:rPr>
          <w:rFonts w:eastAsia="DengXian"/>
          <w:iCs/>
          <w:lang w:eastAsia="zh-CN"/>
        </w:rPr>
        <w:t>amend to read:</w:t>
      </w:r>
    </w:p>
    <w:p w14:paraId="5B185A39" w14:textId="77777777" w:rsidR="005C302C" w:rsidRPr="00890B43" w:rsidRDefault="005C302C" w:rsidP="005C302C">
      <w:pPr>
        <w:pStyle w:val="FootnoteText"/>
        <w:widowControl w:val="0"/>
        <w:rPr>
          <w:szCs w:val="18"/>
        </w:rPr>
      </w:pPr>
      <w:r>
        <w:rPr>
          <w:vertAlign w:val="superscript"/>
        </w:rPr>
        <w:tab/>
      </w:r>
      <w:r>
        <w:rPr>
          <w:szCs w:val="18"/>
          <w:vertAlign w:val="superscript"/>
        </w:rPr>
        <w:t>"</w:t>
      </w:r>
      <w:r w:rsidRPr="00AA79FB">
        <w:rPr>
          <w:szCs w:val="18"/>
          <w:vertAlign w:val="superscript"/>
        </w:rPr>
        <w:t>1</w:t>
      </w:r>
      <w:r w:rsidRPr="00AA79FB">
        <w:rPr>
          <w:szCs w:val="18"/>
          <w:vertAlign w:val="superscript"/>
        </w:rPr>
        <w:tab/>
      </w:r>
      <w:bookmarkStart w:id="0" w:name="+ÿ!J$YERUUIL_NR;290Rfn1"/>
      <w:bookmarkStart w:id="1" w:name="Rfn1"/>
      <w:bookmarkEnd w:id="0"/>
      <w:r w:rsidRPr="00890B43">
        <w:rPr>
          <w:szCs w:val="18"/>
        </w:rPr>
        <w:tab/>
      </w:r>
      <w:r w:rsidRPr="00890B43">
        <w:rPr>
          <w:strike/>
          <w:szCs w:val="18"/>
        </w:rPr>
        <w:t>As defined in Annex 7 to the Consolidated Resolution on the Construction of Vehicles (R.E.3) (document TRANS/WP.29/78/Rev.1/Amend.2, as last amended by Amend.4)</w:t>
      </w:r>
      <w:r w:rsidRPr="00890B43">
        <w:rPr>
          <w:szCs w:val="18"/>
        </w:rPr>
        <w:t>.</w:t>
      </w:r>
    </w:p>
    <w:bookmarkEnd w:id="1"/>
    <w:p w14:paraId="504A326B" w14:textId="77777777" w:rsidR="005C302C" w:rsidRPr="00414B22" w:rsidRDefault="005C302C" w:rsidP="005C302C">
      <w:pPr>
        <w:pStyle w:val="FootnoteText"/>
        <w:widowControl w:val="0"/>
        <w:rPr>
          <w:iCs/>
          <w:color w:val="0000FF"/>
          <w:szCs w:val="18"/>
        </w:rPr>
      </w:pPr>
      <w:r>
        <w:rPr>
          <w:szCs w:val="18"/>
        </w:rPr>
        <w:tab/>
      </w:r>
      <w:r>
        <w:rPr>
          <w:szCs w:val="18"/>
        </w:rPr>
        <w:tab/>
      </w:r>
      <w:r w:rsidRPr="005B0E74">
        <w:rPr>
          <w:b/>
          <w:bCs/>
          <w:szCs w:val="18"/>
        </w:rPr>
        <w:t xml:space="preserve">As defined in the Consolidated Resolution on the Construction of Vehicles (R.E.3.), document ECE/TRANS/WP.29/78/Rev.8, para. 2 - </w:t>
      </w:r>
      <w:r w:rsidRPr="005B0E74">
        <w:rPr>
          <w:b/>
          <w:bCs/>
          <w:szCs w:val="18"/>
        </w:rPr>
        <w:br/>
      </w:r>
      <w:hyperlink r:id="rId11" w:history="1">
        <w:r w:rsidRPr="00414B22">
          <w:rPr>
            <w:rStyle w:val="Hyperlink"/>
            <w:szCs w:val="18"/>
          </w:rPr>
          <w:t>https://unece.org/transport/vehicle-regulations/wp29/resolutions</w:t>
        </w:r>
      </w:hyperlink>
      <w:r>
        <w:rPr>
          <w:rStyle w:val="Hyperlink"/>
          <w:iCs/>
          <w:color w:val="auto"/>
          <w:szCs w:val="18"/>
        </w:rPr>
        <w:t>"</w:t>
      </w:r>
    </w:p>
    <w:p w14:paraId="497D1A6C" w14:textId="77777777" w:rsidR="005C302C" w:rsidRDefault="005C302C" w:rsidP="005C302C">
      <w:pPr>
        <w:rPr>
          <w:lang w:val="en-US"/>
        </w:rPr>
      </w:pPr>
    </w:p>
    <w:p w14:paraId="5F6B7C1F" w14:textId="77777777" w:rsidR="005C302C" w:rsidRDefault="005C302C" w:rsidP="005C302C">
      <w:pPr>
        <w:rPr>
          <w:lang w:val="en-US"/>
        </w:rPr>
      </w:pPr>
      <w:r>
        <w:rPr>
          <w:lang w:val="en-US"/>
        </w:rPr>
        <w:tab/>
      </w:r>
      <w:r>
        <w:rPr>
          <w:lang w:val="en-US"/>
        </w:rPr>
        <w:tab/>
      </w:r>
      <w:r>
        <w:rPr>
          <w:i/>
          <w:iCs/>
          <w:lang w:val="en-US"/>
        </w:rPr>
        <w:t>P</w:t>
      </w:r>
      <w:r w:rsidRPr="0064211C">
        <w:rPr>
          <w:i/>
          <w:iCs/>
          <w:lang w:val="en-US"/>
        </w:rPr>
        <w:t>aragraph 2.</w:t>
      </w:r>
      <w:r>
        <w:rPr>
          <w:i/>
          <w:iCs/>
          <w:lang w:val="en-US"/>
        </w:rPr>
        <w:t>7.</w:t>
      </w:r>
      <w:r w:rsidRPr="0064211C">
        <w:rPr>
          <w:i/>
          <w:iCs/>
          <w:lang w:val="en-US"/>
        </w:rPr>
        <w:t xml:space="preserve">, </w:t>
      </w:r>
      <w:r w:rsidRPr="0064211C">
        <w:rPr>
          <w:lang w:val="en-US"/>
        </w:rPr>
        <w:t>amend to read:</w:t>
      </w:r>
    </w:p>
    <w:p w14:paraId="398597C4" w14:textId="77777777" w:rsidR="005C302C" w:rsidRDefault="005C302C" w:rsidP="005C302C">
      <w:pPr>
        <w:rPr>
          <w:lang w:val="en-US"/>
        </w:rPr>
      </w:pPr>
    </w:p>
    <w:p w14:paraId="551C0043" w14:textId="4F683421" w:rsidR="005C302C" w:rsidRDefault="005C302C" w:rsidP="005C302C">
      <w:pPr>
        <w:ind w:left="2268" w:right="1134" w:hanging="1134"/>
        <w:jc w:val="both"/>
        <w:rPr>
          <w:lang w:val="en-US"/>
        </w:rPr>
      </w:pPr>
      <w:r>
        <w:rPr>
          <w:lang w:val="en-US"/>
        </w:rPr>
        <w:t>2.7.</w:t>
      </w:r>
      <w:r>
        <w:rPr>
          <w:lang w:val="en-US"/>
        </w:rPr>
        <w:tab/>
      </w:r>
      <w:r>
        <w:rPr>
          <w:lang w:val="en-US"/>
        </w:rPr>
        <w:tab/>
        <w:t>"</w:t>
      </w:r>
      <w:r w:rsidRPr="00007C9B">
        <w:rPr>
          <w:lang w:val="en-US"/>
        </w:rPr>
        <w:t>Passenger compartment</w:t>
      </w:r>
      <w:r>
        <w:rPr>
          <w:lang w:val="en-US"/>
        </w:rPr>
        <w:t>"</w:t>
      </w:r>
      <w:r w:rsidRPr="00007C9B">
        <w:rPr>
          <w:lang w:val="en-US"/>
        </w:rPr>
        <w:t xml:space="preserve"> means the interior part of the vehicle used to accommodate </w:t>
      </w:r>
      <w:r w:rsidRPr="00007C9B">
        <w:rPr>
          <w:strike/>
          <w:lang w:val="en-US"/>
        </w:rPr>
        <w:t>the driver and any passengers</w:t>
      </w:r>
      <w:r w:rsidR="00681776" w:rsidRPr="00681776">
        <w:rPr>
          <w:lang w:val="en-US"/>
        </w:rPr>
        <w:t xml:space="preserve"> </w:t>
      </w:r>
      <w:r w:rsidRPr="00007C9B">
        <w:rPr>
          <w:b/>
          <w:lang w:val="en-US"/>
        </w:rPr>
        <w:t>occupants</w:t>
      </w:r>
      <w:r w:rsidRPr="00007C9B">
        <w:rPr>
          <w:lang w:val="en-US"/>
        </w:rPr>
        <w:t>.</w:t>
      </w:r>
    </w:p>
    <w:p w14:paraId="2E42DDD0" w14:textId="77777777" w:rsidR="005C302C" w:rsidRPr="00BF51AB" w:rsidRDefault="005C302C" w:rsidP="005C302C">
      <w:pPr>
        <w:ind w:left="2268" w:right="1134" w:hanging="1134"/>
        <w:jc w:val="both"/>
        <w:rPr>
          <w:lang w:val="en-US"/>
        </w:rPr>
      </w:pPr>
    </w:p>
    <w:p w14:paraId="56443560" w14:textId="77777777" w:rsidR="005C302C" w:rsidRDefault="005C302C" w:rsidP="005C302C">
      <w:pPr>
        <w:ind w:left="2127" w:right="1134" w:hanging="993"/>
        <w:jc w:val="both"/>
        <w:rPr>
          <w:lang w:val="en-US"/>
        </w:rPr>
      </w:pPr>
      <w:r>
        <w:rPr>
          <w:i/>
          <w:iCs/>
          <w:lang w:val="en-US"/>
        </w:rPr>
        <w:t>Paragraph 5</w:t>
      </w:r>
      <w:r w:rsidRPr="0064211C">
        <w:rPr>
          <w:i/>
          <w:iCs/>
          <w:lang w:val="en-US"/>
        </w:rPr>
        <w:t>.</w:t>
      </w:r>
      <w:r>
        <w:rPr>
          <w:i/>
          <w:iCs/>
          <w:lang w:val="en-US"/>
        </w:rPr>
        <w:t>2.1.</w:t>
      </w:r>
      <w:r w:rsidRPr="0064211C">
        <w:rPr>
          <w:i/>
          <w:iCs/>
          <w:lang w:val="en-US"/>
        </w:rPr>
        <w:t xml:space="preserve">, </w:t>
      </w:r>
      <w:r w:rsidRPr="0064211C">
        <w:rPr>
          <w:lang w:val="en-US"/>
        </w:rPr>
        <w:t>amend to read:</w:t>
      </w:r>
    </w:p>
    <w:p w14:paraId="11C0824A" w14:textId="51C0BEBB" w:rsidR="005C302C" w:rsidRDefault="005C302C" w:rsidP="005C302C">
      <w:pPr>
        <w:spacing w:before="240"/>
        <w:ind w:left="2268" w:right="1134" w:hanging="1134"/>
        <w:jc w:val="both"/>
        <w:rPr>
          <w:lang w:val="en-US"/>
        </w:rPr>
      </w:pPr>
      <w:r>
        <w:rPr>
          <w:lang w:val="en-US"/>
        </w:rPr>
        <w:t>5.2.1.</w:t>
      </w:r>
      <w:r>
        <w:rPr>
          <w:lang w:val="en-US"/>
        </w:rPr>
        <w:tab/>
      </w:r>
      <w:r w:rsidRPr="00750127">
        <w:rPr>
          <w:strike/>
          <w:color w:val="FF0000"/>
          <w:lang w:val="en-US"/>
        </w:rPr>
        <w:t xml:space="preserve">The passenger compartment of </w:t>
      </w:r>
      <w:proofErr w:type="spellStart"/>
      <w:r w:rsidRPr="00750127">
        <w:rPr>
          <w:strike/>
          <w:color w:val="FF0000"/>
          <w:lang w:val="en-US"/>
        </w:rPr>
        <w:t>every</w:t>
      </w:r>
      <w:r w:rsidRPr="00750127">
        <w:rPr>
          <w:b/>
          <w:strike/>
          <w:color w:val="FF0000"/>
          <w:lang w:val="en-US"/>
        </w:rPr>
        <w:t>In</w:t>
      </w:r>
      <w:proofErr w:type="spellEnd"/>
      <w:r w:rsidRPr="00750127">
        <w:rPr>
          <w:b/>
          <w:strike/>
          <w:color w:val="FF0000"/>
          <w:lang w:val="en-US"/>
        </w:rPr>
        <w:t xml:space="preserve"> case the</w:t>
      </w:r>
      <w:r w:rsidRPr="00750127">
        <w:rPr>
          <w:strike/>
          <w:color w:val="FF0000"/>
          <w:lang w:val="en-US"/>
        </w:rPr>
        <w:t xml:space="preserve"> vehicle </w:t>
      </w:r>
      <w:r w:rsidRPr="00750127">
        <w:rPr>
          <w:b/>
          <w:strike/>
          <w:color w:val="FF0000"/>
          <w:lang w:val="en-US"/>
        </w:rPr>
        <w:t>has a passenger compartment, it</w:t>
      </w:r>
      <w:r w:rsidRPr="00750127">
        <w:rPr>
          <w:strike/>
          <w:color w:val="FF0000"/>
          <w:lang w:val="en-US"/>
        </w:rPr>
        <w:t xml:space="preserve"> shall be fitted with a heating system</w:t>
      </w:r>
      <w:r w:rsidR="00750127">
        <w:rPr>
          <w:color w:val="FF0000"/>
          <w:lang w:val="en-US"/>
        </w:rPr>
        <w:t xml:space="preserve"> </w:t>
      </w:r>
      <w:r w:rsidR="00750127" w:rsidRPr="00750127">
        <w:rPr>
          <w:b/>
          <w:bCs/>
          <w:color w:val="FF0000"/>
          <w:lang w:val="en-AU"/>
        </w:rPr>
        <w:t>A heating system shall be fitted to each passenger compartment (as applicable) within the vehicle</w:t>
      </w:r>
      <w:r w:rsidRPr="00007C9B">
        <w:rPr>
          <w:lang w:val="en-US"/>
        </w:rPr>
        <w:t>.  If a heating system for the load area is provided in a vehicle, it shall comply with this Regulation. </w:t>
      </w:r>
    </w:p>
    <w:p w14:paraId="2152FF44" w14:textId="77777777" w:rsidR="005C302C" w:rsidRDefault="005C302C" w:rsidP="005C302C">
      <w:pPr>
        <w:ind w:left="2268" w:right="1134" w:hanging="1134"/>
        <w:jc w:val="both"/>
        <w:rPr>
          <w:i/>
          <w:iCs/>
          <w:lang w:val="en-US"/>
        </w:rPr>
      </w:pPr>
    </w:p>
    <w:p w14:paraId="081797E4" w14:textId="77777777" w:rsidR="005C302C" w:rsidRDefault="005C302C" w:rsidP="005C302C">
      <w:pPr>
        <w:ind w:left="567" w:firstLine="567"/>
        <w:rPr>
          <w:lang w:val="en-US"/>
        </w:rPr>
      </w:pPr>
      <w:r w:rsidRPr="00B307CD">
        <w:rPr>
          <w:i/>
          <w:iCs/>
          <w:lang w:val="en-US"/>
        </w:rPr>
        <w:t>Insert new paragraph</w:t>
      </w:r>
      <w:r>
        <w:rPr>
          <w:i/>
          <w:iCs/>
          <w:lang w:val="en-US"/>
        </w:rPr>
        <w:t>s</w:t>
      </w:r>
      <w:r w:rsidRPr="00B307CD">
        <w:rPr>
          <w:i/>
          <w:iCs/>
          <w:lang w:val="en-US"/>
        </w:rPr>
        <w:t xml:space="preserve"> 12.</w:t>
      </w:r>
      <w:r>
        <w:rPr>
          <w:i/>
          <w:iCs/>
          <w:lang w:val="en-US"/>
        </w:rPr>
        <w:t xml:space="preserve"> and 12.1. to 12.5.</w:t>
      </w:r>
      <w:r w:rsidRPr="00B307CD">
        <w:rPr>
          <w:i/>
          <w:iCs/>
          <w:lang w:val="en-US"/>
        </w:rPr>
        <w:t>,</w:t>
      </w:r>
      <w:r>
        <w:rPr>
          <w:lang w:val="en-US"/>
        </w:rPr>
        <w:t xml:space="preserve"> to read:</w:t>
      </w:r>
    </w:p>
    <w:p w14:paraId="0C2AC48C" w14:textId="77777777" w:rsidR="005C302C" w:rsidRDefault="005C302C" w:rsidP="005C302C">
      <w:pPr>
        <w:rPr>
          <w:lang w:val="en-US"/>
        </w:rPr>
      </w:pPr>
    </w:p>
    <w:p w14:paraId="5FC2E39B" w14:textId="77777777" w:rsidR="005C302C" w:rsidRPr="00830F21" w:rsidRDefault="005C302C" w:rsidP="005C302C">
      <w:pPr>
        <w:rPr>
          <w:b/>
          <w:bCs/>
          <w:sz w:val="28"/>
          <w:szCs w:val="28"/>
          <w:lang w:val="en-US"/>
        </w:rPr>
      </w:pPr>
      <w:r w:rsidRPr="00830F21">
        <w:rPr>
          <w:b/>
          <w:bCs/>
          <w:sz w:val="28"/>
          <w:szCs w:val="28"/>
          <w:lang w:val="en-US"/>
        </w:rPr>
        <w:tab/>
      </w:r>
      <w:r w:rsidRPr="00830F21">
        <w:rPr>
          <w:b/>
          <w:bCs/>
          <w:sz w:val="28"/>
          <w:szCs w:val="28"/>
          <w:lang w:val="en-US"/>
        </w:rPr>
        <w:tab/>
      </w:r>
      <w:r>
        <w:rPr>
          <w:b/>
          <w:bCs/>
          <w:sz w:val="28"/>
          <w:szCs w:val="28"/>
          <w:lang w:val="en-US"/>
        </w:rPr>
        <w:t>"</w:t>
      </w:r>
      <w:r w:rsidRPr="00830F21">
        <w:rPr>
          <w:b/>
          <w:bCs/>
          <w:sz w:val="28"/>
          <w:szCs w:val="28"/>
          <w:lang w:val="en-US"/>
        </w:rPr>
        <w:t>12.</w:t>
      </w:r>
      <w:r w:rsidRPr="00830F21">
        <w:rPr>
          <w:b/>
          <w:bCs/>
          <w:sz w:val="28"/>
          <w:szCs w:val="28"/>
          <w:lang w:val="en-US"/>
        </w:rPr>
        <w:tab/>
      </w:r>
      <w:r w:rsidRPr="00830F21">
        <w:rPr>
          <w:b/>
          <w:bCs/>
          <w:sz w:val="28"/>
          <w:szCs w:val="28"/>
          <w:lang w:val="en-US"/>
        </w:rPr>
        <w:tab/>
        <w:t>Transitional provisions</w:t>
      </w:r>
      <w:r w:rsidRPr="00830F21">
        <w:rPr>
          <w:b/>
          <w:bCs/>
          <w:sz w:val="28"/>
          <w:szCs w:val="28"/>
          <w:lang w:val="en-US"/>
        </w:rPr>
        <w:br/>
      </w:r>
    </w:p>
    <w:p w14:paraId="52A2ACB7" w14:textId="77777777" w:rsidR="005C302C" w:rsidRPr="0071095D" w:rsidRDefault="005C302C" w:rsidP="005C302C">
      <w:pPr>
        <w:spacing w:beforeLines="50" w:before="120" w:after="120"/>
        <w:ind w:left="2268" w:right="1134" w:hanging="1134"/>
        <w:jc w:val="both"/>
      </w:pPr>
      <w:r>
        <w:t>12</w:t>
      </w:r>
      <w:r w:rsidRPr="0071095D">
        <w:t>.1.</w:t>
      </w:r>
      <w:r w:rsidRPr="0071095D">
        <w:tab/>
        <w:t xml:space="preserve">As from the official date of entry into force of the </w:t>
      </w:r>
      <w:r>
        <w:t>01</w:t>
      </w:r>
      <w:r w:rsidRPr="0071095D">
        <w:t xml:space="preserve"> series of amendments, no Contracting Party applying </w:t>
      </w:r>
      <w:r>
        <w:t>this Regulation</w:t>
      </w:r>
      <w:r w:rsidRPr="0071095D">
        <w:t xml:space="preserve"> shall refuse to grant or refuse to accept </w:t>
      </w:r>
      <w:r>
        <w:t xml:space="preserve">type </w:t>
      </w:r>
      <w:r w:rsidRPr="0071095D">
        <w:t xml:space="preserve">approvals under </w:t>
      </w:r>
      <w:r>
        <w:t>this Regulation</w:t>
      </w:r>
      <w:r w:rsidRPr="0071095D">
        <w:t xml:space="preserve"> as amended by the </w:t>
      </w:r>
      <w:r>
        <w:t xml:space="preserve">01 </w:t>
      </w:r>
      <w:r w:rsidRPr="0071095D">
        <w:t>series of amendments.</w:t>
      </w:r>
    </w:p>
    <w:p w14:paraId="45C8C88A" w14:textId="77777777" w:rsidR="005C302C" w:rsidRPr="0071095D" w:rsidRDefault="005C302C" w:rsidP="005C302C">
      <w:pPr>
        <w:spacing w:after="120"/>
        <w:ind w:left="2268" w:right="1134" w:hanging="1134"/>
        <w:jc w:val="both"/>
        <w:rPr>
          <w:rFonts w:eastAsia="MS Mincho"/>
          <w:lang w:eastAsia="ja-JP"/>
        </w:rPr>
      </w:pPr>
      <w:r>
        <w:lastRenderedPageBreak/>
        <w:t>12</w:t>
      </w:r>
      <w:r w:rsidRPr="0071095D">
        <w:t>.2.</w:t>
      </w:r>
      <w:r w:rsidRPr="0071095D">
        <w:tab/>
      </w:r>
      <w:r w:rsidRPr="0071095D">
        <w:tab/>
        <w:t xml:space="preserve">As </w:t>
      </w:r>
      <w:r w:rsidRPr="0071095D">
        <w:rPr>
          <w:rFonts w:eastAsia="MS Mincho"/>
          <w:lang w:eastAsia="ja-JP"/>
        </w:rPr>
        <w:t>from</w:t>
      </w:r>
      <w:r w:rsidRPr="0071095D">
        <w:t xml:space="preserve"> 1 September </w:t>
      </w:r>
      <w:r>
        <w:t>2028</w:t>
      </w:r>
      <w:r w:rsidRPr="0071095D">
        <w:t xml:space="preserve">, Contracting Parties applying </w:t>
      </w:r>
      <w:r>
        <w:t>this Regulation</w:t>
      </w:r>
      <w:r w:rsidRPr="0071095D">
        <w:t xml:space="preserve"> shall not be obliged to accept </w:t>
      </w:r>
      <w:r>
        <w:t xml:space="preserve">type </w:t>
      </w:r>
      <w:r w:rsidRPr="0071095D">
        <w:t xml:space="preserve">approvals to the preceding series of amendments, first issued after 1 September </w:t>
      </w:r>
      <w:r>
        <w:t>2028</w:t>
      </w:r>
      <w:r w:rsidRPr="0071095D">
        <w:t>.</w:t>
      </w:r>
    </w:p>
    <w:p w14:paraId="42C22ABA" w14:textId="77777777" w:rsidR="005C302C" w:rsidRPr="0071095D" w:rsidRDefault="005C302C" w:rsidP="005C302C">
      <w:pPr>
        <w:spacing w:after="120"/>
        <w:ind w:left="2268" w:right="1134" w:hanging="1134"/>
        <w:jc w:val="both"/>
        <w:rPr>
          <w:rFonts w:eastAsia="MS Mincho"/>
          <w:b/>
          <w:vertAlign w:val="superscript"/>
          <w:lang w:eastAsia="ja-JP"/>
        </w:rPr>
      </w:pPr>
      <w:r>
        <w:rPr>
          <w:iCs/>
          <w:lang w:eastAsia="ja-JP"/>
        </w:rPr>
        <w:t>12</w:t>
      </w:r>
      <w:r w:rsidRPr="0071095D">
        <w:rPr>
          <w:iCs/>
          <w:lang w:eastAsia="ja-JP"/>
        </w:rPr>
        <w:t>.</w:t>
      </w:r>
      <w:r>
        <w:rPr>
          <w:iCs/>
          <w:lang w:eastAsia="ja-JP"/>
        </w:rPr>
        <w:t>3</w:t>
      </w:r>
      <w:r w:rsidRPr="0071095D">
        <w:rPr>
          <w:iCs/>
          <w:lang w:eastAsia="ja-JP"/>
        </w:rPr>
        <w:t>.</w:t>
      </w:r>
      <w:r w:rsidRPr="0071095D">
        <w:rPr>
          <w:iCs/>
          <w:lang w:eastAsia="ja-JP"/>
        </w:rPr>
        <w:tab/>
        <w:t xml:space="preserve">Contracting Parties applying </w:t>
      </w:r>
      <w:r>
        <w:rPr>
          <w:iCs/>
          <w:lang w:eastAsia="ja-JP"/>
        </w:rPr>
        <w:t>this Regulation</w:t>
      </w:r>
      <w:r w:rsidRPr="0071095D">
        <w:rPr>
          <w:iCs/>
          <w:lang w:eastAsia="ja-JP"/>
        </w:rPr>
        <w:t xml:space="preserve"> shall continue to accept </w:t>
      </w:r>
      <w:r>
        <w:rPr>
          <w:iCs/>
          <w:lang w:eastAsia="ja-JP"/>
        </w:rPr>
        <w:t xml:space="preserve">type </w:t>
      </w:r>
      <w:r w:rsidRPr="0071095D">
        <w:rPr>
          <w:iCs/>
          <w:lang w:eastAsia="ja-JP"/>
        </w:rPr>
        <w:t xml:space="preserve">approvals </w:t>
      </w:r>
      <w:r w:rsidRPr="0071095D">
        <w:t>issued</w:t>
      </w:r>
      <w:r w:rsidRPr="0071095D">
        <w:rPr>
          <w:iCs/>
          <w:spacing w:val="-2"/>
          <w:lang w:eastAsia="ja-JP"/>
        </w:rPr>
        <w:t xml:space="preserve"> </w:t>
      </w:r>
      <w:r w:rsidRPr="0071095D">
        <w:t>according</w:t>
      </w:r>
      <w:r w:rsidRPr="0071095D">
        <w:rPr>
          <w:iCs/>
          <w:spacing w:val="-2"/>
          <w:lang w:eastAsia="ja-JP"/>
        </w:rPr>
        <w:t xml:space="preserve"> </w:t>
      </w:r>
      <w:r w:rsidRPr="0071095D">
        <w:rPr>
          <w:iCs/>
          <w:lang w:eastAsia="ja-JP"/>
        </w:rPr>
        <w:t xml:space="preserve">to the preceding series of amendments to </w:t>
      </w:r>
      <w:r>
        <w:rPr>
          <w:iCs/>
          <w:lang w:eastAsia="ja-JP"/>
        </w:rPr>
        <w:t>this</w:t>
      </w:r>
      <w:r w:rsidRPr="0071095D">
        <w:rPr>
          <w:iCs/>
          <w:lang w:eastAsia="ja-JP"/>
        </w:rPr>
        <w:t xml:space="preserve"> Regulation first issued before </w:t>
      </w:r>
      <w:r>
        <w:rPr>
          <w:iCs/>
          <w:lang w:eastAsia="ja-JP"/>
        </w:rPr>
        <w:t>1 September 2028</w:t>
      </w:r>
      <w:r w:rsidRPr="0071095D">
        <w:rPr>
          <w:iCs/>
          <w:lang w:eastAsia="ja-JP"/>
        </w:rPr>
        <w:t>.</w:t>
      </w:r>
    </w:p>
    <w:p w14:paraId="2DEDFE2F" w14:textId="77777777" w:rsidR="005C302C" w:rsidRPr="0071095D" w:rsidRDefault="005C302C" w:rsidP="005C302C">
      <w:pPr>
        <w:spacing w:after="120"/>
        <w:ind w:left="2268" w:right="1134" w:hanging="1134"/>
        <w:jc w:val="both"/>
        <w:rPr>
          <w:rFonts w:eastAsia="MS Mincho"/>
          <w:iCs/>
          <w:lang w:eastAsia="ja-JP"/>
        </w:rPr>
      </w:pPr>
      <w:r>
        <w:rPr>
          <w:iCs/>
          <w:lang w:eastAsia="ja-JP"/>
        </w:rPr>
        <w:t>12</w:t>
      </w:r>
      <w:r w:rsidRPr="0071095D">
        <w:rPr>
          <w:iCs/>
          <w:lang w:eastAsia="ja-JP"/>
        </w:rPr>
        <w:t>.</w:t>
      </w:r>
      <w:r>
        <w:rPr>
          <w:iCs/>
          <w:lang w:eastAsia="ja-JP"/>
        </w:rPr>
        <w:t>4</w:t>
      </w:r>
      <w:r w:rsidRPr="0071095D">
        <w:rPr>
          <w:iCs/>
          <w:lang w:eastAsia="ja-JP"/>
        </w:rPr>
        <w:t>.</w:t>
      </w:r>
      <w:r w:rsidRPr="0071095D">
        <w:rPr>
          <w:iCs/>
          <w:lang w:eastAsia="ja-JP"/>
        </w:rPr>
        <w:tab/>
      </w:r>
      <w:r w:rsidRPr="0071095D">
        <w:rPr>
          <w:rFonts w:eastAsia="MS PGothic"/>
          <w:iCs/>
          <w:spacing w:val="-2"/>
        </w:rPr>
        <w:t xml:space="preserve">Notwithstanding paragraph </w:t>
      </w:r>
      <w:r>
        <w:rPr>
          <w:rFonts w:eastAsia="MS PGothic"/>
          <w:iCs/>
          <w:spacing w:val="-2"/>
        </w:rPr>
        <w:t>12</w:t>
      </w:r>
      <w:r w:rsidRPr="0071095D">
        <w:rPr>
          <w:rFonts w:eastAsia="MS PGothic"/>
          <w:iCs/>
          <w:spacing w:val="-2"/>
        </w:rPr>
        <w:t>.</w:t>
      </w:r>
      <w:r>
        <w:rPr>
          <w:rFonts w:eastAsia="MS PGothic"/>
          <w:iCs/>
          <w:spacing w:val="-2"/>
        </w:rPr>
        <w:t>2.</w:t>
      </w:r>
      <w:r w:rsidRPr="0071095D">
        <w:rPr>
          <w:rFonts w:eastAsia="MS PGothic"/>
          <w:iCs/>
          <w:spacing w:val="-2"/>
        </w:rPr>
        <w:t xml:space="preserve">, </w:t>
      </w:r>
      <w:r w:rsidRPr="0071095D">
        <w:rPr>
          <w:iCs/>
          <w:spacing w:val="-2"/>
          <w:lang w:eastAsia="ja-JP"/>
        </w:rPr>
        <w:t>Contracting Parties applying th</w:t>
      </w:r>
      <w:r>
        <w:rPr>
          <w:iCs/>
          <w:spacing w:val="-2"/>
          <w:lang w:eastAsia="ja-JP"/>
        </w:rPr>
        <w:t>is</w:t>
      </w:r>
      <w:r w:rsidRPr="0071095D">
        <w:rPr>
          <w:iCs/>
          <w:spacing w:val="-2"/>
          <w:lang w:eastAsia="ja-JP"/>
        </w:rPr>
        <w:t xml:space="preserve"> Regulation shall continue to accept </w:t>
      </w:r>
      <w:r>
        <w:rPr>
          <w:iCs/>
          <w:spacing w:val="-2"/>
          <w:lang w:eastAsia="ja-JP"/>
        </w:rPr>
        <w:t xml:space="preserve">type </w:t>
      </w:r>
      <w:r w:rsidRPr="0071095D">
        <w:rPr>
          <w:iCs/>
          <w:spacing w:val="-2"/>
          <w:lang w:eastAsia="ja-JP"/>
        </w:rPr>
        <w:t xml:space="preserve">approvals of the equipment/parts </w:t>
      </w:r>
      <w:r w:rsidRPr="0071095D">
        <w:t>issued</w:t>
      </w:r>
      <w:r w:rsidRPr="0071095D">
        <w:rPr>
          <w:iCs/>
          <w:spacing w:val="-2"/>
          <w:lang w:eastAsia="ja-JP"/>
        </w:rPr>
        <w:t xml:space="preserve"> </w:t>
      </w:r>
      <w:r w:rsidRPr="0071095D">
        <w:t>according</w:t>
      </w:r>
      <w:r w:rsidRPr="0071095D">
        <w:rPr>
          <w:iCs/>
          <w:spacing w:val="-2"/>
          <w:lang w:eastAsia="ja-JP"/>
        </w:rPr>
        <w:t xml:space="preserve"> to the preceding series of amendments to </w:t>
      </w:r>
      <w:r>
        <w:rPr>
          <w:iCs/>
          <w:spacing w:val="-2"/>
          <w:lang w:eastAsia="ja-JP"/>
        </w:rPr>
        <w:t>this</w:t>
      </w:r>
      <w:r w:rsidRPr="0071095D">
        <w:rPr>
          <w:iCs/>
          <w:spacing w:val="-2"/>
          <w:lang w:eastAsia="ja-JP"/>
        </w:rPr>
        <w:t xml:space="preserve"> Regulation.</w:t>
      </w:r>
    </w:p>
    <w:p w14:paraId="1E3D1809" w14:textId="77777777" w:rsidR="005C302C" w:rsidRDefault="005C302C" w:rsidP="005C302C">
      <w:pPr>
        <w:spacing w:after="120" w:line="240" w:lineRule="exact"/>
        <w:ind w:left="2268" w:right="1134" w:hanging="1134"/>
        <w:jc w:val="both"/>
        <w:rPr>
          <w:rFonts w:eastAsia="MS Mincho"/>
          <w:snapToGrid w:val="0"/>
          <w:lang w:eastAsia="ja-JP"/>
        </w:rPr>
      </w:pPr>
      <w:r>
        <w:rPr>
          <w:rFonts w:eastAsia="MS PGothic"/>
          <w:iCs/>
          <w:snapToGrid w:val="0"/>
          <w:lang w:eastAsia="ja-JP"/>
        </w:rPr>
        <w:t>12</w:t>
      </w:r>
      <w:r w:rsidRPr="0071095D">
        <w:rPr>
          <w:rFonts w:eastAsia="MS PGothic"/>
          <w:iCs/>
          <w:snapToGrid w:val="0"/>
          <w:lang w:eastAsia="ja-JP"/>
        </w:rPr>
        <w:t>.</w:t>
      </w:r>
      <w:r>
        <w:rPr>
          <w:rFonts w:eastAsia="MS PGothic"/>
          <w:iCs/>
          <w:snapToGrid w:val="0"/>
          <w:lang w:eastAsia="ja-JP"/>
        </w:rPr>
        <w:t>5</w:t>
      </w:r>
      <w:r w:rsidRPr="0071095D">
        <w:rPr>
          <w:rFonts w:eastAsia="MS PGothic"/>
          <w:iCs/>
          <w:snapToGrid w:val="0"/>
          <w:lang w:eastAsia="ja-JP"/>
        </w:rPr>
        <w:t>.</w:t>
      </w:r>
      <w:r w:rsidRPr="0071095D">
        <w:rPr>
          <w:rFonts w:eastAsia="MS PGothic"/>
          <w:iCs/>
          <w:snapToGrid w:val="0"/>
          <w:lang w:eastAsia="ja-JP"/>
        </w:rPr>
        <w:tab/>
        <w:t xml:space="preserve">Notwithstanding paragraph </w:t>
      </w:r>
      <w:r>
        <w:rPr>
          <w:rFonts w:eastAsia="MS PGothic"/>
          <w:iCs/>
          <w:snapToGrid w:val="0"/>
          <w:lang w:eastAsia="ja-JP"/>
        </w:rPr>
        <w:t>12</w:t>
      </w:r>
      <w:r w:rsidRPr="0071095D">
        <w:rPr>
          <w:rFonts w:eastAsia="MS PGothic"/>
          <w:iCs/>
          <w:snapToGrid w:val="0"/>
          <w:lang w:eastAsia="ja-JP"/>
        </w:rPr>
        <w:t>.</w:t>
      </w:r>
      <w:r>
        <w:rPr>
          <w:rFonts w:eastAsia="MS PGothic"/>
          <w:iCs/>
          <w:snapToGrid w:val="0"/>
          <w:lang w:eastAsia="ja-JP"/>
        </w:rPr>
        <w:t>2.</w:t>
      </w:r>
      <w:r w:rsidRPr="0071095D">
        <w:rPr>
          <w:rFonts w:eastAsia="MS PGothic"/>
          <w:iCs/>
          <w:snapToGrid w:val="0"/>
          <w:lang w:eastAsia="ja-JP"/>
        </w:rPr>
        <w:t xml:space="preserve">, </w:t>
      </w:r>
      <w:r w:rsidRPr="0071095D">
        <w:rPr>
          <w:rFonts w:eastAsia="MS Mincho"/>
          <w:snapToGrid w:val="0"/>
          <w:lang w:eastAsia="ja-JP"/>
        </w:rPr>
        <w:t>Contracting Parties applying th</w:t>
      </w:r>
      <w:r>
        <w:rPr>
          <w:rFonts w:eastAsia="MS Mincho"/>
          <w:snapToGrid w:val="0"/>
          <w:lang w:eastAsia="ja-JP"/>
        </w:rPr>
        <w:t>is</w:t>
      </w:r>
      <w:r w:rsidRPr="0071095D">
        <w:rPr>
          <w:rFonts w:eastAsia="MS Mincho"/>
          <w:snapToGrid w:val="0"/>
          <w:lang w:eastAsia="ja-JP"/>
        </w:rPr>
        <w:t xml:space="preserve"> Regulation shall continue to accept </w:t>
      </w:r>
      <w:r>
        <w:rPr>
          <w:rFonts w:eastAsia="MS Mincho"/>
          <w:snapToGrid w:val="0"/>
          <w:lang w:eastAsia="ja-JP"/>
        </w:rPr>
        <w:t xml:space="preserve">type </w:t>
      </w:r>
      <w:r w:rsidRPr="0071095D">
        <w:rPr>
          <w:rFonts w:eastAsia="MS Mincho"/>
          <w:snapToGrid w:val="0"/>
          <w:lang w:eastAsia="ja-JP"/>
        </w:rPr>
        <w:t xml:space="preserve">approvals </w:t>
      </w:r>
      <w:r w:rsidRPr="0071095D">
        <w:t>issued</w:t>
      </w:r>
      <w:r w:rsidRPr="0071095D">
        <w:rPr>
          <w:iCs/>
          <w:spacing w:val="-2"/>
          <w:lang w:eastAsia="ja-JP"/>
        </w:rPr>
        <w:t xml:space="preserve"> </w:t>
      </w:r>
      <w:r w:rsidRPr="0071095D">
        <w:t>according</w:t>
      </w:r>
      <w:r w:rsidRPr="0071095D">
        <w:rPr>
          <w:iCs/>
          <w:spacing w:val="-2"/>
          <w:lang w:eastAsia="ja-JP"/>
        </w:rPr>
        <w:t xml:space="preserve"> </w:t>
      </w:r>
      <w:r w:rsidRPr="0071095D">
        <w:rPr>
          <w:rFonts w:eastAsia="MS Mincho"/>
          <w:snapToGrid w:val="0"/>
          <w:lang w:eastAsia="ja-JP"/>
        </w:rPr>
        <w:t xml:space="preserve">to the preceding series of amendments to </w:t>
      </w:r>
      <w:r>
        <w:rPr>
          <w:rFonts w:eastAsia="MS Mincho"/>
          <w:snapToGrid w:val="0"/>
          <w:lang w:eastAsia="ja-JP"/>
        </w:rPr>
        <w:t>this</w:t>
      </w:r>
      <w:r w:rsidRPr="0071095D">
        <w:rPr>
          <w:rFonts w:eastAsia="MS Mincho"/>
          <w:snapToGrid w:val="0"/>
          <w:lang w:eastAsia="ja-JP"/>
        </w:rPr>
        <w:t xml:space="preserve"> Regulation, for the vehicles which are not affected by the changes introduced by the </w:t>
      </w:r>
      <w:r>
        <w:rPr>
          <w:rFonts w:eastAsia="MS Mincho"/>
          <w:snapToGrid w:val="0"/>
          <w:lang w:eastAsia="ja-JP"/>
        </w:rPr>
        <w:t>01</w:t>
      </w:r>
      <w:r w:rsidRPr="0071095D">
        <w:rPr>
          <w:rFonts w:eastAsia="MS Mincho"/>
          <w:snapToGrid w:val="0"/>
          <w:lang w:eastAsia="ja-JP"/>
        </w:rPr>
        <w:t xml:space="preserve"> series of amendments.</w:t>
      </w:r>
      <w:r>
        <w:rPr>
          <w:rFonts w:eastAsia="MS Mincho"/>
          <w:snapToGrid w:val="0"/>
          <w:lang w:eastAsia="ja-JP"/>
        </w:rPr>
        <w:t>"</w:t>
      </w:r>
    </w:p>
    <w:p w14:paraId="28CFC546" w14:textId="77777777" w:rsidR="005C302C" w:rsidRDefault="005C302C" w:rsidP="005C302C">
      <w:pPr>
        <w:ind w:left="567" w:firstLine="567"/>
        <w:rPr>
          <w:i/>
          <w:iCs/>
          <w:lang w:val="en-US"/>
        </w:rPr>
      </w:pPr>
    </w:p>
    <w:p w14:paraId="45CFC427" w14:textId="77777777" w:rsidR="005C302C" w:rsidRPr="0064211C" w:rsidRDefault="005C302C" w:rsidP="005C302C">
      <w:pPr>
        <w:ind w:left="567" w:firstLine="567"/>
        <w:rPr>
          <w:i/>
          <w:iCs/>
          <w:lang w:val="en-US"/>
        </w:rPr>
      </w:pPr>
      <w:r w:rsidRPr="0064211C">
        <w:rPr>
          <w:i/>
          <w:iCs/>
          <w:lang w:val="en-US"/>
        </w:rPr>
        <w:t xml:space="preserve">Annex 5, paragraph 2., </w:t>
      </w:r>
      <w:r w:rsidRPr="0064211C">
        <w:rPr>
          <w:lang w:val="en-US"/>
        </w:rPr>
        <w:t>amend to read:</w:t>
      </w:r>
    </w:p>
    <w:p w14:paraId="4EA4EF13" w14:textId="77777777" w:rsidR="005C302C" w:rsidRDefault="005C302C" w:rsidP="005C302C">
      <w:pPr>
        <w:rPr>
          <w:lang w:val="en-US"/>
        </w:rPr>
      </w:pPr>
    </w:p>
    <w:p w14:paraId="28747CC0" w14:textId="77777777" w:rsidR="005C302C" w:rsidRPr="009223A8" w:rsidRDefault="005C302C" w:rsidP="005C302C">
      <w:pPr>
        <w:ind w:left="2268" w:hanging="1134"/>
        <w:rPr>
          <w:lang w:val="en-US"/>
        </w:rPr>
      </w:pPr>
      <w:r>
        <w:rPr>
          <w:lang w:val="en-US"/>
        </w:rPr>
        <w:t>"</w:t>
      </w:r>
      <w:r w:rsidRPr="009223A8">
        <w:rPr>
          <w:lang w:val="en-US"/>
        </w:rPr>
        <w:t>2.</w:t>
      </w:r>
      <w:r w:rsidRPr="009223A8">
        <w:rPr>
          <w:lang w:val="en-US"/>
        </w:rPr>
        <w:tab/>
        <w:t>Surface Temperature</w:t>
      </w:r>
    </w:p>
    <w:p w14:paraId="17E2AB38" w14:textId="77777777" w:rsidR="005C302C" w:rsidRDefault="005C302C" w:rsidP="005C302C">
      <w:pPr>
        <w:ind w:left="2268" w:hanging="1134"/>
        <w:rPr>
          <w:lang w:val="en-US"/>
        </w:rPr>
      </w:pPr>
    </w:p>
    <w:p w14:paraId="6DCF322C" w14:textId="77777777" w:rsidR="005C302C" w:rsidRDefault="005C302C" w:rsidP="005C302C">
      <w:pPr>
        <w:ind w:left="2268" w:right="1134"/>
        <w:jc w:val="both"/>
        <w:rPr>
          <w:lang w:val="en-US"/>
        </w:rPr>
      </w:pPr>
      <w:r w:rsidRPr="009223A8">
        <w:rPr>
          <w:lang w:val="en-US"/>
        </w:rPr>
        <w:t xml:space="preserve">The surface temperature of any part of the heating system likely to come into contact with any occupant of the vehicle during normal road use shall be measured with a contact thermometer. No such part or parts shall exceed temperature limits defined in </w:t>
      </w:r>
      <w:r w:rsidRPr="00BC545F">
        <w:rPr>
          <w:b/>
          <w:bCs/>
          <w:lang w:val="en-US"/>
        </w:rPr>
        <w:t xml:space="preserve">the </w:t>
      </w:r>
      <w:r w:rsidRPr="009223A8">
        <w:rPr>
          <w:lang w:val="en-US"/>
        </w:rPr>
        <w:t>paragraph</w:t>
      </w:r>
      <w:r w:rsidRPr="00BC545F">
        <w:rPr>
          <w:strike/>
          <w:lang w:val="en-US"/>
        </w:rPr>
        <w:t>s</w:t>
      </w:r>
      <w:r w:rsidRPr="009223A8">
        <w:rPr>
          <w:lang w:val="en-US"/>
        </w:rPr>
        <w:t xml:space="preserve"> below unless the manufacturer can demonstrate during the type approval process that their safety concept covers for higher temperatures without increasing the risk for occupants to get burns compared to the risk caused by the temperatures below. Any such demonstration and documentation shall be appended to the test report. The possibility to exceed these temperatures, does not apply to vehicles of categories M</w:t>
      </w:r>
      <w:r w:rsidRPr="00CD5DB4">
        <w:rPr>
          <w:b/>
          <w:bCs/>
          <w:vertAlign w:val="subscript"/>
          <w:lang w:val="en-US"/>
        </w:rPr>
        <w:t>2</w:t>
      </w:r>
      <w:r w:rsidRPr="009223A8">
        <w:rPr>
          <w:lang w:val="en-US"/>
        </w:rPr>
        <w:t xml:space="preserve"> and M</w:t>
      </w:r>
      <w:r w:rsidRPr="00CD5DB4">
        <w:rPr>
          <w:b/>
          <w:bCs/>
          <w:vertAlign w:val="subscript"/>
          <w:lang w:val="en-US"/>
        </w:rPr>
        <w:t>3</w:t>
      </w:r>
      <w:r w:rsidRPr="009223A8">
        <w:rPr>
          <w:lang w:val="en-US"/>
        </w:rPr>
        <w:t xml:space="preserve"> other than for the driver and for passengers seated in the row adjacent to the driver.</w:t>
      </w:r>
      <w:r>
        <w:rPr>
          <w:lang w:val="en-US"/>
        </w:rPr>
        <w:t>"</w:t>
      </w:r>
    </w:p>
    <w:p w14:paraId="40C4AFFB" w14:textId="77777777" w:rsidR="005C302C" w:rsidRDefault="005C302C" w:rsidP="005C302C">
      <w:pPr>
        <w:ind w:right="1134"/>
        <w:jc w:val="both"/>
        <w:rPr>
          <w:lang w:val="en-US"/>
        </w:rPr>
      </w:pPr>
    </w:p>
    <w:p w14:paraId="549FFC89" w14:textId="77777777" w:rsidR="005C302C" w:rsidRDefault="005C302C" w:rsidP="005C302C">
      <w:pPr>
        <w:ind w:right="1134" w:firstLine="567"/>
        <w:jc w:val="both"/>
        <w:rPr>
          <w:lang w:val="en-US"/>
        </w:rPr>
      </w:pPr>
      <w:r w:rsidRPr="00562CC0">
        <w:rPr>
          <w:i/>
          <w:iCs/>
          <w:lang w:val="en-US"/>
        </w:rPr>
        <w:tab/>
        <w:t>Annex 5, Paragraph 2.1.,</w:t>
      </w:r>
      <w:r>
        <w:rPr>
          <w:lang w:val="en-US"/>
        </w:rPr>
        <w:t xml:space="preserve"> amend to read: </w:t>
      </w:r>
    </w:p>
    <w:p w14:paraId="18A7F122" w14:textId="77777777" w:rsidR="005C302C" w:rsidRDefault="005C302C" w:rsidP="005C302C">
      <w:pPr>
        <w:ind w:right="1134" w:firstLine="567"/>
        <w:jc w:val="both"/>
        <w:rPr>
          <w:lang w:val="en-US"/>
        </w:rPr>
      </w:pPr>
    </w:p>
    <w:p w14:paraId="7DDA6543" w14:textId="3192BACF" w:rsidR="005C302C" w:rsidRDefault="005C302C" w:rsidP="005C302C">
      <w:pPr>
        <w:ind w:left="2268" w:right="1134" w:hanging="1134"/>
        <w:jc w:val="both"/>
        <w:rPr>
          <w:lang w:val="en-US"/>
        </w:rPr>
      </w:pPr>
      <w:r>
        <w:rPr>
          <w:lang w:val="en-US"/>
        </w:rPr>
        <w:t>"2.1.</w:t>
      </w:r>
      <w:r w:rsidRPr="002E3DFE">
        <w:rPr>
          <w:lang w:val="en-US"/>
        </w:rPr>
        <w:tab/>
        <w:t xml:space="preserve">The surface temperature of any part of the heating system likely to come into contact with </w:t>
      </w:r>
      <w:r w:rsidRPr="00FD667F">
        <w:rPr>
          <w:strike/>
          <w:color w:val="FF0000"/>
          <w:lang w:val="en-US"/>
        </w:rPr>
        <w:t xml:space="preserve">the driver </w:t>
      </w:r>
      <w:r w:rsidRPr="00FD667F">
        <w:rPr>
          <w:b/>
          <w:bCs/>
          <w:strike/>
          <w:color w:val="FF0000"/>
          <w:lang w:val="en-US"/>
        </w:rPr>
        <w:t>and/or passengers</w:t>
      </w:r>
      <w:r w:rsidRPr="00FD667F">
        <w:rPr>
          <w:strike/>
          <w:color w:val="FF0000"/>
          <w:lang w:val="en-US"/>
        </w:rPr>
        <w:t xml:space="preserve"> of</w:t>
      </w:r>
      <w:r w:rsidRPr="002E3DFE">
        <w:rPr>
          <w:lang w:val="en-US"/>
        </w:rPr>
        <w:t xml:space="preserve"> </w:t>
      </w:r>
      <w:r w:rsidR="00FD667F" w:rsidRPr="00FD667F">
        <w:rPr>
          <w:b/>
          <w:bCs/>
          <w:color w:val="FF0000"/>
          <w:lang w:val="en-US"/>
        </w:rPr>
        <w:t>occupants in</w:t>
      </w:r>
      <w:r w:rsidR="00FD667F">
        <w:rPr>
          <w:lang w:val="en-US"/>
        </w:rPr>
        <w:t xml:space="preserve"> </w:t>
      </w:r>
      <w:r w:rsidRPr="002E3DFE">
        <w:rPr>
          <w:lang w:val="en-US"/>
        </w:rPr>
        <w:t>the vehicle</w:t>
      </w:r>
      <w:r>
        <w:rPr>
          <w:lang w:val="en-US"/>
        </w:rPr>
        <w:t>,</w:t>
      </w:r>
      <w:r w:rsidRPr="002E3DFE">
        <w:rPr>
          <w:lang w:val="en-US"/>
        </w:rPr>
        <w:t xml:space="preserve"> during normal road use</w:t>
      </w:r>
      <w:r>
        <w:rPr>
          <w:lang w:val="en-US"/>
        </w:rPr>
        <w:t>,</w:t>
      </w:r>
      <w:r w:rsidRPr="002E3DFE">
        <w:rPr>
          <w:lang w:val="en-US"/>
        </w:rPr>
        <w:t xml:space="preserve"> is limited to 70°C for uncoated metal or 80°C for other materials.</w:t>
      </w:r>
      <w:r>
        <w:rPr>
          <w:lang w:val="en-US"/>
        </w:rPr>
        <w:t>"</w:t>
      </w:r>
      <w:r>
        <w:rPr>
          <w:lang w:val="en-US"/>
        </w:rPr>
        <w:br/>
      </w:r>
    </w:p>
    <w:p w14:paraId="3E6BB938" w14:textId="77777777" w:rsidR="005C302C" w:rsidRPr="009C43E0" w:rsidRDefault="005C302C" w:rsidP="005C302C">
      <w:pPr>
        <w:pStyle w:val="para"/>
        <w:rPr>
          <w:iCs/>
          <w:lang w:val="en-GB"/>
        </w:rPr>
      </w:pPr>
      <w:r>
        <w:rPr>
          <w:bCs/>
          <w:i/>
          <w:iCs/>
          <w:lang w:val="en-US"/>
        </w:rPr>
        <w:t xml:space="preserve">Annex 5, </w:t>
      </w:r>
      <w:r w:rsidRPr="001A7850">
        <w:rPr>
          <w:bCs/>
          <w:i/>
          <w:iCs/>
          <w:lang w:val="en-US"/>
        </w:rPr>
        <w:t>Paragraphs 2.2. and 2.3.</w:t>
      </w:r>
      <w:r>
        <w:rPr>
          <w:bCs/>
          <w:lang w:val="en-US"/>
        </w:rPr>
        <w:t xml:space="preserve"> shall be deleted.</w:t>
      </w:r>
    </w:p>
    <w:p w14:paraId="45AD792D" w14:textId="77777777" w:rsidR="005C302C" w:rsidRPr="005C53A6" w:rsidRDefault="005C302C" w:rsidP="005C302C">
      <w:pPr>
        <w:spacing w:before="240"/>
        <w:jc w:val="center"/>
      </w:pPr>
      <w:r w:rsidRPr="005C53A6">
        <w:rPr>
          <w:u w:val="single"/>
        </w:rPr>
        <w:tab/>
      </w:r>
      <w:r w:rsidRPr="005C53A6">
        <w:rPr>
          <w:u w:val="single"/>
        </w:rPr>
        <w:tab/>
      </w:r>
      <w:r w:rsidRPr="005C53A6">
        <w:rPr>
          <w:u w:val="single"/>
        </w:rPr>
        <w:tab/>
      </w:r>
    </w:p>
    <w:p w14:paraId="704C99A9" w14:textId="77777777" w:rsidR="00C53E43" w:rsidRPr="009641B8" w:rsidRDefault="00C53E43" w:rsidP="005C302C">
      <w:pPr>
        <w:autoSpaceDE w:val="0"/>
        <w:autoSpaceDN w:val="0"/>
        <w:adjustRightInd w:val="0"/>
        <w:spacing w:before="120" w:after="120" w:line="240" w:lineRule="auto"/>
        <w:ind w:left="1134" w:right="1134"/>
        <w:jc w:val="both"/>
        <w:rPr>
          <w:u w:val="single"/>
        </w:rPr>
      </w:pPr>
    </w:p>
    <w:sectPr w:rsidR="00C53E43" w:rsidRPr="009641B8" w:rsidSect="0039621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BFC30" w14:textId="77777777" w:rsidR="00490A94" w:rsidRDefault="00490A94"/>
  </w:endnote>
  <w:endnote w:type="continuationSeparator" w:id="0">
    <w:p w14:paraId="680E8440" w14:textId="77777777" w:rsidR="00490A94" w:rsidRDefault="00490A94"/>
  </w:endnote>
  <w:endnote w:type="continuationNotice" w:id="1">
    <w:p w14:paraId="3046B8F7" w14:textId="77777777" w:rsidR="00490A94" w:rsidRDefault="00490A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146D" w14:textId="527CDD0A" w:rsidR="00D07CB8" w:rsidRPr="00AE31A0" w:rsidRDefault="0039621D" w:rsidP="00AE31A0">
    <w:pPr>
      <w:pStyle w:val="Footer"/>
      <w:tabs>
        <w:tab w:val="right" w:pos="9638"/>
      </w:tabs>
      <w:rPr>
        <w:sz w:val="18"/>
      </w:rPr>
    </w:pPr>
    <w:r w:rsidRPr="0039621D">
      <w:rPr>
        <w:b/>
        <w:sz w:val="18"/>
      </w:rPr>
      <w:fldChar w:fldCharType="begin"/>
    </w:r>
    <w:r w:rsidRPr="0039621D">
      <w:rPr>
        <w:b/>
        <w:sz w:val="18"/>
      </w:rPr>
      <w:instrText xml:space="preserve"> PAGE  \* MERGEFORMAT </w:instrText>
    </w:r>
    <w:r w:rsidRPr="0039621D">
      <w:rPr>
        <w:b/>
        <w:sz w:val="18"/>
      </w:rPr>
      <w:fldChar w:fldCharType="separate"/>
    </w:r>
    <w:r w:rsidR="00CD32B9">
      <w:rPr>
        <w:b/>
        <w:noProof/>
        <w:sz w:val="18"/>
      </w:rPr>
      <w:t>2</w:t>
    </w:r>
    <w:r w:rsidRPr="0039621D">
      <w:rPr>
        <w:b/>
        <w:sz w:val="18"/>
      </w:rPr>
      <w:fldChar w:fldCharType="end"/>
    </w:r>
    <w:r>
      <w:rPr>
        <w:sz w:val="18"/>
      </w:rPr>
      <w:tab/>
    </w:r>
  </w:p>
  <w:p w14:paraId="29EEFB49" w14:textId="77777777" w:rsidR="00D07CB8" w:rsidRDefault="00D07CB8"/>
  <w:p w14:paraId="3704032B" w14:textId="77777777" w:rsidR="00D07CB8" w:rsidRDefault="00D07CB8"/>
  <w:p w14:paraId="1363F07D" w14:textId="77777777" w:rsidR="00D07CB8" w:rsidRDefault="00D07C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D032" w14:textId="08DCC686" w:rsidR="00D07CB8" w:rsidRPr="00AE31A0" w:rsidRDefault="0039621D" w:rsidP="00AE31A0">
    <w:pPr>
      <w:pStyle w:val="Footer"/>
      <w:tabs>
        <w:tab w:val="right" w:pos="9638"/>
      </w:tabs>
      <w:rPr>
        <w:b/>
        <w:sz w:val="18"/>
      </w:rPr>
    </w:pPr>
    <w:r>
      <w:tab/>
    </w:r>
    <w:r w:rsidRPr="0039621D">
      <w:rPr>
        <w:b/>
        <w:sz w:val="18"/>
      </w:rPr>
      <w:fldChar w:fldCharType="begin"/>
    </w:r>
    <w:r w:rsidRPr="0039621D">
      <w:rPr>
        <w:b/>
        <w:sz w:val="18"/>
      </w:rPr>
      <w:instrText xml:space="preserve"> PAGE  \* MERGEFORMAT </w:instrText>
    </w:r>
    <w:r w:rsidRPr="0039621D">
      <w:rPr>
        <w:b/>
        <w:sz w:val="18"/>
      </w:rPr>
      <w:fldChar w:fldCharType="separate"/>
    </w:r>
    <w:r w:rsidR="00CD32B9">
      <w:rPr>
        <w:b/>
        <w:noProof/>
        <w:sz w:val="18"/>
      </w:rPr>
      <w:t>19</w:t>
    </w:r>
    <w:r w:rsidRPr="0039621D">
      <w:rPr>
        <w:b/>
        <w:sz w:val="18"/>
      </w:rPr>
      <w:fldChar w:fldCharType="end"/>
    </w:r>
  </w:p>
  <w:p w14:paraId="4EF20CD3" w14:textId="77777777" w:rsidR="00D07CB8" w:rsidRDefault="00D07CB8"/>
  <w:p w14:paraId="3F8CB8C8" w14:textId="77777777" w:rsidR="00D07CB8" w:rsidRDefault="00D07CB8"/>
  <w:p w14:paraId="3BCD41CE" w14:textId="77777777" w:rsidR="00D07CB8" w:rsidRDefault="00D07C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742A5" w14:textId="77777777" w:rsidR="001F7CFB" w:rsidRDefault="001F7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F6E26" w14:textId="77777777" w:rsidR="00490A94" w:rsidRPr="000B175B" w:rsidRDefault="00490A94" w:rsidP="000B175B">
      <w:pPr>
        <w:tabs>
          <w:tab w:val="right" w:pos="2155"/>
        </w:tabs>
        <w:spacing w:after="80"/>
        <w:ind w:left="680"/>
        <w:rPr>
          <w:u w:val="single"/>
        </w:rPr>
      </w:pPr>
      <w:r>
        <w:rPr>
          <w:u w:val="single"/>
        </w:rPr>
        <w:tab/>
      </w:r>
    </w:p>
  </w:footnote>
  <w:footnote w:type="continuationSeparator" w:id="0">
    <w:p w14:paraId="2E87B53B" w14:textId="77777777" w:rsidR="00490A94" w:rsidRPr="00FC68B7" w:rsidRDefault="00490A94" w:rsidP="00FC68B7">
      <w:pPr>
        <w:tabs>
          <w:tab w:val="left" w:pos="2155"/>
        </w:tabs>
        <w:spacing w:after="80"/>
        <w:ind w:left="680"/>
        <w:rPr>
          <w:u w:val="single"/>
        </w:rPr>
      </w:pPr>
      <w:r>
        <w:rPr>
          <w:u w:val="single"/>
        </w:rPr>
        <w:tab/>
      </w:r>
    </w:p>
  </w:footnote>
  <w:footnote w:type="continuationNotice" w:id="1">
    <w:p w14:paraId="6EB495DE" w14:textId="77777777" w:rsidR="00490A94" w:rsidRDefault="00490A94"/>
  </w:footnote>
  <w:footnote w:id="2">
    <w:p w14:paraId="50F6F69A" w14:textId="161BAF58" w:rsidR="00101C00" w:rsidRPr="009641B8" w:rsidRDefault="00101C00" w:rsidP="00101C00">
      <w:pPr>
        <w:pStyle w:val="FootnoteText"/>
        <w:jc w:val="both"/>
      </w:pPr>
      <w:r>
        <w:tab/>
      </w:r>
      <w:r w:rsidRPr="00EA370C">
        <w:rPr>
          <w:rStyle w:val="FootnoteReference"/>
          <w:sz w:val="20"/>
          <w:lang w:val="en-US"/>
        </w:rPr>
        <w:t>*</w:t>
      </w:r>
      <w:r w:rsidRPr="009641B8">
        <w:rPr>
          <w:sz w:val="20"/>
        </w:rPr>
        <w:tab/>
      </w:r>
      <w:r w:rsidRPr="009641B8">
        <w:rPr>
          <w:szCs w:val="18"/>
        </w:rPr>
        <w:t xml:space="preserve">In accordance with the programme of work of the Inland Transport Committee for </w:t>
      </w:r>
      <w:r w:rsidRPr="009641B8">
        <w:t>202</w:t>
      </w:r>
      <w:r w:rsidR="00256B58" w:rsidRPr="009641B8">
        <w:t>5</w:t>
      </w:r>
      <w:r w:rsidRPr="009641B8">
        <w:t xml:space="preserve"> as outlined in proposed programme budget for </w:t>
      </w:r>
      <w:r w:rsidRPr="009641B8">
        <w:rPr>
          <w:szCs w:val="18"/>
        </w:rPr>
        <w:t>202</w:t>
      </w:r>
      <w:r w:rsidR="00256B58" w:rsidRPr="009641B8">
        <w:rPr>
          <w:szCs w:val="18"/>
        </w:rPr>
        <w:t>5</w:t>
      </w:r>
      <w:r w:rsidRPr="009641B8">
        <w:rPr>
          <w:szCs w:val="18"/>
        </w:rPr>
        <w:t xml:space="preserve"> (</w:t>
      </w:r>
      <w:r w:rsidRPr="009641B8">
        <w:t>A/7</w:t>
      </w:r>
      <w:r w:rsidR="002364DA" w:rsidRPr="009641B8">
        <w:t>9</w:t>
      </w:r>
      <w:r w:rsidRPr="009641B8">
        <w:t>/6 (Sect. 20), table 20.</w:t>
      </w:r>
      <w:r w:rsidR="00F101C2" w:rsidRPr="009641B8">
        <w:t>6</w:t>
      </w:r>
      <w:r w:rsidRPr="009641B8">
        <w:t>)</w:t>
      </w:r>
      <w:r w:rsidRPr="009641B8">
        <w:rPr>
          <w:szCs w:val="18"/>
        </w:rPr>
        <w:t>,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225C" w14:textId="31D108B8" w:rsidR="0039621D" w:rsidRPr="00AA49E6" w:rsidRDefault="00792646" w:rsidP="00AA49E6">
    <w:pPr>
      <w:pStyle w:val="Header"/>
    </w:pPr>
    <w:fldSimple w:instr=" TITLE  \* MERGEFORMAT ">
      <w:r>
        <w:t>GRSG-130-xx</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81B4" w14:textId="5F53215A" w:rsidR="0039621D" w:rsidRPr="00AA49E6" w:rsidRDefault="00792646" w:rsidP="00AA49E6">
    <w:pPr>
      <w:pStyle w:val="Header"/>
      <w:jc w:val="right"/>
    </w:pPr>
    <w:fldSimple w:instr=" TITLE  \* MERGEFORMAT ">
      <w:r>
        <w:t>GRSG-130-xx</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08" w:type="dxa"/>
      <w:tblLook w:val="0000" w:firstRow="0" w:lastRow="0" w:firstColumn="0" w:lastColumn="0" w:noHBand="0" w:noVBand="0"/>
    </w:tblPr>
    <w:tblGrid>
      <w:gridCol w:w="5279"/>
      <w:gridCol w:w="4644"/>
    </w:tblGrid>
    <w:tr w:rsidR="00FD5357" w:rsidRPr="00E27568" w14:paraId="4184A21A" w14:textId="77777777" w:rsidTr="000D2E13">
      <w:tc>
        <w:tcPr>
          <w:tcW w:w="5279" w:type="dxa"/>
        </w:tcPr>
        <w:p w14:paraId="6702877C" w14:textId="7992BE34" w:rsidR="00FD5357" w:rsidRPr="00FD5357" w:rsidRDefault="00FD5357" w:rsidP="008053E1">
          <w:pPr>
            <w:pStyle w:val="Header"/>
            <w:pBdr>
              <w:bottom w:val="none" w:sz="0" w:space="0" w:color="auto"/>
            </w:pBdr>
            <w:rPr>
              <w:b w:val="0"/>
              <w:sz w:val="20"/>
            </w:rPr>
          </w:pPr>
          <w:r w:rsidRPr="00FD5357">
            <w:rPr>
              <w:b w:val="0"/>
              <w:sz w:val="20"/>
            </w:rPr>
            <w:t xml:space="preserve">Submitted by the </w:t>
          </w:r>
          <w:r w:rsidR="00101C00">
            <w:rPr>
              <w:b w:val="0"/>
              <w:sz w:val="20"/>
            </w:rPr>
            <w:t>expert fro</w:t>
          </w:r>
          <w:r w:rsidR="00AF56D8">
            <w:rPr>
              <w:b w:val="0"/>
              <w:sz w:val="20"/>
            </w:rPr>
            <w:t>m</w:t>
          </w:r>
          <w:r w:rsidR="00101C00">
            <w:rPr>
              <w:b w:val="0"/>
              <w:sz w:val="20"/>
            </w:rPr>
            <w:t xml:space="preserve"> the</w:t>
          </w:r>
          <w:r w:rsidR="000D2E13">
            <w:rPr>
              <w:b w:val="0"/>
              <w:sz w:val="20"/>
            </w:rPr>
            <w:t xml:space="preserve"> Kingdom of the</w:t>
          </w:r>
          <w:r w:rsidR="00101C00">
            <w:rPr>
              <w:b w:val="0"/>
              <w:sz w:val="20"/>
            </w:rPr>
            <w:t xml:space="preserve"> Netherlands</w:t>
          </w:r>
          <w:r w:rsidRPr="00FD5357">
            <w:rPr>
              <w:b w:val="0"/>
              <w:sz w:val="20"/>
            </w:rPr>
            <w:t xml:space="preserve"> </w:t>
          </w:r>
        </w:p>
        <w:p w14:paraId="67149528" w14:textId="77777777" w:rsidR="00FD5357" w:rsidRPr="00FD5357" w:rsidRDefault="00FD5357" w:rsidP="008053E1">
          <w:pPr>
            <w:pStyle w:val="Header"/>
            <w:pBdr>
              <w:bottom w:val="none" w:sz="0" w:space="0" w:color="auto"/>
            </w:pBdr>
            <w:rPr>
              <w:b w:val="0"/>
              <w:sz w:val="20"/>
            </w:rPr>
          </w:pPr>
        </w:p>
        <w:p w14:paraId="1BAB1C11" w14:textId="77777777" w:rsidR="00FD5357" w:rsidRPr="00FD5357" w:rsidRDefault="00FD5357" w:rsidP="008053E1">
          <w:pPr>
            <w:pStyle w:val="Header"/>
            <w:pBdr>
              <w:bottom w:val="none" w:sz="0" w:space="0" w:color="auto"/>
            </w:pBdr>
            <w:rPr>
              <w:b w:val="0"/>
              <w:sz w:val="16"/>
              <w:szCs w:val="16"/>
            </w:rPr>
          </w:pPr>
        </w:p>
      </w:tc>
      <w:tc>
        <w:tcPr>
          <w:tcW w:w="4644" w:type="dxa"/>
        </w:tcPr>
        <w:p w14:paraId="3090DF62" w14:textId="1619DF2F" w:rsidR="00FD5357" w:rsidRPr="0086358D" w:rsidRDefault="00FD5357" w:rsidP="0086358D">
          <w:pPr>
            <w:pStyle w:val="Header"/>
            <w:pBdr>
              <w:bottom w:val="none" w:sz="0" w:space="0" w:color="auto"/>
            </w:pBdr>
            <w:ind w:left="770" w:right="716"/>
            <w:jc w:val="right"/>
            <w:rPr>
              <w:u w:val="single"/>
            </w:rPr>
          </w:pPr>
          <w:r w:rsidRPr="0086358D">
            <w:rPr>
              <w:bCs/>
              <w:sz w:val="20"/>
              <w:u w:val="single"/>
            </w:rPr>
            <w:t>Informal document</w:t>
          </w:r>
          <w:r w:rsidRPr="00FC6C10">
            <w:rPr>
              <w:sz w:val="20"/>
            </w:rPr>
            <w:t xml:space="preserve"> </w:t>
          </w:r>
          <w:fldSimple w:instr=" TITLE  \* MERGEFORMAT ">
            <w:r w:rsidR="00792646">
              <w:t>GRSG-130-</w:t>
            </w:r>
            <w:r w:rsidR="001F7CFB">
              <w:t>57</w:t>
            </w:r>
          </w:fldSimple>
        </w:p>
        <w:p w14:paraId="2367FED8" w14:textId="3BACAEDC" w:rsidR="00FD5357" w:rsidRPr="00985586" w:rsidRDefault="00FD5357" w:rsidP="0086358D">
          <w:pPr>
            <w:pStyle w:val="Header"/>
            <w:pBdr>
              <w:bottom w:val="none" w:sz="0" w:space="0" w:color="auto"/>
            </w:pBdr>
            <w:ind w:left="742" w:right="716"/>
            <w:jc w:val="right"/>
            <w:rPr>
              <w:b w:val="0"/>
              <w:sz w:val="20"/>
              <w:lang w:eastAsia="ja-JP"/>
            </w:rPr>
          </w:pPr>
          <w:r w:rsidRPr="00985586">
            <w:rPr>
              <w:b w:val="0"/>
              <w:sz w:val="20"/>
            </w:rPr>
            <w:t>(</w:t>
          </w:r>
          <w:r w:rsidR="00AA2E18" w:rsidRPr="00985586">
            <w:rPr>
              <w:b w:val="0"/>
              <w:sz w:val="20"/>
            </w:rPr>
            <w:t>1</w:t>
          </w:r>
          <w:r w:rsidR="003D04D1">
            <w:rPr>
              <w:b w:val="0"/>
              <w:sz w:val="20"/>
            </w:rPr>
            <w:t>30</w:t>
          </w:r>
          <w:r w:rsidR="00CB40FB" w:rsidRPr="00CB40FB">
            <w:rPr>
              <w:b w:val="0"/>
              <w:sz w:val="20"/>
              <w:vertAlign w:val="superscript"/>
            </w:rPr>
            <w:t>th</w:t>
          </w:r>
          <w:r w:rsidR="00CB40FB">
            <w:rPr>
              <w:b w:val="0"/>
              <w:sz w:val="20"/>
            </w:rPr>
            <w:t xml:space="preserve"> </w:t>
          </w:r>
          <w:r w:rsidRPr="00985586">
            <w:rPr>
              <w:b w:val="0"/>
              <w:sz w:val="20"/>
            </w:rPr>
            <w:t>GRS</w:t>
          </w:r>
          <w:r w:rsidR="00AA2E18" w:rsidRPr="00985586">
            <w:rPr>
              <w:b w:val="0"/>
              <w:sz w:val="20"/>
            </w:rPr>
            <w:t>G</w:t>
          </w:r>
          <w:r w:rsidRPr="00985586">
            <w:rPr>
              <w:b w:val="0"/>
              <w:sz w:val="20"/>
            </w:rPr>
            <w:t xml:space="preserve">, </w:t>
          </w:r>
          <w:r w:rsidR="003D04D1">
            <w:rPr>
              <w:b w:val="0"/>
              <w:sz w:val="20"/>
              <w:lang w:eastAsia="ja-JP"/>
            </w:rPr>
            <w:t>6</w:t>
          </w:r>
          <w:r w:rsidR="00AA2E18" w:rsidRPr="00985586">
            <w:rPr>
              <w:b w:val="0"/>
              <w:sz w:val="20"/>
              <w:lang w:eastAsia="ja-JP"/>
            </w:rPr>
            <w:t xml:space="preserve"> – </w:t>
          </w:r>
          <w:r w:rsidR="003D04D1">
            <w:rPr>
              <w:b w:val="0"/>
              <w:sz w:val="20"/>
              <w:lang w:eastAsia="ja-JP"/>
            </w:rPr>
            <w:t>9</w:t>
          </w:r>
          <w:r w:rsidR="009173AD">
            <w:rPr>
              <w:b w:val="0"/>
              <w:sz w:val="20"/>
              <w:lang w:eastAsia="ja-JP"/>
            </w:rPr>
            <w:t xml:space="preserve"> </w:t>
          </w:r>
          <w:r w:rsidR="003D04D1">
            <w:rPr>
              <w:b w:val="0"/>
              <w:sz w:val="20"/>
              <w:lang w:eastAsia="ja-JP"/>
            </w:rPr>
            <w:t>October</w:t>
          </w:r>
          <w:r w:rsidR="00AF56D8">
            <w:rPr>
              <w:b w:val="0"/>
              <w:sz w:val="20"/>
              <w:lang w:eastAsia="ja-JP"/>
            </w:rPr>
            <w:t xml:space="preserve"> </w:t>
          </w:r>
          <w:r w:rsidRPr="00985586">
            <w:rPr>
              <w:b w:val="0"/>
              <w:sz w:val="20"/>
            </w:rPr>
            <w:t>202</w:t>
          </w:r>
          <w:r w:rsidR="00F77AF2">
            <w:rPr>
              <w:b w:val="0"/>
              <w:sz w:val="20"/>
            </w:rPr>
            <w:t>5</w:t>
          </w:r>
        </w:p>
        <w:p w14:paraId="67A86056" w14:textId="39CBC289" w:rsidR="00FD5357" w:rsidRPr="00E27568" w:rsidRDefault="00FD5357" w:rsidP="00112120">
          <w:pPr>
            <w:pStyle w:val="Header"/>
            <w:pBdr>
              <w:bottom w:val="none" w:sz="0" w:space="0" w:color="auto"/>
            </w:pBdr>
            <w:ind w:left="742" w:right="716"/>
            <w:jc w:val="right"/>
            <w:rPr>
              <w:sz w:val="20"/>
            </w:rPr>
          </w:pPr>
          <w:r w:rsidRPr="00985586">
            <w:rPr>
              <w:b w:val="0"/>
              <w:sz w:val="20"/>
            </w:rPr>
            <w:t xml:space="preserve">agenda item </w:t>
          </w:r>
          <w:r w:rsidR="00B32865">
            <w:rPr>
              <w:b w:val="0"/>
              <w:sz w:val="20"/>
              <w:lang w:eastAsia="ja-JP"/>
            </w:rPr>
            <w:t>1</w:t>
          </w:r>
          <w:r w:rsidR="000D41C6">
            <w:rPr>
              <w:b w:val="0"/>
              <w:sz w:val="20"/>
              <w:lang w:eastAsia="ja-JP"/>
            </w:rPr>
            <w:t>4b</w:t>
          </w:r>
          <w:r w:rsidRPr="00985586">
            <w:rPr>
              <w:b w:val="0"/>
              <w:sz w:val="20"/>
            </w:rPr>
            <w:t>)</w:t>
          </w:r>
        </w:p>
      </w:tc>
    </w:tr>
  </w:tbl>
  <w:p w14:paraId="0EE4CD69" w14:textId="144A4EDB" w:rsidR="008C0C40" w:rsidRDefault="008C0C40" w:rsidP="008C0C4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D170F3"/>
    <w:multiLevelType w:val="hybridMultilevel"/>
    <w:tmpl w:val="8F08B884"/>
    <w:lvl w:ilvl="0" w:tplc="701202EC">
      <w:start w:val="2"/>
      <w:numFmt w:val="bullet"/>
      <w:lvlText w:val="-"/>
      <w:lvlJc w:val="left"/>
      <w:pPr>
        <w:ind w:left="1494" w:hanging="360"/>
      </w:pPr>
      <w:rPr>
        <w:rFonts w:ascii="Times New Roman" w:eastAsia="Times New Roman" w:hAnsi="Times New Roman" w:cs="Times New Roman"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136D6190"/>
    <w:multiLevelType w:val="multilevel"/>
    <w:tmpl w:val="B78AE2E8"/>
    <w:lvl w:ilvl="0">
      <w:numFmt w:val="decimal"/>
      <w:lvlText w:val="%1."/>
      <w:lvlJc w:val="left"/>
      <w:pPr>
        <w:ind w:left="1129" w:hanging="484"/>
      </w:pPr>
      <w:rPr>
        <w:rFonts w:hint="default"/>
      </w:rPr>
    </w:lvl>
    <w:lvl w:ilvl="1">
      <w:start w:val="1"/>
      <w:numFmt w:val="decimal"/>
      <w:isLgl/>
      <w:lvlText w:val="%1.%2."/>
      <w:lvlJc w:val="left"/>
      <w:pPr>
        <w:ind w:left="2274" w:hanging="1140"/>
      </w:pPr>
      <w:rPr>
        <w:rFonts w:hint="default"/>
      </w:rPr>
    </w:lvl>
    <w:lvl w:ilvl="2">
      <w:start w:val="1"/>
      <w:numFmt w:val="decimal"/>
      <w:isLgl/>
      <w:lvlText w:val="%1.%2.%3."/>
      <w:lvlJc w:val="left"/>
      <w:pPr>
        <w:ind w:left="2763" w:hanging="1140"/>
      </w:pPr>
      <w:rPr>
        <w:rFonts w:hint="default"/>
      </w:rPr>
    </w:lvl>
    <w:lvl w:ilvl="3">
      <w:start w:val="1"/>
      <w:numFmt w:val="decimal"/>
      <w:isLgl/>
      <w:lvlText w:val="%1.%2.%3.%4."/>
      <w:lvlJc w:val="left"/>
      <w:pPr>
        <w:ind w:left="3252" w:hanging="1140"/>
      </w:pPr>
      <w:rPr>
        <w:rFonts w:hint="default"/>
      </w:rPr>
    </w:lvl>
    <w:lvl w:ilvl="4">
      <w:start w:val="1"/>
      <w:numFmt w:val="decimal"/>
      <w:isLgl/>
      <w:lvlText w:val="%1.%2.%3.%4.%5."/>
      <w:lvlJc w:val="left"/>
      <w:pPr>
        <w:ind w:left="3741" w:hanging="1140"/>
      </w:pPr>
      <w:rPr>
        <w:rFonts w:hint="default"/>
      </w:rPr>
    </w:lvl>
    <w:lvl w:ilvl="5">
      <w:start w:val="1"/>
      <w:numFmt w:val="decimal"/>
      <w:isLgl/>
      <w:lvlText w:val="%1.%2.%3.%4.%5.%6."/>
      <w:lvlJc w:val="left"/>
      <w:pPr>
        <w:ind w:left="4230" w:hanging="1140"/>
      </w:pPr>
      <w:rPr>
        <w:rFonts w:hint="default"/>
      </w:rPr>
    </w:lvl>
    <w:lvl w:ilvl="6">
      <w:start w:val="1"/>
      <w:numFmt w:val="decimal"/>
      <w:isLgl/>
      <w:lvlText w:val="%1.%2.%3.%4.%5.%6.%7."/>
      <w:lvlJc w:val="left"/>
      <w:pPr>
        <w:ind w:left="4719" w:hanging="1140"/>
      </w:pPr>
      <w:rPr>
        <w:rFonts w:hint="default"/>
      </w:rPr>
    </w:lvl>
    <w:lvl w:ilvl="7">
      <w:start w:val="1"/>
      <w:numFmt w:val="decimal"/>
      <w:isLgl/>
      <w:lvlText w:val="%1.%2.%3.%4.%5.%6.%7.%8."/>
      <w:lvlJc w:val="left"/>
      <w:pPr>
        <w:ind w:left="5508" w:hanging="1440"/>
      </w:pPr>
      <w:rPr>
        <w:rFonts w:hint="default"/>
      </w:rPr>
    </w:lvl>
    <w:lvl w:ilvl="8">
      <w:start w:val="1"/>
      <w:numFmt w:val="decimal"/>
      <w:isLgl/>
      <w:lvlText w:val="%1.%2.%3.%4.%5.%6.%7.%8.%9."/>
      <w:lvlJc w:val="left"/>
      <w:pPr>
        <w:ind w:left="5997" w:hanging="1440"/>
      </w:pPr>
      <w:rPr>
        <w:rFonts w:hint="default"/>
      </w:rPr>
    </w:lvl>
  </w:abstractNum>
  <w:abstractNum w:abstractNumId="15" w15:restartNumberingAfterBreak="0">
    <w:nsid w:val="14DC7FB1"/>
    <w:multiLevelType w:val="hybridMultilevel"/>
    <w:tmpl w:val="75E8C342"/>
    <w:lvl w:ilvl="0" w:tplc="2020BC26">
      <w:start w:val="1"/>
      <w:numFmt w:val="decimal"/>
      <w:lvlText w:val="%1."/>
      <w:lvlJc w:val="left"/>
      <w:pPr>
        <w:ind w:left="1710" w:hanging="576"/>
      </w:pPr>
      <w:rPr>
        <w:rFonts w:hint="default"/>
      </w:rPr>
    </w:lvl>
    <w:lvl w:ilvl="1" w:tplc="04090019" w:tentative="1">
      <w:start w:val="1"/>
      <w:numFmt w:val="upperLetter"/>
      <w:lvlText w:val="%2."/>
      <w:lvlJc w:val="left"/>
      <w:pPr>
        <w:ind w:left="1934" w:hanging="400"/>
      </w:pPr>
    </w:lvl>
    <w:lvl w:ilvl="2" w:tplc="0409001B" w:tentative="1">
      <w:start w:val="1"/>
      <w:numFmt w:val="lowerRoman"/>
      <w:lvlText w:val="%3."/>
      <w:lvlJc w:val="right"/>
      <w:pPr>
        <w:ind w:left="2334" w:hanging="400"/>
      </w:pPr>
    </w:lvl>
    <w:lvl w:ilvl="3" w:tplc="0409000F" w:tentative="1">
      <w:start w:val="1"/>
      <w:numFmt w:val="decimal"/>
      <w:lvlText w:val="%4."/>
      <w:lvlJc w:val="left"/>
      <w:pPr>
        <w:ind w:left="2734" w:hanging="400"/>
      </w:pPr>
    </w:lvl>
    <w:lvl w:ilvl="4" w:tplc="04090019" w:tentative="1">
      <w:start w:val="1"/>
      <w:numFmt w:val="upperLetter"/>
      <w:lvlText w:val="%5."/>
      <w:lvlJc w:val="left"/>
      <w:pPr>
        <w:ind w:left="3134" w:hanging="400"/>
      </w:pPr>
    </w:lvl>
    <w:lvl w:ilvl="5" w:tplc="0409001B" w:tentative="1">
      <w:start w:val="1"/>
      <w:numFmt w:val="lowerRoman"/>
      <w:lvlText w:val="%6."/>
      <w:lvlJc w:val="right"/>
      <w:pPr>
        <w:ind w:left="3534" w:hanging="400"/>
      </w:pPr>
    </w:lvl>
    <w:lvl w:ilvl="6" w:tplc="0409000F" w:tentative="1">
      <w:start w:val="1"/>
      <w:numFmt w:val="decimal"/>
      <w:lvlText w:val="%7."/>
      <w:lvlJc w:val="left"/>
      <w:pPr>
        <w:ind w:left="3934" w:hanging="400"/>
      </w:pPr>
    </w:lvl>
    <w:lvl w:ilvl="7" w:tplc="04090019" w:tentative="1">
      <w:start w:val="1"/>
      <w:numFmt w:val="upperLetter"/>
      <w:lvlText w:val="%8."/>
      <w:lvlJc w:val="left"/>
      <w:pPr>
        <w:ind w:left="4334" w:hanging="400"/>
      </w:pPr>
    </w:lvl>
    <w:lvl w:ilvl="8" w:tplc="0409001B" w:tentative="1">
      <w:start w:val="1"/>
      <w:numFmt w:val="lowerRoman"/>
      <w:lvlText w:val="%9."/>
      <w:lvlJc w:val="right"/>
      <w:pPr>
        <w:ind w:left="4734" w:hanging="400"/>
      </w:pPr>
    </w:lvl>
  </w:abstractNum>
  <w:abstractNum w:abstractNumId="16"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8965BD"/>
    <w:multiLevelType w:val="hybridMultilevel"/>
    <w:tmpl w:val="DC3CA4EA"/>
    <w:lvl w:ilvl="0" w:tplc="0FE88A78">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2C357F"/>
    <w:multiLevelType w:val="hybridMultilevel"/>
    <w:tmpl w:val="F9DAE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2353362"/>
    <w:multiLevelType w:val="hybridMultilevel"/>
    <w:tmpl w:val="EEA859AA"/>
    <w:lvl w:ilvl="0" w:tplc="0E6832D2">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443F6BCF"/>
    <w:multiLevelType w:val="hybridMultilevel"/>
    <w:tmpl w:val="DB504096"/>
    <w:lvl w:ilvl="0" w:tplc="5F82846E">
      <w:start w:val="1"/>
      <w:numFmt w:val="decimal"/>
      <w:lvlText w:val="%1."/>
      <w:lvlJc w:val="left"/>
      <w:pPr>
        <w:ind w:left="1494" w:hanging="360"/>
      </w:pPr>
      <w:rPr>
        <w:rFonts w:hint="default"/>
      </w:rPr>
    </w:lvl>
    <w:lvl w:ilvl="1" w:tplc="04070019">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25" w15:restartNumberingAfterBreak="0">
    <w:nsid w:val="5FD709DF"/>
    <w:multiLevelType w:val="hybridMultilevel"/>
    <w:tmpl w:val="80A26C9E"/>
    <w:lvl w:ilvl="0" w:tplc="97CAB314">
      <w:start w:val="1"/>
      <w:numFmt w:val="decimal"/>
      <w:lvlText w:val="%1"/>
      <w:lvlJc w:val="left"/>
      <w:pPr>
        <w:ind w:left="1137" w:hanging="570"/>
      </w:pPr>
      <w:rPr>
        <w:rFonts w:hint="default"/>
        <w:color w:val="auto"/>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6" w15:restartNumberingAfterBreak="0">
    <w:nsid w:val="60DE67A7"/>
    <w:multiLevelType w:val="hybridMultilevel"/>
    <w:tmpl w:val="2BBAF88C"/>
    <w:lvl w:ilvl="0" w:tplc="89086B5C">
      <w:start w:val="2"/>
      <w:numFmt w:val="decimal"/>
      <w:lvlText w:val="%1"/>
      <w:lvlJc w:val="left"/>
      <w:pPr>
        <w:ind w:left="924" w:hanging="564"/>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4A3014"/>
    <w:multiLevelType w:val="multilevel"/>
    <w:tmpl w:val="BE844FB0"/>
    <w:lvl w:ilvl="0">
      <w:start w:val="5"/>
      <w:numFmt w:val="decimal"/>
      <w:lvlText w:val="%1."/>
      <w:lvlJc w:val="left"/>
      <w:pPr>
        <w:tabs>
          <w:tab w:val="num" w:pos="1530"/>
        </w:tabs>
        <w:ind w:left="1530" w:hanging="1530"/>
      </w:pPr>
      <w:rPr>
        <w:rFonts w:hint="default"/>
      </w:rPr>
    </w:lvl>
    <w:lvl w:ilvl="1">
      <w:start w:val="11"/>
      <w:numFmt w:val="decimal"/>
      <w:lvlText w:val="%1.%2."/>
      <w:lvlJc w:val="left"/>
      <w:pPr>
        <w:tabs>
          <w:tab w:val="num" w:pos="1530"/>
        </w:tabs>
        <w:ind w:left="1530" w:hanging="1530"/>
      </w:pPr>
      <w:rPr>
        <w:rFonts w:hint="default"/>
      </w:rPr>
    </w:lvl>
    <w:lvl w:ilvl="2">
      <w:start w:val="1"/>
      <w:numFmt w:val="decimal"/>
      <w:lvlText w:val="%1.%2.%3."/>
      <w:lvlJc w:val="left"/>
      <w:pPr>
        <w:tabs>
          <w:tab w:val="num" w:pos="1530"/>
        </w:tabs>
        <w:ind w:left="1530" w:hanging="1530"/>
      </w:pPr>
      <w:rPr>
        <w:rFonts w:hint="default"/>
      </w:rPr>
    </w:lvl>
    <w:lvl w:ilvl="3">
      <w:start w:val="1"/>
      <w:numFmt w:val="decimal"/>
      <w:lvlText w:val="%1.%2.%3.%4."/>
      <w:lvlJc w:val="left"/>
      <w:pPr>
        <w:tabs>
          <w:tab w:val="num" w:pos="1530"/>
        </w:tabs>
        <w:ind w:left="1530" w:hanging="1530"/>
      </w:pPr>
      <w:rPr>
        <w:rFonts w:hint="default"/>
      </w:rPr>
    </w:lvl>
    <w:lvl w:ilvl="4">
      <w:start w:val="1"/>
      <w:numFmt w:val="decimal"/>
      <w:lvlText w:val="%1.%2.%3.%4.%5."/>
      <w:lvlJc w:val="left"/>
      <w:pPr>
        <w:tabs>
          <w:tab w:val="num" w:pos="1530"/>
        </w:tabs>
        <w:ind w:left="1530" w:hanging="1530"/>
      </w:pPr>
      <w:rPr>
        <w:rFonts w:hint="default"/>
      </w:rPr>
    </w:lvl>
    <w:lvl w:ilvl="5">
      <w:start w:val="1"/>
      <w:numFmt w:val="decimal"/>
      <w:lvlText w:val="%1.%2.%3.%4.%5.%6."/>
      <w:lvlJc w:val="left"/>
      <w:pPr>
        <w:tabs>
          <w:tab w:val="num" w:pos="1530"/>
        </w:tabs>
        <w:ind w:left="1530" w:hanging="153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65315950"/>
    <w:multiLevelType w:val="hybridMultilevel"/>
    <w:tmpl w:val="807C97F8"/>
    <w:lvl w:ilvl="0" w:tplc="C302D7CE">
      <w:start w:val="1"/>
      <w:numFmt w:val="decimal"/>
      <w:lvlText w:val="%1."/>
      <w:lvlJc w:val="left"/>
      <w:pPr>
        <w:ind w:left="926" w:hanging="566"/>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005AC2"/>
    <w:multiLevelType w:val="hybridMultilevel"/>
    <w:tmpl w:val="035C5620"/>
    <w:lvl w:ilvl="0" w:tplc="0413000F">
      <w:start w:val="1"/>
      <w:numFmt w:val="decimal"/>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31" w15:restartNumberingAfterBreak="0">
    <w:nsid w:val="74D5722B"/>
    <w:multiLevelType w:val="hybridMultilevel"/>
    <w:tmpl w:val="57B4EC62"/>
    <w:lvl w:ilvl="0" w:tplc="040C000F">
      <w:start w:val="1"/>
      <w:numFmt w:val="decimal"/>
      <w:lvlText w:val="%1."/>
      <w:lvlJc w:val="left"/>
      <w:pPr>
        <w:ind w:left="1494" w:hanging="360"/>
      </w:p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2"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05718898">
    <w:abstractNumId w:val="1"/>
  </w:num>
  <w:num w:numId="2" w16cid:durableId="1157722321">
    <w:abstractNumId w:val="0"/>
  </w:num>
  <w:num w:numId="3" w16cid:durableId="677000240">
    <w:abstractNumId w:val="2"/>
  </w:num>
  <w:num w:numId="4" w16cid:durableId="1219170420">
    <w:abstractNumId w:val="3"/>
  </w:num>
  <w:num w:numId="5" w16cid:durableId="750591094">
    <w:abstractNumId w:val="8"/>
  </w:num>
  <w:num w:numId="6" w16cid:durableId="757559859">
    <w:abstractNumId w:val="9"/>
  </w:num>
  <w:num w:numId="7" w16cid:durableId="509100844">
    <w:abstractNumId w:val="7"/>
  </w:num>
  <w:num w:numId="8" w16cid:durableId="1699693637">
    <w:abstractNumId w:val="6"/>
  </w:num>
  <w:num w:numId="9" w16cid:durableId="1921793229">
    <w:abstractNumId w:val="5"/>
  </w:num>
  <w:num w:numId="10" w16cid:durableId="1948267956">
    <w:abstractNumId w:val="4"/>
  </w:num>
  <w:num w:numId="11" w16cid:durableId="927301483">
    <w:abstractNumId w:val="21"/>
  </w:num>
  <w:num w:numId="12" w16cid:durableId="1785618207">
    <w:abstractNumId w:val="18"/>
  </w:num>
  <w:num w:numId="13" w16cid:durableId="1090855810">
    <w:abstractNumId w:val="11"/>
  </w:num>
  <w:num w:numId="14" w16cid:durableId="2079130742">
    <w:abstractNumId w:val="16"/>
  </w:num>
  <w:num w:numId="15" w16cid:durableId="570695108">
    <w:abstractNumId w:val="22"/>
  </w:num>
  <w:num w:numId="16" w16cid:durableId="1321159597">
    <w:abstractNumId w:val="17"/>
  </w:num>
  <w:num w:numId="17" w16cid:durableId="1757550221">
    <w:abstractNumId w:val="29"/>
  </w:num>
  <w:num w:numId="18" w16cid:durableId="398677723">
    <w:abstractNumId w:val="32"/>
  </w:num>
  <w:num w:numId="19" w16cid:durableId="2069957322">
    <w:abstractNumId w:val="13"/>
  </w:num>
  <w:num w:numId="20" w16cid:durableId="1964342037">
    <w:abstractNumId w:val="28"/>
  </w:num>
  <w:num w:numId="21" w16cid:durableId="428238356">
    <w:abstractNumId w:val="23"/>
  </w:num>
  <w:num w:numId="22" w16cid:durableId="1116754416">
    <w:abstractNumId w:val="31"/>
  </w:num>
  <w:num w:numId="23" w16cid:durableId="1227110600">
    <w:abstractNumId w:val="14"/>
  </w:num>
  <w:num w:numId="24" w16cid:durableId="1716738669">
    <w:abstractNumId w:val="1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558592084">
    <w:abstractNumId w:val="15"/>
  </w:num>
  <w:num w:numId="26" w16cid:durableId="1453398409">
    <w:abstractNumId w:val="25"/>
  </w:num>
  <w:num w:numId="27" w16cid:durableId="939872896">
    <w:abstractNumId w:val="26"/>
  </w:num>
  <w:num w:numId="28" w16cid:durableId="1642271849">
    <w:abstractNumId w:val="20"/>
  </w:num>
  <w:num w:numId="29" w16cid:durableId="1166749431">
    <w:abstractNumId w:val="27"/>
  </w:num>
  <w:num w:numId="30" w16cid:durableId="347289985">
    <w:abstractNumId w:val="12"/>
  </w:num>
  <w:num w:numId="31" w16cid:durableId="382218942">
    <w:abstractNumId w:val="30"/>
  </w:num>
  <w:num w:numId="32" w16cid:durableId="636759398">
    <w:abstractNumId w:val="24"/>
  </w:num>
  <w:num w:numId="33" w16cid:durableId="39382307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1D"/>
    <w:rsid w:val="0000122C"/>
    <w:rsid w:val="00002A7D"/>
    <w:rsid w:val="000038A8"/>
    <w:rsid w:val="00005DF3"/>
    <w:rsid w:val="00006790"/>
    <w:rsid w:val="00017E07"/>
    <w:rsid w:val="000209FB"/>
    <w:rsid w:val="00024031"/>
    <w:rsid w:val="00027624"/>
    <w:rsid w:val="00040D69"/>
    <w:rsid w:val="00041AEC"/>
    <w:rsid w:val="000426E7"/>
    <w:rsid w:val="00044611"/>
    <w:rsid w:val="00050B0A"/>
    <w:rsid w:val="00050F6B"/>
    <w:rsid w:val="00064EEE"/>
    <w:rsid w:val="00065916"/>
    <w:rsid w:val="000673CF"/>
    <w:rsid w:val="000678CD"/>
    <w:rsid w:val="00071008"/>
    <w:rsid w:val="00072C8C"/>
    <w:rsid w:val="00076DBA"/>
    <w:rsid w:val="00081CE0"/>
    <w:rsid w:val="00084D30"/>
    <w:rsid w:val="00087DDC"/>
    <w:rsid w:val="00090320"/>
    <w:rsid w:val="000929A7"/>
    <w:rsid w:val="000931C0"/>
    <w:rsid w:val="00095BBA"/>
    <w:rsid w:val="000964E3"/>
    <w:rsid w:val="00097003"/>
    <w:rsid w:val="000A2E09"/>
    <w:rsid w:val="000A7061"/>
    <w:rsid w:val="000A77AC"/>
    <w:rsid w:val="000B175B"/>
    <w:rsid w:val="000B3A0F"/>
    <w:rsid w:val="000B743B"/>
    <w:rsid w:val="000C11A4"/>
    <w:rsid w:val="000D2E13"/>
    <w:rsid w:val="000D3A4E"/>
    <w:rsid w:val="000D41C6"/>
    <w:rsid w:val="000E0415"/>
    <w:rsid w:val="000E57EF"/>
    <w:rsid w:val="000E7406"/>
    <w:rsid w:val="000F7715"/>
    <w:rsid w:val="00101C00"/>
    <w:rsid w:val="00112120"/>
    <w:rsid w:val="0013785F"/>
    <w:rsid w:val="00143BF8"/>
    <w:rsid w:val="00145183"/>
    <w:rsid w:val="00156B99"/>
    <w:rsid w:val="0016113F"/>
    <w:rsid w:val="0016358F"/>
    <w:rsid w:val="00166124"/>
    <w:rsid w:val="00175911"/>
    <w:rsid w:val="00184DDA"/>
    <w:rsid w:val="001900CD"/>
    <w:rsid w:val="001A0452"/>
    <w:rsid w:val="001B4B04"/>
    <w:rsid w:val="001B5875"/>
    <w:rsid w:val="001C4B9C"/>
    <w:rsid w:val="001C5DE5"/>
    <w:rsid w:val="001C6663"/>
    <w:rsid w:val="001C7895"/>
    <w:rsid w:val="001D140E"/>
    <w:rsid w:val="001D26DF"/>
    <w:rsid w:val="001D41E6"/>
    <w:rsid w:val="001F1599"/>
    <w:rsid w:val="001F19C4"/>
    <w:rsid w:val="001F7CFB"/>
    <w:rsid w:val="002043F0"/>
    <w:rsid w:val="00205A9B"/>
    <w:rsid w:val="002070F0"/>
    <w:rsid w:val="00210338"/>
    <w:rsid w:val="00211E0B"/>
    <w:rsid w:val="0021471A"/>
    <w:rsid w:val="00215B45"/>
    <w:rsid w:val="00232575"/>
    <w:rsid w:val="00232E9E"/>
    <w:rsid w:val="002364DA"/>
    <w:rsid w:val="002422F2"/>
    <w:rsid w:val="00247258"/>
    <w:rsid w:val="00254038"/>
    <w:rsid w:val="00256B58"/>
    <w:rsid w:val="00256E86"/>
    <w:rsid w:val="00257C10"/>
    <w:rsid w:val="00257CAC"/>
    <w:rsid w:val="00262DBA"/>
    <w:rsid w:val="00264ED8"/>
    <w:rsid w:val="0026581E"/>
    <w:rsid w:val="00267A12"/>
    <w:rsid w:val="002707DF"/>
    <w:rsid w:val="0027237A"/>
    <w:rsid w:val="00275642"/>
    <w:rsid w:val="00275B39"/>
    <w:rsid w:val="0028259C"/>
    <w:rsid w:val="00285619"/>
    <w:rsid w:val="00285EB3"/>
    <w:rsid w:val="002974E9"/>
    <w:rsid w:val="002A306B"/>
    <w:rsid w:val="002A6510"/>
    <w:rsid w:val="002A7F94"/>
    <w:rsid w:val="002B0039"/>
    <w:rsid w:val="002B0371"/>
    <w:rsid w:val="002B109A"/>
    <w:rsid w:val="002C14D6"/>
    <w:rsid w:val="002C35DC"/>
    <w:rsid w:val="002C6D45"/>
    <w:rsid w:val="002D0088"/>
    <w:rsid w:val="002D4DAA"/>
    <w:rsid w:val="002D4F0C"/>
    <w:rsid w:val="002D6E53"/>
    <w:rsid w:val="002E56BB"/>
    <w:rsid w:val="002F046D"/>
    <w:rsid w:val="002F1A48"/>
    <w:rsid w:val="002F3023"/>
    <w:rsid w:val="00301764"/>
    <w:rsid w:val="003019EB"/>
    <w:rsid w:val="003028EC"/>
    <w:rsid w:val="00303079"/>
    <w:rsid w:val="003052B9"/>
    <w:rsid w:val="00321716"/>
    <w:rsid w:val="003229D8"/>
    <w:rsid w:val="00336C97"/>
    <w:rsid w:val="00337F88"/>
    <w:rsid w:val="00341548"/>
    <w:rsid w:val="00342432"/>
    <w:rsid w:val="00347F11"/>
    <w:rsid w:val="00351902"/>
    <w:rsid w:val="0035223F"/>
    <w:rsid w:val="00352D4B"/>
    <w:rsid w:val="00352FC9"/>
    <w:rsid w:val="0035638C"/>
    <w:rsid w:val="00356564"/>
    <w:rsid w:val="003752E3"/>
    <w:rsid w:val="00375867"/>
    <w:rsid w:val="00377807"/>
    <w:rsid w:val="0038536B"/>
    <w:rsid w:val="0039621D"/>
    <w:rsid w:val="003A11A6"/>
    <w:rsid w:val="003A3B4C"/>
    <w:rsid w:val="003A3F6E"/>
    <w:rsid w:val="003A4205"/>
    <w:rsid w:val="003A46BB"/>
    <w:rsid w:val="003A4EC7"/>
    <w:rsid w:val="003A7295"/>
    <w:rsid w:val="003B1F60"/>
    <w:rsid w:val="003C14F7"/>
    <w:rsid w:val="003C2CC4"/>
    <w:rsid w:val="003C3529"/>
    <w:rsid w:val="003D04D1"/>
    <w:rsid w:val="003D3C1A"/>
    <w:rsid w:val="003D4B23"/>
    <w:rsid w:val="003D5880"/>
    <w:rsid w:val="003D5A65"/>
    <w:rsid w:val="003E0092"/>
    <w:rsid w:val="003E278A"/>
    <w:rsid w:val="003E4FFF"/>
    <w:rsid w:val="003E603C"/>
    <w:rsid w:val="00400F4B"/>
    <w:rsid w:val="00404AA7"/>
    <w:rsid w:val="00405F46"/>
    <w:rsid w:val="00413510"/>
    <w:rsid w:val="00413520"/>
    <w:rsid w:val="0041433F"/>
    <w:rsid w:val="00414B22"/>
    <w:rsid w:val="00420D7B"/>
    <w:rsid w:val="00425255"/>
    <w:rsid w:val="004325CB"/>
    <w:rsid w:val="004353FE"/>
    <w:rsid w:val="00440A07"/>
    <w:rsid w:val="00451CF7"/>
    <w:rsid w:val="00462880"/>
    <w:rsid w:val="0046461C"/>
    <w:rsid w:val="004667F1"/>
    <w:rsid w:val="00467350"/>
    <w:rsid w:val="0047134C"/>
    <w:rsid w:val="00476F24"/>
    <w:rsid w:val="00477DA4"/>
    <w:rsid w:val="00480745"/>
    <w:rsid w:val="00490A94"/>
    <w:rsid w:val="004A0575"/>
    <w:rsid w:val="004A38C4"/>
    <w:rsid w:val="004A3900"/>
    <w:rsid w:val="004A5D33"/>
    <w:rsid w:val="004B0CFA"/>
    <w:rsid w:val="004C55B0"/>
    <w:rsid w:val="004C75DC"/>
    <w:rsid w:val="004D370B"/>
    <w:rsid w:val="004E1D67"/>
    <w:rsid w:val="004E4B57"/>
    <w:rsid w:val="004F6BA0"/>
    <w:rsid w:val="00503BEA"/>
    <w:rsid w:val="00505701"/>
    <w:rsid w:val="005068E2"/>
    <w:rsid w:val="00507C5A"/>
    <w:rsid w:val="00513A97"/>
    <w:rsid w:val="00531864"/>
    <w:rsid w:val="00533616"/>
    <w:rsid w:val="00535ABA"/>
    <w:rsid w:val="0053768B"/>
    <w:rsid w:val="005420F2"/>
    <w:rsid w:val="0054285C"/>
    <w:rsid w:val="005443E7"/>
    <w:rsid w:val="00544EE3"/>
    <w:rsid w:val="00561168"/>
    <w:rsid w:val="0056351C"/>
    <w:rsid w:val="00565FB5"/>
    <w:rsid w:val="00566E14"/>
    <w:rsid w:val="005670E7"/>
    <w:rsid w:val="005702D5"/>
    <w:rsid w:val="00584173"/>
    <w:rsid w:val="00584618"/>
    <w:rsid w:val="005862DF"/>
    <w:rsid w:val="005862EB"/>
    <w:rsid w:val="00592B12"/>
    <w:rsid w:val="0059355C"/>
    <w:rsid w:val="00593DDD"/>
    <w:rsid w:val="00595520"/>
    <w:rsid w:val="005A44B9"/>
    <w:rsid w:val="005B1260"/>
    <w:rsid w:val="005B1BA0"/>
    <w:rsid w:val="005B3DB3"/>
    <w:rsid w:val="005B57B2"/>
    <w:rsid w:val="005B5855"/>
    <w:rsid w:val="005C0268"/>
    <w:rsid w:val="005C302C"/>
    <w:rsid w:val="005C4DE7"/>
    <w:rsid w:val="005D15CA"/>
    <w:rsid w:val="005D246B"/>
    <w:rsid w:val="005E5C75"/>
    <w:rsid w:val="005F08DF"/>
    <w:rsid w:val="005F3066"/>
    <w:rsid w:val="005F3E61"/>
    <w:rsid w:val="00600EC9"/>
    <w:rsid w:val="00604DDD"/>
    <w:rsid w:val="006060B1"/>
    <w:rsid w:val="006115CC"/>
    <w:rsid w:val="00611FC4"/>
    <w:rsid w:val="006176FB"/>
    <w:rsid w:val="00626F97"/>
    <w:rsid w:val="00630FCB"/>
    <w:rsid w:val="00633124"/>
    <w:rsid w:val="00640B26"/>
    <w:rsid w:val="0065766B"/>
    <w:rsid w:val="00661AEE"/>
    <w:rsid w:val="006770B2"/>
    <w:rsid w:val="00681776"/>
    <w:rsid w:val="00686A48"/>
    <w:rsid w:val="0068763C"/>
    <w:rsid w:val="0069081F"/>
    <w:rsid w:val="0069264A"/>
    <w:rsid w:val="006940E1"/>
    <w:rsid w:val="006944A9"/>
    <w:rsid w:val="00694708"/>
    <w:rsid w:val="006A0492"/>
    <w:rsid w:val="006A3C72"/>
    <w:rsid w:val="006A427B"/>
    <w:rsid w:val="006A7392"/>
    <w:rsid w:val="006B03A1"/>
    <w:rsid w:val="006B0524"/>
    <w:rsid w:val="006B67D9"/>
    <w:rsid w:val="006C452E"/>
    <w:rsid w:val="006C5535"/>
    <w:rsid w:val="006C5932"/>
    <w:rsid w:val="006C6F86"/>
    <w:rsid w:val="006D003D"/>
    <w:rsid w:val="006D0589"/>
    <w:rsid w:val="006D39C5"/>
    <w:rsid w:val="006D5E87"/>
    <w:rsid w:val="006E1ABE"/>
    <w:rsid w:val="006E1E7A"/>
    <w:rsid w:val="006E564B"/>
    <w:rsid w:val="006E7154"/>
    <w:rsid w:val="006F3E33"/>
    <w:rsid w:val="007003CD"/>
    <w:rsid w:val="00706214"/>
    <w:rsid w:val="0070671C"/>
    <w:rsid w:val="0070701E"/>
    <w:rsid w:val="007228D5"/>
    <w:rsid w:val="0072632A"/>
    <w:rsid w:val="007358E8"/>
    <w:rsid w:val="00736ECE"/>
    <w:rsid w:val="007416DA"/>
    <w:rsid w:val="00742F86"/>
    <w:rsid w:val="0074533B"/>
    <w:rsid w:val="00750127"/>
    <w:rsid w:val="00751B23"/>
    <w:rsid w:val="00762145"/>
    <w:rsid w:val="007643BC"/>
    <w:rsid w:val="00773BF8"/>
    <w:rsid w:val="00780C68"/>
    <w:rsid w:val="00784FA1"/>
    <w:rsid w:val="00786787"/>
    <w:rsid w:val="0079080A"/>
    <w:rsid w:val="00792646"/>
    <w:rsid w:val="007959FE"/>
    <w:rsid w:val="00797E79"/>
    <w:rsid w:val="007A084E"/>
    <w:rsid w:val="007A0CF1"/>
    <w:rsid w:val="007A6944"/>
    <w:rsid w:val="007B3C4E"/>
    <w:rsid w:val="007B6BA5"/>
    <w:rsid w:val="007B7A9B"/>
    <w:rsid w:val="007C3390"/>
    <w:rsid w:val="007C42D8"/>
    <w:rsid w:val="007C4F4B"/>
    <w:rsid w:val="007C5517"/>
    <w:rsid w:val="007D6F65"/>
    <w:rsid w:val="007D7362"/>
    <w:rsid w:val="007E1FEF"/>
    <w:rsid w:val="007E2132"/>
    <w:rsid w:val="007E312C"/>
    <w:rsid w:val="007E4080"/>
    <w:rsid w:val="007F3D01"/>
    <w:rsid w:val="007F5CE2"/>
    <w:rsid w:val="007F6611"/>
    <w:rsid w:val="008024CF"/>
    <w:rsid w:val="00804A98"/>
    <w:rsid w:val="008053E1"/>
    <w:rsid w:val="00810BAC"/>
    <w:rsid w:val="00810D66"/>
    <w:rsid w:val="008175E9"/>
    <w:rsid w:val="00820F2F"/>
    <w:rsid w:val="00822CED"/>
    <w:rsid w:val="008242D7"/>
    <w:rsid w:val="008253C4"/>
    <w:rsid w:val="0082577B"/>
    <w:rsid w:val="00825CB5"/>
    <w:rsid w:val="0082768F"/>
    <w:rsid w:val="00834124"/>
    <w:rsid w:val="008506B6"/>
    <w:rsid w:val="00857A35"/>
    <w:rsid w:val="0086358D"/>
    <w:rsid w:val="008642E9"/>
    <w:rsid w:val="00866893"/>
    <w:rsid w:val="00866F02"/>
    <w:rsid w:val="00867D18"/>
    <w:rsid w:val="00871F9A"/>
    <w:rsid w:val="00871FD5"/>
    <w:rsid w:val="00875071"/>
    <w:rsid w:val="008816C9"/>
    <w:rsid w:val="0088172E"/>
    <w:rsid w:val="00881EFA"/>
    <w:rsid w:val="008828F4"/>
    <w:rsid w:val="008879CB"/>
    <w:rsid w:val="008913AD"/>
    <w:rsid w:val="008979B1"/>
    <w:rsid w:val="008A462D"/>
    <w:rsid w:val="008A6B25"/>
    <w:rsid w:val="008A6C4F"/>
    <w:rsid w:val="008A7045"/>
    <w:rsid w:val="008B389E"/>
    <w:rsid w:val="008B7EA4"/>
    <w:rsid w:val="008C0C40"/>
    <w:rsid w:val="008C638C"/>
    <w:rsid w:val="008C6479"/>
    <w:rsid w:val="008D045E"/>
    <w:rsid w:val="008D27FC"/>
    <w:rsid w:val="008D3F25"/>
    <w:rsid w:val="008D4D82"/>
    <w:rsid w:val="008E0E46"/>
    <w:rsid w:val="008E7116"/>
    <w:rsid w:val="008F143B"/>
    <w:rsid w:val="008F1576"/>
    <w:rsid w:val="008F1A15"/>
    <w:rsid w:val="008F25B8"/>
    <w:rsid w:val="008F3882"/>
    <w:rsid w:val="008F4B7C"/>
    <w:rsid w:val="00913CBA"/>
    <w:rsid w:val="00913FD0"/>
    <w:rsid w:val="00915888"/>
    <w:rsid w:val="009173AD"/>
    <w:rsid w:val="0092315E"/>
    <w:rsid w:val="009265C3"/>
    <w:rsid w:val="00926E47"/>
    <w:rsid w:val="009369A9"/>
    <w:rsid w:val="00941468"/>
    <w:rsid w:val="0094343D"/>
    <w:rsid w:val="00944583"/>
    <w:rsid w:val="00947162"/>
    <w:rsid w:val="009610D0"/>
    <w:rsid w:val="0096375C"/>
    <w:rsid w:val="009641B8"/>
    <w:rsid w:val="009662E6"/>
    <w:rsid w:val="0097095E"/>
    <w:rsid w:val="009731B7"/>
    <w:rsid w:val="00973DD7"/>
    <w:rsid w:val="00975C3F"/>
    <w:rsid w:val="00985586"/>
    <w:rsid w:val="0098592B"/>
    <w:rsid w:val="00985FC4"/>
    <w:rsid w:val="00990766"/>
    <w:rsid w:val="00991261"/>
    <w:rsid w:val="00991315"/>
    <w:rsid w:val="00993694"/>
    <w:rsid w:val="009964C4"/>
    <w:rsid w:val="009A23EE"/>
    <w:rsid w:val="009A7B81"/>
    <w:rsid w:val="009B7EB7"/>
    <w:rsid w:val="009D01C0"/>
    <w:rsid w:val="009D0EB3"/>
    <w:rsid w:val="009D232A"/>
    <w:rsid w:val="009D55AE"/>
    <w:rsid w:val="009D6A08"/>
    <w:rsid w:val="009E0A16"/>
    <w:rsid w:val="009E6CB7"/>
    <w:rsid w:val="009E7970"/>
    <w:rsid w:val="009F004A"/>
    <w:rsid w:val="009F2EAC"/>
    <w:rsid w:val="009F57E3"/>
    <w:rsid w:val="00A03B6B"/>
    <w:rsid w:val="00A04300"/>
    <w:rsid w:val="00A067B2"/>
    <w:rsid w:val="00A079B5"/>
    <w:rsid w:val="00A10F4F"/>
    <w:rsid w:val="00A11067"/>
    <w:rsid w:val="00A117E2"/>
    <w:rsid w:val="00A1227C"/>
    <w:rsid w:val="00A13048"/>
    <w:rsid w:val="00A1704A"/>
    <w:rsid w:val="00A23529"/>
    <w:rsid w:val="00A23C35"/>
    <w:rsid w:val="00A36AC2"/>
    <w:rsid w:val="00A401D2"/>
    <w:rsid w:val="00A41372"/>
    <w:rsid w:val="00A416EA"/>
    <w:rsid w:val="00A425EB"/>
    <w:rsid w:val="00A535DB"/>
    <w:rsid w:val="00A5475D"/>
    <w:rsid w:val="00A54DEB"/>
    <w:rsid w:val="00A629C7"/>
    <w:rsid w:val="00A66072"/>
    <w:rsid w:val="00A701DA"/>
    <w:rsid w:val="00A72F22"/>
    <w:rsid w:val="00A733BC"/>
    <w:rsid w:val="00A748A6"/>
    <w:rsid w:val="00A76A69"/>
    <w:rsid w:val="00A879A4"/>
    <w:rsid w:val="00AA0FF8"/>
    <w:rsid w:val="00AA2E18"/>
    <w:rsid w:val="00AA4789"/>
    <w:rsid w:val="00AA49E6"/>
    <w:rsid w:val="00AA798F"/>
    <w:rsid w:val="00AB7352"/>
    <w:rsid w:val="00AC07CD"/>
    <w:rsid w:val="00AC0F2C"/>
    <w:rsid w:val="00AC38EF"/>
    <w:rsid w:val="00AC502A"/>
    <w:rsid w:val="00AD66C2"/>
    <w:rsid w:val="00AD7DBC"/>
    <w:rsid w:val="00AE0666"/>
    <w:rsid w:val="00AE1C81"/>
    <w:rsid w:val="00AE1E26"/>
    <w:rsid w:val="00AE31A0"/>
    <w:rsid w:val="00AF19C2"/>
    <w:rsid w:val="00AF56D8"/>
    <w:rsid w:val="00AF587D"/>
    <w:rsid w:val="00AF58C1"/>
    <w:rsid w:val="00B02176"/>
    <w:rsid w:val="00B04A3F"/>
    <w:rsid w:val="00B06643"/>
    <w:rsid w:val="00B15055"/>
    <w:rsid w:val="00B20551"/>
    <w:rsid w:val="00B24BA7"/>
    <w:rsid w:val="00B30179"/>
    <w:rsid w:val="00B31E0B"/>
    <w:rsid w:val="00B32865"/>
    <w:rsid w:val="00B33D9E"/>
    <w:rsid w:val="00B33FC7"/>
    <w:rsid w:val="00B37B15"/>
    <w:rsid w:val="00B4162A"/>
    <w:rsid w:val="00B437DB"/>
    <w:rsid w:val="00B45C02"/>
    <w:rsid w:val="00B471CD"/>
    <w:rsid w:val="00B50F76"/>
    <w:rsid w:val="00B627E0"/>
    <w:rsid w:val="00B633D0"/>
    <w:rsid w:val="00B6590B"/>
    <w:rsid w:val="00B70B63"/>
    <w:rsid w:val="00B71B9F"/>
    <w:rsid w:val="00B72A1E"/>
    <w:rsid w:val="00B75E69"/>
    <w:rsid w:val="00B770FC"/>
    <w:rsid w:val="00B81E12"/>
    <w:rsid w:val="00B917F0"/>
    <w:rsid w:val="00B91AC9"/>
    <w:rsid w:val="00B93ECD"/>
    <w:rsid w:val="00BA339B"/>
    <w:rsid w:val="00BA3825"/>
    <w:rsid w:val="00BA5547"/>
    <w:rsid w:val="00BA5D6B"/>
    <w:rsid w:val="00BB23CC"/>
    <w:rsid w:val="00BB6BE1"/>
    <w:rsid w:val="00BC1E7E"/>
    <w:rsid w:val="00BC5CE3"/>
    <w:rsid w:val="00BC74E9"/>
    <w:rsid w:val="00BD4451"/>
    <w:rsid w:val="00BD495E"/>
    <w:rsid w:val="00BD7B37"/>
    <w:rsid w:val="00BD7F64"/>
    <w:rsid w:val="00BE312E"/>
    <w:rsid w:val="00BE36A9"/>
    <w:rsid w:val="00BE618E"/>
    <w:rsid w:val="00BE7BEC"/>
    <w:rsid w:val="00BF0A5A"/>
    <w:rsid w:val="00BF0E63"/>
    <w:rsid w:val="00BF12A3"/>
    <w:rsid w:val="00BF16D7"/>
    <w:rsid w:val="00BF2373"/>
    <w:rsid w:val="00BF279B"/>
    <w:rsid w:val="00BF2DFD"/>
    <w:rsid w:val="00BF4836"/>
    <w:rsid w:val="00C00319"/>
    <w:rsid w:val="00C044E2"/>
    <w:rsid w:val="00C048CB"/>
    <w:rsid w:val="00C066F3"/>
    <w:rsid w:val="00C0728A"/>
    <w:rsid w:val="00C17ED2"/>
    <w:rsid w:val="00C21B75"/>
    <w:rsid w:val="00C261FE"/>
    <w:rsid w:val="00C32822"/>
    <w:rsid w:val="00C33FAF"/>
    <w:rsid w:val="00C37129"/>
    <w:rsid w:val="00C463DD"/>
    <w:rsid w:val="00C5093C"/>
    <w:rsid w:val="00C53E43"/>
    <w:rsid w:val="00C5647D"/>
    <w:rsid w:val="00C63517"/>
    <w:rsid w:val="00C745C3"/>
    <w:rsid w:val="00C838ED"/>
    <w:rsid w:val="00C85ED5"/>
    <w:rsid w:val="00C91A7B"/>
    <w:rsid w:val="00C97011"/>
    <w:rsid w:val="00C978F5"/>
    <w:rsid w:val="00CA24A4"/>
    <w:rsid w:val="00CB0EA5"/>
    <w:rsid w:val="00CB280F"/>
    <w:rsid w:val="00CB330B"/>
    <w:rsid w:val="00CB348D"/>
    <w:rsid w:val="00CB40FB"/>
    <w:rsid w:val="00CC1D22"/>
    <w:rsid w:val="00CC3378"/>
    <w:rsid w:val="00CD019B"/>
    <w:rsid w:val="00CD10D0"/>
    <w:rsid w:val="00CD1BCA"/>
    <w:rsid w:val="00CD32B9"/>
    <w:rsid w:val="00CD44D2"/>
    <w:rsid w:val="00CD46F5"/>
    <w:rsid w:val="00CD5DB4"/>
    <w:rsid w:val="00CD6F60"/>
    <w:rsid w:val="00CE4A8F"/>
    <w:rsid w:val="00CE57B1"/>
    <w:rsid w:val="00CF071D"/>
    <w:rsid w:val="00CF1AE3"/>
    <w:rsid w:val="00D003CD"/>
    <w:rsid w:val="00D0123D"/>
    <w:rsid w:val="00D01653"/>
    <w:rsid w:val="00D03E81"/>
    <w:rsid w:val="00D05A5B"/>
    <w:rsid w:val="00D07647"/>
    <w:rsid w:val="00D07CB8"/>
    <w:rsid w:val="00D15B04"/>
    <w:rsid w:val="00D2031B"/>
    <w:rsid w:val="00D2325A"/>
    <w:rsid w:val="00D25FE2"/>
    <w:rsid w:val="00D26910"/>
    <w:rsid w:val="00D26D7E"/>
    <w:rsid w:val="00D30CE4"/>
    <w:rsid w:val="00D375B5"/>
    <w:rsid w:val="00D37DA9"/>
    <w:rsid w:val="00D406A7"/>
    <w:rsid w:val="00D43252"/>
    <w:rsid w:val="00D43658"/>
    <w:rsid w:val="00D44D86"/>
    <w:rsid w:val="00D4729E"/>
    <w:rsid w:val="00D50B7D"/>
    <w:rsid w:val="00D518A7"/>
    <w:rsid w:val="00D52012"/>
    <w:rsid w:val="00D704E5"/>
    <w:rsid w:val="00D709F2"/>
    <w:rsid w:val="00D70F05"/>
    <w:rsid w:val="00D72727"/>
    <w:rsid w:val="00D740B6"/>
    <w:rsid w:val="00D85BF2"/>
    <w:rsid w:val="00D927DF"/>
    <w:rsid w:val="00D943A5"/>
    <w:rsid w:val="00D95950"/>
    <w:rsid w:val="00D978C6"/>
    <w:rsid w:val="00DA0956"/>
    <w:rsid w:val="00DA357F"/>
    <w:rsid w:val="00DA3E12"/>
    <w:rsid w:val="00DA460A"/>
    <w:rsid w:val="00DA7582"/>
    <w:rsid w:val="00DB2B22"/>
    <w:rsid w:val="00DB6E6F"/>
    <w:rsid w:val="00DC18AD"/>
    <w:rsid w:val="00DC39E4"/>
    <w:rsid w:val="00DD2143"/>
    <w:rsid w:val="00DD6844"/>
    <w:rsid w:val="00DE6FB2"/>
    <w:rsid w:val="00DF7CAE"/>
    <w:rsid w:val="00E012D3"/>
    <w:rsid w:val="00E0615E"/>
    <w:rsid w:val="00E15610"/>
    <w:rsid w:val="00E16C85"/>
    <w:rsid w:val="00E202C5"/>
    <w:rsid w:val="00E32281"/>
    <w:rsid w:val="00E423C0"/>
    <w:rsid w:val="00E54E90"/>
    <w:rsid w:val="00E61241"/>
    <w:rsid w:val="00E6414C"/>
    <w:rsid w:val="00E64D13"/>
    <w:rsid w:val="00E64DFE"/>
    <w:rsid w:val="00E71624"/>
    <w:rsid w:val="00E71A29"/>
    <w:rsid w:val="00E7260F"/>
    <w:rsid w:val="00E75620"/>
    <w:rsid w:val="00E83D85"/>
    <w:rsid w:val="00E84172"/>
    <w:rsid w:val="00E8702D"/>
    <w:rsid w:val="00E875E1"/>
    <w:rsid w:val="00E905F4"/>
    <w:rsid w:val="00E916A9"/>
    <w:rsid w:val="00E916DE"/>
    <w:rsid w:val="00E925AD"/>
    <w:rsid w:val="00E96630"/>
    <w:rsid w:val="00EA4B87"/>
    <w:rsid w:val="00EB135D"/>
    <w:rsid w:val="00EB3752"/>
    <w:rsid w:val="00EC039D"/>
    <w:rsid w:val="00EC62F7"/>
    <w:rsid w:val="00EC7678"/>
    <w:rsid w:val="00ED1573"/>
    <w:rsid w:val="00ED18DC"/>
    <w:rsid w:val="00ED3866"/>
    <w:rsid w:val="00ED50B4"/>
    <w:rsid w:val="00ED5D17"/>
    <w:rsid w:val="00ED61A8"/>
    <w:rsid w:val="00ED6201"/>
    <w:rsid w:val="00ED7A2A"/>
    <w:rsid w:val="00EE3E3A"/>
    <w:rsid w:val="00EF1D7F"/>
    <w:rsid w:val="00EF20C2"/>
    <w:rsid w:val="00F0137E"/>
    <w:rsid w:val="00F03B47"/>
    <w:rsid w:val="00F03DC9"/>
    <w:rsid w:val="00F04E44"/>
    <w:rsid w:val="00F0761D"/>
    <w:rsid w:val="00F101C2"/>
    <w:rsid w:val="00F14906"/>
    <w:rsid w:val="00F20ED8"/>
    <w:rsid w:val="00F21786"/>
    <w:rsid w:val="00F25D06"/>
    <w:rsid w:val="00F314A5"/>
    <w:rsid w:val="00F31CFF"/>
    <w:rsid w:val="00F37391"/>
    <w:rsid w:val="00F3742B"/>
    <w:rsid w:val="00F41FDB"/>
    <w:rsid w:val="00F50597"/>
    <w:rsid w:val="00F5649E"/>
    <w:rsid w:val="00F56D63"/>
    <w:rsid w:val="00F609A9"/>
    <w:rsid w:val="00F749C0"/>
    <w:rsid w:val="00F77AF2"/>
    <w:rsid w:val="00F80161"/>
    <w:rsid w:val="00F80C99"/>
    <w:rsid w:val="00F867EC"/>
    <w:rsid w:val="00F9152E"/>
    <w:rsid w:val="00F91B2B"/>
    <w:rsid w:val="00FA70DC"/>
    <w:rsid w:val="00FB359A"/>
    <w:rsid w:val="00FC03CD"/>
    <w:rsid w:val="00FC0646"/>
    <w:rsid w:val="00FC68B7"/>
    <w:rsid w:val="00FC6C10"/>
    <w:rsid w:val="00FD2653"/>
    <w:rsid w:val="00FD5357"/>
    <w:rsid w:val="00FD667F"/>
    <w:rsid w:val="00FD6BC2"/>
    <w:rsid w:val="00FE6985"/>
    <w:rsid w:val="00FE798D"/>
    <w:rsid w:val="00FF11E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A4576"/>
  <w15:docId w15:val="{633F43AD-9A2E-45EC-A90D-9EF67C07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C68"/>
    <w:pPr>
      <w:suppressAutoHyphens/>
      <w:spacing w:line="240" w:lineRule="atLeast"/>
    </w:pPr>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
    <w:basedOn w:val="DefaultParagraphFont"/>
    <w:uiPriority w:val="99"/>
    <w:qFormat/>
    <w:rsid w:val="00E925AD"/>
    <w:rPr>
      <w:rFonts w:ascii="Times New Roman" w:hAnsi="Times New Roman"/>
      <w:sz w:val="18"/>
      <w:vertAlign w:val="superscript"/>
    </w:rPr>
  </w:style>
  <w:style w:type="paragraph" w:styleId="FootnoteText">
    <w:name w:val="footnote text"/>
    <w:aliases w:val="5_G,PP,5_G_6,5_GR,Footnote Text Char,-E Fußnotentext,footnote text,Fußnotentext Ursprung,Footnote Text Char Char Char Char,Footnote Text1,Footnote Text Char Char Char,Fußnotentext Char1,Fußnotentext Char Char,Fußnotentext Char2,Fußn"/>
    <w:basedOn w:val="Normal"/>
    <w:link w:val="FootnoteTextChar1"/>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uiPriority w:val="99"/>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SingleTxtG"/>
    <w:qFormat/>
    <w:rsid w:val="007D6F65"/>
    <w:pPr>
      <w:numPr>
        <w:numId w:val="19"/>
      </w:numPr>
      <w:suppressAutoHyphens w:val="0"/>
    </w:pPr>
  </w:style>
  <w:style w:type="character" w:customStyle="1" w:styleId="FootnoteTextChar1">
    <w:name w:val="Footnote Text Char1"/>
    <w:aliases w:val="5_G Char,PP Char,5_G_6 Char,5_GR Char,Footnote Text Char Char,-E Fußnotentext Char,footnote text Char,Fußnotentext Ursprung Char,Footnote Text Char Char Char Char Char,Footnote Text1 Char,Footnote Text Char Char Char Char1,Fußn Char"/>
    <w:link w:val="FootnoteText"/>
    <w:qFormat/>
    <w:rsid w:val="00097003"/>
    <w:rPr>
      <w:sz w:val="18"/>
      <w:lang w:val="en-GB" w:eastAsia="en-US"/>
    </w:rPr>
  </w:style>
  <w:style w:type="character" w:customStyle="1" w:styleId="SingleTxtGChar">
    <w:name w:val="_ Single Txt_G Char"/>
    <w:link w:val="SingleTxtG"/>
    <w:qFormat/>
    <w:rsid w:val="0039621D"/>
    <w:rPr>
      <w:lang w:val="en-GB"/>
    </w:rPr>
  </w:style>
  <w:style w:type="character" w:customStyle="1" w:styleId="HChGChar">
    <w:name w:val="_ H _Ch_G Char"/>
    <w:link w:val="HChG"/>
    <w:qFormat/>
    <w:rsid w:val="0039621D"/>
    <w:rPr>
      <w:b/>
      <w:sz w:val="28"/>
      <w:lang w:val="en-GB"/>
    </w:rPr>
  </w:style>
  <w:style w:type="paragraph" w:styleId="NormalWeb">
    <w:name w:val="Normal (Web)"/>
    <w:basedOn w:val="Normal"/>
    <w:uiPriority w:val="99"/>
    <w:semiHidden/>
    <w:rsid w:val="008C0C40"/>
    <w:rPr>
      <w:sz w:val="24"/>
      <w:szCs w:val="24"/>
      <w:lang w:eastAsia="en-US"/>
    </w:rPr>
  </w:style>
  <w:style w:type="paragraph" w:styleId="ListParagraph">
    <w:name w:val="List Paragraph"/>
    <w:basedOn w:val="Normal"/>
    <w:uiPriority w:val="34"/>
    <w:qFormat/>
    <w:rsid w:val="008C0C40"/>
    <w:pPr>
      <w:ind w:left="720"/>
      <w:contextualSpacing/>
    </w:pPr>
    <w:rPr>
      <w:lang w:eastAsia="en-US"/>
    </w:rPr>
  </w:style>
  <w:style w:type="paragraph" w:customStyle="1" w:styleId="para">
    <w:name w:val="para"/>
    <w:basedOn w:val="Normal"/>
    <w:link w:val="paraChar"/>
    <w:qFormat/>
    <w:rsid w:val="00EC62F7"/>
    <w:pPr>
      <w:suppressAutoHyphens w:val="0"/>
      <w:spacing w:after="120"/>
      <w:ind w:left="2268" w:right="1134" w:hanging="1134"/>
      <w:jc w:val="both"/>
    </w:pPr>
    <w:rPr>
      <w:rFonts w:eastAsia="Yu Mincho"/>
      <w:snapToGrid w:val="0"/>
      <w:lang w:val="fr-FR" w:eastAsia="en-US"/>
    </w:rPr>
  </w:style>
  <w:style w:type="character" w:customStyle="1" w:styleId="paraChar">
    <w:name w:val="para Char"/>
    <w:link w:val="para"/>
    <w:rsid w:val="00EC62F7"/>
    <w:rPr>
      <w:rFonts w:eastAsia="Yu Mincho"/>
      <w:snapToGrid w:val="0"/>
      <w:lang w:eastAsia="en-US"/>
    </w:rPr>
  </w:style>
  <w:style w:type="character" w:customStyle="1" w:styleId="HeaderChar">
    <w:name w:val="Header Char"/>
    <w:aliases w:val="6_G Char"/>
    <w:link w:val="Header"/>
    <w:uiPriority w:val="99"/>
    <w:rsid w:val="00FD5357"/>
    <w:rPr>
      <w:b/>
      <w:sz w:val="18"/>
      <w:lang w:val="en-GB"/>
    </w:rPr>
  </w:style>
  <w:style w:type="character" w:styleId="CommentReference">
    <w:name w:val="annotation reference"/>
    <w:basedOn w:val="DefaultParagraphFont"/>
    <w:semiHidden/>
    <w:unhideWhenUsed/>
    <w:rsid w:val="00275B39"/>
    <w:rPr>
      <w:sz w:val="18"/>
      <w:szCs w:val="18"/>
    </w:rPr>
  </w:style>
  <w:style w:type="paragraph" w:styleId="CommentText">
    <w:name w:val="annotation text"/>
    <w:basedOn w:val="Normal"/>
    <w:link w:val="CommentTextChar"/>
    <w:unhideWhenUsed/>
    <w:rsid w:val="00275B39"/>
    <w:rPr>
      <w:rFonts w:eastAsia="MS Mincho"/>
    </w:rPr>
  </w:style>
  <w:style w:type="character" w:customStyle="1" w:styleId="CommentTextChar">
    <w:name w:val="Comment Text Char"/>
    <w:basedOn w:val="DefaultParagraphFont"/>
    <w:link w:val="CommentText"/>
    <w:rsid w:val="00275B39"/>
    <w:rPr>
      <w:rFonts w:eastAsia="MS Mincho"/>
      <w:lang w:val="en-GB"/>
    </w:rPr>
  </w:style>
  <w:style w:type="paragraph" w:customStyle="1" w:styleId="Default">
    <w:name w:val="Default"/>
    <w:rsid w:val="00AF19C2"/>
    <w:pPr>
      <w:autoSpaceDE w:val="0"/>
      <w:autoSpaceDN w:val="0"/>
      <w:adjustRightInd w:val="0"/>
    </w:pPr>
    <w:rPr>
      <w:color w:val="000000"/>
      <w:sz w:val="24"/>
      <w:szCs w:val="24"/>
      <w:lang w:val="nl-NL"/>
    </w:rPr>
  </w:style>
  <w:style w:type="paragraph" w:customStyle="1" w:styleId="Para0">
    <w:name w:val="Para"/>
    <w:basedOn w:val="Normal"/>
    <w:qFormat/>
    <w:rsid w:val="00AA2E18"/>
    <w:pPr>
      <w:suppressAutoHyphens w:val="0"/>
      <w:spacing w:after="120"/>
      <w:ind w:left="2268" w:right="1134" w:hanging="1134"/>
      <w:jc w:val="both"/>
    </w:pPr>
    <w:rPr>
      <w:lang w:eastAsia="en-US"/>
    </w:rPr>
  </w:style>
  <w:style w:type="character" w:customStyle="1" w:styleId="normaltextrun">
    <w:name w:val="normaltextrun"/>
    <w:basedOn w:val="DefaultParagraphFont"/>
    <w:rsid w:val="00CB40FB"/>
  </w:style>
  <w:style w:type="character" w:customStyle="1" w:styleId="ui-provider">
    <w:name w:val="ui-provider"/>
    <w:basedOn w:val="DefaultParagraphFont"/>
    <w:rsid w:val="00AE31A0"/>
  </w:style>
  <w:style w:type="paragraph" w:styleId="CommentSubject">
    <w:name w:val="annotation subject"/>
    <w:basedOn w:val="CommentText"/>
    <w:next w:val="CommentText"/>
    <w:link w:val="CommentSubjectChar"/>
    <w:semiHidden/>
    <w:unhideWhenUsed/>
    <w:rsid w:val="00505701"/>
    <w:pPr>
      <w:spacing w:line="240" w:lineRule="auto"/>
    </w:pPr>
    <w:rPr>
      <w:rFonts w:eastAsia="Times New Roman"/>
      <w:b/>
      <w:bCs/>
    </w:rPr>
  </w:style>
  <w:style w:type="character" w:customStyle="1" w:styleId="CommentSubjectChar">
    <w:name w:val="Comment Subject Char"/>
    <w:basedOn w:val="CommentTextChar"/>
    <w:link w:val="CommentSubject"/>
    <w:semiHidden/>
    <w:rsid w:val="00505701"/>
    <w:rPr>
      <w:rFonts w:eastAsia="MS Mincho"/>
      <w:b/>
      <w:bCs/>
      <w:lang w:val="en-GB"/>
    </w:rPr>
  </w:style>
  <w:style w:type="paragraph" w:customStyle="1" w:styleId="Level1">
    <w:name w:val="Level 1"/>
    <w:basedOn w:val="Normal"/>
    <w:rsid w:val="00E71A29"/>
    <w:pPr>
      <w:widowControl w:val="0"/>
      <w:numPr>
        <w:numId w:val="24"/>
      </w:numPr>
      <w:suppressAutoHyphens w:val="0"/>
      <w:autoSpaceDE w:val="0"/>
      <w:autoSpaceDN w:val="0"/>
      <w:adjustRightInd w:val="0"/>
      <w:spacing w:line="240" w:lineRule="auto"/>
      <w:ind w:left="720" w:hanging="720"/>
      <w:outlineLvl w:val="0"/>
    </w:pPr>
    <w:rPr>
      <w:rFonts w:ascii="Courier New" w:hAnsi="Courier New"/>
      <w:lang w:val="en-US" w:eastAsia="it-IT"/>
    </w:rPr>
  </w:style>
  <w:style w:type="table" w:customStyle="1" w:styleId="TableNormal1">
    <w:name w:val="Table Normal1"/>
    <w:uiPriority w:val="2"/>
    <w:semiHidden/>
    <w:unhideWhenUsed/>
    <w:qFormat/>
    <w:rsid w:val="00E71A2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41372"/>
    <w:rPr>
      <w:color w:val="605E5C"/>
      <w:shd w:val="clear" w:color="auto" w:fill="E1DFDD"/>
    </w:rPr>
  </w:style>
  <w:style w:type="paragraph" w:customStyle="1" w:styleId="a">
    <w:name w:val="a)"/>
    <w:basedOn w:val="para"/>
    <w:rsid w:val="002707DF"/>
    <w:pPr>
      <w:ind w:left="2835" w:hanging="567"/>
    </w:pPr>
    <w:rPr>
      <w:rFonts w:eastAsia="Times New Roman"/>
    </w:rPr>
  </w:style>
  <w:style w:type="paragraph" w:customStyle="1" w:styleId="ManualNumPar1">
    <w:name w:val="Manual NumPar 1"/>
    <w:basedOn w:val="Normal"/>
    <w:next w:val="Normal"/>
    <w:rsid w:val="002707DF"/>
    <w:pPr>
      <w:suppressAutoHyphens w:val="0"/>
      <w:spacing w:before="120" w:after="120" w:line="240" w:lineRule="auto"/>
      <w:ind w:left="851" w:hanging="851"/>
      <w:jc w:val="both"/>
    </w:pPr>
    <w:rPr>
      <w:spacing w:val="-2"/>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91391">
      <w:bodyDiv w:val="1"/>
      <w:marLeft w:val="0"/>
      <w:marRight w:val="0"/>
      <w:marTop w:val="0"/>
      <w:marBottom w:val="0"/>
      <w:divBdr>
        <w:top w:val="none" w:sz="0" w:space="0" w:color="auto"/>
        <w:left w:val="none" w:sz="0" w:space="0" w:color="auto"/>
        <w:bottom w:val="none" w:sz="0" w:space="0" w:color="auto"/>
        <w:right w:val="none" w:sz="0" w:space="0" w:color="auto"/>
      </w:divBdr>
    </w:div>
    <w:div w:id="1334650950">
      <w:bodyDiv w:val="1"/>
      <w:marLeft w:val="0"/>
      <w:marRight w:val="0"/>
      <w:marTop w:val="0"/>
      <w:marBottom w:val="0"/>
      <w:divBdr>
        <w:top w:val="none" w:sz="0" w:space="0" w:color="auto"/>
        <w:left w:val="none" w:sz="0" w:space="0" w:color="auto"/>
        <w:bottom w:val="none" w:sz="0" w:space="0" w:color="auto"/>
        <w:right w:val="none" w:sz="0" w:space="0" w:color="auto"/>
      </w:divBdr>
    </w:div>
    <w:div w:id="1586762132">
      <w:bodyDiv w:val="1"/>
      <w:marLeft w:val="0"/>
      <w:marRight w:val="0"/>
      <w:marTop w:val="0"/>
      <w:marBottom w:val="0"/>
      <w:divBdr>
        <w:top w:val="none" w:sz="0" w:space="0" w:color="auto"/>
        <w:left w:val="none" w:sz="0" w:space="0" w:color="auto"/>
        <w:bottom w:val="none" w:sz="0" w:space="0" w:color="auto"/>
        <w:right w:val="none" w:sz="0" w:space="0" w:color="auto"/>
      </w:divBdr>
    </w:div>
    <w:div w:id="206039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transport/vehicle-regulations/wp29/resoluti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8D9E9EE64AAB488C13CEE44D6996DB" ma:contentTypeVersion="15" ma:contentTypeDescription="Ein neues Dokument erstellen." ma:contentTypeScope="" ma:versionID="aaf2739fc78763c103cc5d1498d3126f">
  <xsd:schema xmlns:xsd="http://www.w3.org/2001/XMLSchema" xmlns:xs="http://www.w3.org/2001/XMLSchema" xmlns:p="http://schemas.microsoft.com/office/2006/metadata/properties" xmlns:ns3="a27b4c5c-d3d7-4159-9256-5fd7012c8795" xmlns:ns4="e37a20cc-73ee-4eac-b374-0618d48ccc46" targetNamespace="http://schemas.microsoft.com/office/2006/metadata/properties" ma:root="true" ma:fieldsID="196e5b5a248e1aa24e9a5a1c4b904bed" ns3:_="" ns4:_="">
    <xsd:import namespace="a27b4c5c-d3d7-4159-9256-5fd7012c8795"/>
    <xsd:import namespace="e37a20cc-73ee-4eac-b374-0618d48ccc4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b4c5c-d3d7-4159-9256-5fd7012c879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a20cc-73ee-4eac-b374-0618d48ccc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37a20cc-73ee-4eac-b374-0618d48ccc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7B4F8-3AAF-4E03-A70F-2B80CDB6B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b4c5c-d3d7-4159-9256-5fd7012c8795"/>
    <ds:schemaRef ds:uri="e37a20cc-73ee-4eac-b374-0618d48cc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6EB45-E912-48EF-9D24-533712A2CF5C}">
  <ds:schemaRefs>
    <ds:schemaRef ds:uri="http://schemas.microsoft.com/office/2006/metadata/properties"/>
    <ds:schemaRef ds:uri="http://schemas.microsoft.com/office/infopath/2007/PartnerControls"/>
    <ds:schemaRef ds:uri="e37a20cc-73ee-4eac-b374-0618d48ccc46"/>
  </ds:schemaRefs>
</ds:datastoreItem>
</file>

<file path=customXml/itemProps3.xml><?xml version="1.0" encoding="utf-8"?>
<ds:datastoreItem xmlns:ds="http://schemas.openxmlformats.org/officeDocument/2006/customXml" ds:itemID="{925F1D33-02E5-4103-AD58-332808425950}">
  <ds:schemaRefs>
    <ds:schemaRef ds:uri="http://schemas.microsoft.com/sharepoint/v3/contenttype/forms"/>
  </ds:schemaRefs>
</ds:datastoreItem>
</file>

<file path=customXml/itemProps4.xml><?xml version="1.0" encoding="utf-8"?>
<ds:datastoreItem xmlns:ds="http://schemas.openxmlformats.org/officeDocument/2006/customXml" ds:itemID="{5FA031CD-E306-4A91-99E7-9EF0C71BF5A2}">
  <ds:schemaRefs>
    <ds:schemaRef ds:uri="http://schemas.openxmlformats.org/officeDocument/2006/bibliography"/>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4461</Characters>
  <Application>Microsoft Office Word</Application>
  <DocSecurity>4</DocSecurity>
  <Lines>92</Lines>
  <Paragraphs>32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GRSG-129-xx</vt:lpstr>
      <vt:lpstr>GRSG-125-xx</vt:lpstr>
      <vt:lpstr/>
    </vt:vector>
  </TitlesOfParts>
  <Company>CSD</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GRSG-130-xx</dc:title>
  <dc:subject>1916529</dc:subject>
  <dc:creator>Lammers, Hans</dc:creator>
  <cp:keywords/>
  <dc:description/>
  <cp:lastModifiedBy>Edoardo Gianotti</cp:lastModifiedBy>
  <cp:revision>2</cp:revision>
  <cp:lastPrinted>2021-04-08T13:15:00Z</cp:lastPrinted>
  <dcterms:created xsi:type="dcterms:W3CDTF">2025-10-09T07:21:00Z</dcterms:created>
  <dcterms:modified xsi:type="dcterms:W3CDTF">2025-10-09T07:21:00Z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0x010100338D9E9EE64AAB488C13CEE44D6996DB</vt:lpwstr>
  </property>
  <property fmtid="{D5CDD505-2E9C-101B-9397-08002B2CF9AE}" pid="3" name="MSIP_Label_d3d538fd-7cd2-4b8b-bd42-f6ee8cc1e568_Enabled">
    <vt:lpwstr>true</vt:lpwstr>
  </property>
  <property fmtid="{D5CDD505-2E9C-101B-9397-08002B2CF9AE}" pid="4" name="MSIP_Label_d3d538fd-7cd2-4b8b-bd42-f6ee8cc1e568_SetDate">
    <vt:lpwstr>2023-03-24T10:00:36Z</vt:lpwstr>
  </property>
  <property fmtid="{D5CDD505-2E9C-101B-9397-08002B2CF9AE}" pid="5" name="MSIP_Label_d3d538fd-7cd2-4b8b-bd42-f6ee8cc1e568_Method">
    <vt:lpwstr>Standard</vt:lpwstr>
  </property>
  <property fmtid="{D5CDD505-2E9C-101B-9397-08002B2CF9AE}" pid="6" name="MSIP_Label_d3d538fd-7cd2-4b8b-bd42-f6ee8cc1e568_Name">
    <vt:lpwstr>d3d538fd-7cd2-4b8b-bd42-f6ee8cc1e568</vt:lpwstr>
  </property>
  <property fmtid="{D5CDD505-2E9C-101B-9397-08002B2CF9AE}" pid="7" name="MSIP_Label_d3d538fd-7cd2-4b8b-bd42-f6ee8cc1e568_SiteId">
    <vt:lpwstr>255bd3b3-8412-4e31-a3ec-56916c7ae8c0</vt:lpwstr>
  </property>
  <property fmtid="{D5CDD505-2E9C-101B-9397-08002B2CF9AE}" pid="8" name="MSIP_Label_d3d538fd-7cd2-4b8b-bd42-f6ee8cc1e568_ActionId">
    <vt:lpwstr>d349f1d0-d000-46ab-a456-12485d6e2636</vt:lpwstr>
  </property>
  <property fmtid="{D5CDD505-2E9C-101B-9397-08002B2CF9AE}" pid="9" name="MSIP_Label_d3d538fd-7cd2-4b8b-bd42-f6ee8cc1e568_ContentBits">
    <vt:lpwstr>0</vt:lpwstr>
  </property>
</Properties>
</file>