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923" w:type="dxa"/>
        <w:tblLayout w:type="fixed"/>
        <w:tblCellMar>
          <w:left w:w="0" w:type="dxa"/>
          <w:right w:w="0" w:type="dxa"/>
        </w:tblCellMar>
        <w:tblLook w:val="01E0" w:firstRow="1" w:lastRow="1" w:firstColumn="1" w:lastColumn="1" w:noHBand="0" w:noVBand="0"/>
      </w:tblPr>
      <w:tblGrid>
        <w:gridCol w:w="1560"/>
        <w:gridCol w:w="2268"/>
        <w:gridCol w:w="3260"/>
        <w:gridCol w:w="2835"/>
      </w:tblGrid>
      <w:tr w:rsidR="00AF2205" w:rsidRPr="005803F2" w14:paraId="5E6019B8" w14:textId="77777777" w:rsidTr="007F21F2">
        <w:trPr>
          <w:cantSplit/>
          <w:trHeight w:hRule="exact" w:val="851"/>
        </w:trPr>
        <w:tc>
          <w:tcPr>
            <w:tcW w:w="1560" w:type="dxa"/>
            <w:tcBorders>
              <w:bottom w:val="single" w:sz="4" w:space="0" w:color="auto"/>
            </w:tcBorders>
            <w:vAlign w:val="bottom"/>
          </w:tcPr>
          <w:p w14:paraId="6A76E55D" w14:textId="084A6E7A" w:rsidR="00AF2205" w:rsidRPr="00CE68C4" w:rsidRDefault="004A53A1" w:rsidP="00DB57ED">
            <w:pPr>
              <w:spacing w:after="80"/>
              <w:rPr>
                <w:lang w:val="en-GB"/>
              </w:rPr>
            </w:pPr>
            <w:r w:rsidRPr="00CE68C4">
              <w:rPr>
                <w:lang w:val="en-GB"/>
              </w:rPr>
              <w:t>Submitted by the IW</w:t>
            </w:r>
            <w:r w:rsidR="007B4EEF" w:rsidRPr="00CE68C4">
              <w:rPr>
                <w:lang w:val="en-GB"/>
              </w:rPr>
              <w:t>G on EVE</w:t>
            </w:r>
          </w:p>
        </w:tc>
        <w:tc>
          <w:tcPr>
            <w:tcW w:w="2268" w:type="dxa"/>
            <w:tcBorders>
              <w:bottom w:val="single" w:sz="4" w:space="0" w:color="auto"/>
            </w:tcBorders>
            <w:vAlign w:val="bottom"/>
          </w:tcPr>
          <w:p w14:paraId="6E49FF44" w14:textId="2F875F6D" w:rsidR="00AF2205" w:rsidRPr="00CE68C4" w:rsidRDefault="00AF2205" w:rsidP="00DB57ED">
            <w:pPr>
              <w:spacing w:after="80" w:line="300" w:lineRule="exact"/>
              <w:rPr>
                <w:b/>
                <w:sz w:val="24"/>
                <w:szCs w:val="24"/>
                <w:lang w:val="en-GB"/>
              </w:rPr>
            </w:pPr>
          </w:p>
        </w:tc>
        <w:tc>
          <w:tcPr>
            <w:tcW w:w="6095" w:type="dxa"/>
            <w:gridSpan w:val="2"/>
            <w:tcBorders>
              <w:bottom w:val="single" w:sz="4" w:space="0" w:color="auto"/>
            </w:tcBorders>
            <w:vAlign w:val="bottom"/>
          </w:tcPr>
          <w:p w14:paraId="1F006FCF" w14:textId="592F853D" w:rsidR="00F44EAA" w:rsidRPr="005803F2" w:rsidRDefault="00F44EAA" w:rsidP="00F44EAA">
            <w:pPr>
              <w:jc w:val="right"/>
              <w:rPr>
                <w:lang w:val="en-GB"/>
              </w:rPr>
            </w:pPr>
            <w:r w:rsidRPr="005803F2">
              <w:rPr>
                <w:lang w:val="en-GB"/>
              </w:rPr>
              <w:t xml:space="preserve">Informal document </w:t>
            </w:r>
            <w:r w:rsidRPr="005803F2">
              <w:rPr>
                <w:b/>
                <w:lang w:val="en-GB"/>
              </w:rPr>
              <w:t>GRPE-</w:t>
            </w:r>
            <w:r w:rsidR="00453AEE" w:rsidRPr="005803F2">
              <w:rPr>
                <w:b/>
                <w:lang w:val="en-GB"/>
              </w:rPr>
              <w:t>92</w:t>
            </w:r>
            <w:r w:rsidRPr="005803F2">
              <w:rPr>
                <w:b/>
                <w:lang w:val="en-GB"/>
              </w:rPr>
              <w:t>-</w:t>
            </w:r>
            <w:r w:rsidR="00453AEE" w:rsidRPr="005803F2">
              <w:rPr>
                <w:b/>
                <w:lang w:val="en-GB"/>
              </w:rPr>
              <w:t>xx</w:t>
            </w:r>
          </w:p>
          <w:p w14:paraId="6ECE0A66" w14:textId="2550831C" w:rsidR="00F44EAA" w:rsidRPr="005803F2" w:rsidRDefault="00453AEE" w:rsidP="00F44EAA">
            <w:pPr>
              <w:widowControl w:val="0"/>
              <w:tabs>
                <w:tab w:val="center" w:pos="4677"/>
                <w:tab w:val="right" w:pos="9355"/>
              </w:tabs>
              <w:ind w:left="567"/>
              <w:jc w:val="right"/>
              <w:rPr>
                <w:rFonts w:eastAsia="HGSGothicM"/>
                <w:kern w:val="2"/>
                <w:lang w:val="en-GB" w:eastAsia="ko-KR"/>
              </w:rPr>
            </w:pPr>
            <w:r w:rsidRPr="005803F2">
              <w:rPr>
                <w:rFonts w:eastAsia="HGSGothicM"/>
                <w:kern w:val="2"/>
                <w:lang w:val="en-GB" w:eastAsia="ar-SA"/>
              </w:rPr>
              <w:t>92</w:t>
            </w:r>
            <w:r w:rsidRPr="005803F2">
              <w:rPr>
                <w:rFonts w:eastAsia="HGSGothicM"/>
                <w:kern w:val="2"/>
                <w:vertAlign w:val="superscript"/>
                <w:lang w:val="en-GB" w:eastAsia="ja-JP"/>
              </w:rPr>
              <w:t>nd</w:t>
            </w:r>
            <w:r w:rsidR="00F44EAA" w:rsidRPr="005803F2">
              <w:rPr>
                <w:rFonts w:eastAsia="HGSGothicM"/>
                <w:kern w:val="2"/>
                <w:lang w:val="en-GB" w:eastAsia="ar-SA"/>
              </w:rPr>
              <w:t xml:space="preserve"> GRPE, </w:t>
            </w:r>
            <w:r w:rsidRPr="005803F2">
              <w:rPr>
                <w:rFonts w:eastAsia="HGSGothicM"/>
                <w:kern w:val="2"/>
                <w:lang w:val="en-GB" w:eastAsia="ar-SA"/>
              </w:rPr>
              <w:t>25-28 March 2025</w:t>
            </w:r>
            <w:r w:rsidR="00F44EAA" w:rsidRPr="005803F2">
              <w:rPr>
                <w:rFonts w:eastAsia="HGSGothicM"/>
                <w:kern w:val="2"/>
                <w:lang w:val="en-GB" w:eastAsia="ko-KR"/>
              </w:rPr>
              <w:t xml:space="preserve">, </w:t>
            </w:r>
          </w:p>
          <w:p w14:paraId="27D2D5C8" w14:textId="69336310" w:rsidR="00AF2205" w:rsidRPr="005803F2" w:rsidRDefault="00F44EAA" w:rsidP="00453AEE">
            <w:pPr>
              <w:jc w:val="right"/>
              <w:rPr>
                <w:lang w:val="en-GB"/>
              </w:rPr>
            </w:pPr>
            <w:r w:rsidRPr="005803F2">
              <w:rPr>
                <w:rFonts w:eastAsia="HGSGothicM"/>
                <w:kern w:val="2"/>
                <w:lang w:val="en-GB" w:eastAsia="ko-KR"/>
              </w:rPr>
              <w:t xml:space="preserve"> </w:t>
            </w:r>
            <w:r w:rsidRPr="005803F2">
              <w:rPr>
                <w:rFonts w:eastAsia="HGSGothicM"/>
                <w:kern w:val="2"/>
                <w:lang w:val="en-GB" w:eastAsia="ar-SA"/>
              </w:rPr>
              <w:t>agenda item</w:t>
            </w:r>
            <w:r w:rsidRPr="005803F2">
              <w:rPr>
                <w:rFonts w:eastAsia="HGSGothicM"/>
                <w:kern w:val="2"/>
                <w:lang w:val="en-GB" w:eastAsia="ja-JP"/>
              </w:rPr>
              <w:t xml:space="preserve"> </w:t>
            </w:r>
            <w:r w:rsidR="00453AEE" w:rsidRPr="005803F2">
              <w:rPr>
                <w:rFonts w:eastAsia="HGSGothicM"/>
                <w:kern w:val="2"/>
                <w:lang w:val="en-GB" w:eastAsia="ja-JP"/>
              </w:rPr>
              <w:t>9</w:t>
            </w:r>
            <w:r w:rsidRPr="005803F2">
              <w:rPr>
                <w:rFonts w:eastAsia="HGSGothicM"/>
                <w:kern w:val="2"/>
                <w:lang w:val="en-GB" w:eastAsia="ja-JP"/>
              </w:rPr>
              <w:t>(</w:t>
            </w:r>
            <w:r w:rsidR="00667294" w:rsidRPr="005803F2">
              <w:rPr>
                <w:rFonts w:eastAsia="HGSGothicM"/>
                <w:kern w:val="2"/>
                <w:lang w:val="en-GB" w:eastAsia="ja-JP"/>
              </w:rPr>
              <w:t>a</w:t>
            </w:r>
            <w:r w:rsidRPr="005803F2">
              <w:rPr>
                <w:rFonts w:eastAsia="HGSGothicM"/>
                <w:kern w:val="2"/>
                <w:lang w:val="en-GB" w:eastAsia="ja-JP"/>
              </w:rPr>
              <w:t>)</w:t>
            </w:r>
          </w:p>
        </w:tc>
      </w:tr>
      <w:tr w:rsidR="00AF2205" w:rsidRPr="005803F2" w14:paraId="01283A48" w14:textId="77777777" w:rsidTr="007F21F2">
        <w:trPr>
          <w:cantSplit/>
          <w:trHeight w:hRule="exact" w:val="2835"/>
        </w:trPr>
        <w:tc>
          <w:tcPr>
            <w:tcW w:w="1560" w:type="dxa"/>
            <w:tcBorders>
              <w:top w:val="single" w:sz="4" w:space="0" w:color="auto"/>
              <w:bottom w:val="single" w:sz="12" w:space="0" w:color="auto"/>
            </w:tcBorders>
          </w:tcPr>
          <w:p w14:paraId="27C78D4C" w14:textId="4925E050" w:rsidR="00AF2205" w:rsidRPr="005803F2" w:rsidRDefault="00AF2205" w:rsidP="00DB57ED">
            <w:pPr>
              <w:spacing w:before="120"/>
              <w:rPr>
                <w:lang w:val="en-GB"/>
              </w:rPr>
            </w:pPr>
          </w:p>
        </w:tc>
        <w:tc>
          <w:tcPr>
            <w:tcW w:w="5528" w:type="dxa"/>
            <w:gridSpan w:val="2"/>
            <w:tcBorders>
              <w:top w:val="single" w:sz="4" w:space="0" w:color="auto"/>
              <w:bottom w:val="single" w:sz="12" w:space="0" w:color="auto"/>
            </w:tcBorders>
          </w:tcPr>
          <w:p w14:paraId="2D847434" w14:textId="4D1B4942" w:rsidR="00AF2205" w:rsidRPr="005803F2" w:rsidRDefault="00AF2205" w:rsidP="00DB57ED">
            <w:pPr>
              <w:spacing w:before="120" w:line="420" w:lineRule="exact"/>
              <w:rPr>
                <w:sz w:val="40"/>
                <w:szCs w:val="40"/>
                <w:lang w:val="en-GB"/>
              </w:rPr>
            </w:pPr>
          </w:p>
        </w:tc>
        <w:tc>
          <w:tcPr>
            <w:tcW w:w="2835" w:type="dxa"/>
            <w:tcBorders>
              <w:top w:val="single" w:sz="4" w:space="0" w:color="auto"/>
              <w:bottom w:val="single" w:sz="12" w:space="0" w:color="auto"/>
            </w:tcBorders>
          </w:tcPr>
          <w:p w14:paraId="1E280A84" w14:textId="39093B26" w:rsidR="00184D5F" w:rsidRPr="005803F2" w:rsidRDefault="00184D5F" w:rsidP="00EB5434">
            <w:pPr>
              <w:spacing w:line="240" w:lineRule="exact"/>
              <w:rPr>
                <w:lang w:val="en-GB"/>
              </w:rPr>
            </w:pPr>
          </w:p>
        </w:tc>
      </w:tr>
    </w:tbl>
    <w:p w14:paraId="2D8DFF79" w14:textId="13F26AFD" w:rsidR="00852B4D" w:rsidRPr="005803F2" w:rsidRDefault="00852B4D" w:rsidP="00852B4D">
      <w:pPr>
        <w:spacing w:before="120" w:after="120" w:line="360" w:lineRule="auto"/>
        <w:ind w:left="1134" w:right="567"/>
        <w:rPr>
          <w:b/>
          <w:sz w:val="28"/>
          <w:szCs w:val="28"/>
          <w:lang w:val="en-GB"/>
        </w:rPr>
      </w:pPr>
      <w:r w:rsidRPr="005803F2">
        <w:rPr>
          <w:b/>
          <w:sz w:val="28"/>
          <w:szCs w:val="28"/>
          <w:lang w:val="en-GB"/>
        </w:rPr>
        <w:t xml:space="preserve">Proposal for a technical report on the development of a new </w:t>
      </w:r>
      <w:r w:rsidR="00440AA6" w:rsidRPr="005803F2">
        <w:rPr>
          <w:b/>
          <w:sz w:val="28"/>
          <w:szCs w:val="28"/>
          <w:lang w:val="en-GB"/>
        </w:rPr>
        <w:t>UN G</w:t>
      </w:r>
      <w:r w:rsidRPr="005803F2">
        <w:rPr>
          <w:b/>
          <w:sz w:val="28"/>
          <w:szCs w:val="28"/>
          <w:lang w:val="en-GB"/>
        </w:rPr>
        <w:t xml:space="preserve">lobal </w:t>
      </w:r>
      <w:r w:rsidR="00440AA6" w:rsidRPr="005803F2">
        <w:rPr>
          <w:b/>
          <w:sz w:val="28"/>
          <w:szCs w:val="28"/>
          <w:lang w:val="en-GB"/>
        </w:rPr>
        <w:t>T</w:t>
      </w:r>
      <w:r w:rsidRPr="005803F2">
        <w:rPr>
          <w:b/>
          <w:sz w:val="28"/>
          <w:szCs w:val="28"/>
          <w:lang w:val="en-GB"/>
        </w:rPr>
        <w:t xml:space="preserve">echnical </w:t>
      </w:r>
      <w:r w:rsidR="00440AA6" w:rsidRPr="005803F2">
        <w:rPr>
          <w:b/>
          <w:sz w:val="28"/>
          <w:szCs w:val="28"/>
          <w:lang w:val="en-GB"/>
        </w:rPr>
        <w:t>R</w:t>
      </w:r>
      <w:r w:rsidRPr="005803F2">
        <w:rPr>
          <w:b/>
          <w:sz w:val="28"/>
          <w:szCs w:val="28"/>
          <w:lang w:val="en-GB"/>
        </w:rPr>
        <w:t>egulation on In-Vehicle Battery Durability</w:t>
      </w:r>
      <w:r w:rsidR="0035447D" w:rsidRPr="005803F2">
        <w:rPr>
          <w:b/>
          <w:sz w:val="28"/>
          <w:szCs w:val="28"/>
          <w:lang w:val="en-GB"/>
        </w:rPr>
        <w:t xml:space="preserve"> for Electrified </w:t>
      </w:r>
      <w:r w:rsidR="00453AEE" w:rsidRPr="005803F2">
        <w:rPr>
          <w:b/>
          <w:sz w:val="28"/>
          <w:szCs w:val="28"/>
          <w:lang w:val="en-GB"/>
        </w:rPr>
        <w:t xml:space="preserve">Heavy-Duty </w:t>
      </w:r>
      <w:r w:rsidR="0035447D" w:rsidRPr="005803F2">
        <w:rPr>
          <w:b/>
          <w:sz w:val="28"/>
          <w:szCs w:val="28"/>
          <w:lang w:val="en-GB"/>
        </w:rPr>
        <w:t>Vehicles</w:t>
      </w:r>
    </w:p>
    <w:p w14:paraId="30F3D41D" w14:textId="66617DB2" w:rsidR="00014AF2" w:rsidRPr="005803F2" w:rsidRDefault="00014AF2" w:rsidP="00014AF2">
      <w:pPr>
        <w:pStyle w:val="Default"/>
        <w:ind w:left="1134"/>
        <w:rPr>
          <w:b/>
          <w:bCs/>
          <w:sz w:val="18"/>
          <w:szCs w:val="18"/>
          <w:lang w:val="en-GB"/>
        </w:rPr>
      </w:pPr>
      <w:r w:rsidRPr="005803F2">
        <w:rPr>
          <w:sz w:val="20"/>
          <w:szCs w:val="20"/>
          <w:lang w:val="en-GB"/>
        </w:rPr>
        <w:t xml:space="preserve">This document provides proposed text for a </w:t>
      </w:r>
      <w:r w:rsidR="002B3F15" w:rsidRPr="005803F2">
        <w:rPr>
          <w:sz w:val="20"/>
          <w:szCs w:val="20"/>
          <w:lang w:val="en-GB"/>
        </w:rPr>
        <w:t>technical report to accompany the propos</w:t>
      </w:r>
      <w:r w:rsidR="00C61DD7" w:rsidRPr="005803F2">
        <w:rPr>
          <w:sz w:val="20"/>
          <w:szCs w:val="20"/>
          <w:lang w:val="en-GB"/>
        </w:rPr>
        <w:t>e</w:t>
      </w:r>
      <w:r w:rsidR="002B3F15" w:rsidRPr="005803F2">
        <w:rPr>
          <w:sz w:val="20"/>
          <w:szCs w:val="20"/>
          <w:lang w:val="en-GB"/>
        </w:rPr>
        <w:t>d GTR on In</w:t>
      </w:r>
      <w:r w:rsidR="000A3F9C" w:rsidRPr="005803F2">
        <w:rPr>
          <w:sz w:val="20"/>
          <w:szCs w:val="20"/>
          <w:lang w:val="en-GB"/>
        </w:rPr>
        <w:noBreakHyphen/>
      </w:r>
      <w:r w:rsidR="002B3F15" w:rsidRPr="005803F2">
        <w:rPr>
          <w:sz w:val="20"/>
          <w:szCs w:val="20"/>
          <w:lang w:val="en-GB"/>
        </w:rPr>
        <w:t xml:space="preserve">Vehicle Battery Durability for Electrified </w:t>
      </w:r>
      <w:r w:rsidR="00453AEE" w:rsidRPr="005803F2">
        <w:rPr>
          <w:sz w:val="20"/>
          <w:szCs w:val="20"/>
          <w:lang w:val="en-GB"/>
        </w:rPr>
        <w:t xml:space="preserve">Heavy-Duty </w:t>
      </w:r>
      <w:r w:rsidR="002B3F15" w:rsidRPr="005803F2">
        <w:rPr>
          <w:sz w:val="20"/>
          <w:szCs w:val="20"/>
          <w:lang w:val="en-GB"/>
        </w:rPr>
        <w:t>Vehicles</w:t>
      </w:r>
      <w:r w:rsidRPr="005803F2">
        <w:rPr>
          <w:sz w:val="20"/>
          <w:szCs w:val="20"/>
          <w:lang w:val="en-GB"/>
        </w:rPr>
        <w:t>.</w:t>
      </w:r>
    </w:p>
    <w:p w14:paraId="5D15A271" w14:textId="77777777" w:rsidR="00014AF2" w:rsidRPr="005803F2" w:rsidRDefault="00014AF2" w:rsidP="00014AF2">
      <w:pPr>
        <w:pStyle w:val="SingleTxtG"/>
        <w:rPr>
          <w:lang w:val="en-GB"/>
        </w:rPr>
      </w:pPr>
    </w:p>
    <w:p w14:paraId="48FC69C0" w14:textId="0307CB79" w:rsidR="0024566B" w:rsidRPr="005803F2" w:rsidRDefault="00293F81" w:rsidP="00F62FE3">
      <w:pPr>
        <w:pStyle w:val="SingleTxtG"/>
        <w:ind w:firstLine="567"/>
        <w:rPr>
          <w:lang w:val="en-GB"/>
        </w:rPr>
      </w:pPr>
      <w:r w:rsidRPr="005803F2">
        <w:rPr>
          <w:lang w:val="en-GB"/>
        </w:rPr>
        <w:br w:type="page"/>
      </w:r>
    </w:p>
    <w:p w14:paraId="6FF762D9" w14:textId="5FC0D066" w:rsidR="00605A76" w:rsidRPr="005803F2" w:rsidRDefault="00014AF2" w:rsidP="001D31F0">
      <w:pPr>
        <w:pStyle w:val="HChG"/>
        <w:rPr>
          <w:lang w:val="en-GB"/>
        </w:rPr>
      </w:pPr>
      <w:r w:rsidRPr="005803F2">
        <w:rPr>
          <w:lang w:val="en-GB"/>
        </w:rPr>
        <w:lastRenderedPageBreak/>
        <w:t>Proposal</w:t>
      </w:r>
      <w:r w:rsidR="007E2DFE" w:rsidRPr="005803F2">
        <w:rPr>
          <w:lang w:val="en-GB"/>
        </w:rPr>
        <w:tab/>
      </w:r>
    </w:p>
    <w:p w14:paraId="0196E928" w14:textId="0F3499A7" w:rsidR="004D139B" w:rsidRPr="005803F2" w:rsidRDefault="00156431" w:rsidP="001D31F0">
      <w:pPr>
        <w:pStyle w:val="HChG"/>
        <w:rPr>
          <w:b w:val="0"/>
          <w:bCs/>
          <w:sz w:val="24"/>
          <w:szCs w:val="24"/>
          <w:lang w:val="en-GB"/>
        </w:rPr>
      </w:pPr>
      <w:r w:rsidRPr="005803F2">
        <w:rPr>
          <w:lang w:val="en-GB"/>
        </w:rPr>
        <w:t>I.</w:t>
      </w:r>
      <w:r w:rsidRPr="005803F2">
        <w:rPr>
          <w:lang w:val="en-GB"/>
        </w:rPr>
        <w:tab/>
      </w:r>
      <w:r w:rsidRPr="005803F2">
        <w:rPr>
          <w:lang w:val="en-GB"/>
        </w:rPr>
        <w:tab/>
      </w:r>
      <w:r w:rsidR="004D139B" w:rsidRPr="005803F2">
        <w:rPr>
          <w:bCs/>
          <w:sz w:val="24"/>
          <w:szCs w:val="24"/>
          <w:lang w:val="en-GB"/>
        </w:rPr>
        <w:t>Introduction</w:t>
      </w:r>
    </w:p>
    <w:p w14:paraId="2A743212" w14:textId="30268C65" w:rsidR="001F4D53" w:rsidRPr="005803F2" w:rsidRDefault="0090452B" w:rsidP="001F4D53">
      <w:pPr>
        <w:pStyle w:val="SingleTxtG"/>
        <w:rPr>
          <w:lang w:val="en-GB"/>
        </w:rPr>
      </w:pPr>
      <w:r w:rsidRPr="005803F2">
        <w:rPr>
          <w:lang w:val="en-GB"/>
        </w:rPr>
        <w:t>1.</w:t>
      </w:r>
      <w:r w:rsidRPr="005803F2">
        <w:rPr>
          <w:lang w:val="en-GB"/>
        </w:rPr>
        <w:tab/>
      </w:r>
      <w:r w:rsidR="001F4D53" w:rsidRPr="005803F2">
        <w:rPr>
          <w:lang w:val="en-GB"/>
        </w:rPr>
        <w:t xml:space="preserve">Owing to the pressing need to reduce emissions of greenhouse gases (GHG) and other air pollutants, the market share of electrified vehicles is expected to grow in the future. A key component of these vehicles is the traction battery that is used to store and deliver energy to power the movement of the vehicle and the systems within it. Improvements in the performance of batteries to deliver increased driving range, reduced charging times and greater affordability are a significant focus for manufacturers and technological developments in this area are expected to accelerate the uptake of electrified vehicles by consumers. </w:t>
      </w:r>
    </w:p>
    <w:p w14:paraId="415A2B33" w14:textId="2A467551" w:rsidR="001F4D53" w:rsidRPr="005803F2" w:rsidRDefault="004D139B" w:rsidP="001F4D53">
      <w:pPr>
        <w:pStyle w:val="SingleTxtG"/>
        <w:rPr>
          <w:lang w:val="en-GB"/>
        </w:rPr>
      </w:pPr>
      <w:r w:rsidRPr="005803F2">
        <w:rPr>
          <w:lang w:val="en-GB"/>
        </w:rPr>
        <w:t>2.</w:t>
      </w:r>
      <w:r w:rsidRPr="005803F2">
        <w:rPr>
          <w:lang w:val="en-GB"/>
        </w:rPr>
        <w:tab/>
      </w:r>
      <w:r w:rsidR="001F4D53" w:rsidRPr="005803F2">
        <w:rPr>
          <w:lang w:val="en-GB"/>
        </w:rPr>
        <w:t xml:space="preserve">The primary motivation for this GTR stems from the recognition that the environmental performance of electrified vehicles may be affected by excess degradation of the battery system over time. Currently, the United Nations Global Technical Regulation No. 22 specifies test procedures and minimum performance requirements for the battery durability of electrified light-duty vehicles. As electrification is also extending to heavy-duty vehicles, such as buses, coaches and trucks, there is a need to consider battery degradation in the context of these vehicles as well. One key difference between light-duty and heavy-duty vehicles is that for several truck categories, a significant share of the energy stored in the vehicle </w:t>
      </w:r>
      <w:r w:rsidR="006E6AED">
        <w:rPr>
          <w:lang w:val="en-GB"/>
        </w:rPr>
        <w:t>may be</w:t>
      </w:r>
      <w:r w:rsidR="001F4D53" w:rsidRPr="005803F2">
        <w:rPr>
          <w:lang w:val="en-GB"/>
        </w:rPr>
        <w:t xml:space="preserve"> used for purposes other than propulsion. For example, for cooling, in the case of refrigerated trucks for the transport of </w:t>
      </w:r>
      <w:proofErr w:type="spellStart"/>
      <w:r w:rsidR="006E6AED" w:rsidRPr="007C659A">
        <w:t>perishable</w:t>
      </w:r>
      <w:proofErr w:type="spellEnd"/>
      <w:r w:rsidR="006E6AED" w:rsidRPr="007C659A">
        <w:t xml:space="preserve"> </w:t>
      </w:r>
      <w:proofErr w:type="spellStart"/>
      <w:r w:rsidR="006E6AED" w:rsidRPr="007C659A">
        <w:t>goods</w:t>
      </w:r>
      <w:proofErr w:type="spellEnd"/>
      <w:r w:rsidR="006E6AED">
        <w:t xml:space="preserve"> </w:t>
      </w:r>
      <w:r w:rsidR="001F4D53" w:rsidRPr="005803F2">
        <w:rPr>
          <w:lang w:val="en-GB"/>
        </w:rPr>
        <w:t xml:space="preserve"> or certain medical supplies; or to mix concrete in the case of concrete mixers. Another difference is the greater diversity of powertrain configurations and applications. The present GTR builds on the GTR No. 22 by providing test procedures and minimum performance requirements for the battery durability of electrified heavy-duty vehicles.  </w:t>
      </w:r>
    </w:p>
    <w:p w14:paraId="10828697" w14:textId="3E38A555" w:rsidR="001F4D53" w:rsidRPr="005803F2" w:rsidRDefault="004D139B" w:rsidP="001F4D53">
      <w:pPr>
        <w:pStyle w:val="SingleTxtG"/>
        <w:rPr>
          <w:lang w:val="en-GB"/>
        </w:rPr>
      </w:pPr>
      <w:r w:rsidRPr="005803F2">
        <w:rPr>
          <w:lang w:val="en-GB"/>
        </w:rPr>
        <w:t>3.</w:t>
      </w:r>
      <w:r w:rsidRPr="005803F2">
        <w:rPr>
          <w:lang w:val="en-GB"/>
        </w:rPr>
        <w:tab/>
      </w:r>
      <w:r w:rsidR="001F4D53" w:rsidRPr="005803F2">
        <w:rPr>
          <w:lang w:val="en-GB"/>
        </w:rPr>
        <w:t xml:space="preserve">Loss of vehicle usable battery energy and loss of electric range are both primary concerns for electric vehicles. Loss of electric range could lead to a loss of utility, meaning affected vehicles might be driven less and therefore displace less distance travelled </w:t>
      </w:r>
      <w:r w:rsidR="006E6AED" w:rsidRPr="006E6AED">
        <w:rPr>
          <w:lang w:val="en-GB"/>
        </w:rPr>
        <w:t xml:space="preserve">that might otherwise be driven </w:t>
      </w:r>
      <w:r w:rsidR="001F4D53" w:rsidRPr="005803F2">
        <w:rPr>
          <w:lang w:val="en-GB"/>
        </w:rPr>
        <w:t>by conventional vehicles. Loss of vehicle efficiency could affect upstream emissions by increasing the amount of electricity needed per vehicle distance travelled. Both can affect not only the utility of the vehicle to the consumer, but also the environmental performance of the vehicle. Loss of environmental performance is of particular concern because governmental regulatory compliance programs often credit electrified vehicles with a certain level of expected environmental benefit, which might not be realized over the lifetime of the vehicle if excess battery degradation occurs.</w:t>
      </w:r>
    </w:p>
    <w:p w14:paraId="03F0FCF5" w14:textId="29E9A656" w:rsidR="001F4D53" w:rsidRPr="005803F2" w:rsidRDefault="0090452B" w:rsidP="001F4D53">
      <w:pPr>
        <w:spacing w:after="120"/>
        <w:ind w:left="1134" w:right="1134"/>
        <w:jc w:val="both"/>
        <w:rPr>
          <w:color w:val="000000"/>
          <w:lang w:val="en-GB"/>
        </w:rPr>
      </w:pPr>
      <w:r w:rsidRPr="005803F2">
        <w:rPr>
          <w:lang w:val="en-GB"/>
        </w:rPr>
        <w:t>4</w:t>
      </w:r>
      <w:r w:rsidR="004D139B" w:rsidRPr="005803F2">
        <w:rPr>
          <w:lang w:val="en-GB"/>
        </w:rPr>
        <w:t>.</w:t>
      </w:r>
      <w:r w:rsidR="004D139B" w:rsidRPr="005803F2">
        <w:rPr>
          <w:lang w:val="en-GB"/>
        </w:rPr>
        <w:tab/>
      </w:r>
      <w:r w:rsidR="001F4D53" w:rsidRPr="005803F2">
        <w:rPr>
          <w:lang w:val="en-GB"/>
        </w:rPr>
        <w:t xml:space="preserve">This GTR therefore aims to provide a </w:t>
      </w:r>
      <w:r w:rsidR="002E6450" w:rsidRPr="005803F2">
        <w:rPr>
          <w:lang w:val="en-GB"/>
        </w:rPr>
        <w:t>harmoni</w:t>
      </w:r>
      <w:r w:rsidR="001D1FF2" w:rsidRPr="005803F2">
        <w:rPr>
          <w:lang w:val="en-GB"/>
        </w:rPr>
        <w:t>s</w:t>
      </w:r>
      <w:r w:rsidR="002E6450" w:rsidRPr="005803F2">
        <w:rPr>
          <w:lang w:val="en-GB"/>
        </w:rPr>
        <w:t>ed</w:t>
      </w:r>
      <w:r w:rsidR="001F4D53" w:rsidRPr="005803F2">
        <w:rPr>
          <w:lang w:val="en-GB"/>
        </w:rPr>
        <w:t xml:space="preserve"> methodology to address these concerns by introducing a method by which the health of the battery can be monitored over time and introducing minimum performance requirements for the durability of the battery in an optional annex. </w:t>
      </w:r>
      <w:r w:rsidR="001F4D53" w:rsidRPr="005803F2">
        <w:rPr>
          <w:color w:val="000000"/>
          <w:lang w:val="en-GB"/>
        </w:rPr>
        <w:t>In order to address regional considerations, a Contracting Party may optionally elect to enforce Minimum Performance Requirements (</w:t>
      </w:r>
      <w:proofErr w:type="spellStart"/>
      <w:r w:rsidR="001F4D53" w:rsidRPr="005803F2">
        <w:rPr>
          <w:color w:val="000000"/>
          <w:lang w:val="en-GB"/>
        </w:rPr>
        <w:t>MPR</w:t>
      </w:r>
      <w:r w:rsidR="001F4D53" w:rsidRPr="005803F2">
        <w:rPr>
          <w:i/>
          <w:color w:val="000000"/>
          <w:lang w:val="en-GB"/>
        </w:rPr>
        <w:t>i</w:t>
      </w:r>
      <w:proofErr w:type="spellEnd"/>
      <w:r w:rsidR="001F4D53" w:rsidRPr="005803F2">
        <w:rPr>
          <w:color w:val="000000"/>
          <w:lang w:val="en-GB"/>
        </w:rPr>
        <w:t>) from these tables.</w:t>
      </w:r>
    </w:p>
    <w:p w14:paraId="570B0A1F" w14:textId="77777777" w:rsidR="001F4D53" w:rsidRPr="005803F2" w:rsidRDefault="001F4D53" w:rsidP="001F4D53">
      <w:pPr>
        <w:spacing w:after="120"/>
        <w:ind w:left="1134" w:right="1134"/>
        <w:jc w:val="both"/>
        <w:rPr>
          <w:color w:val="000000"/>
          <w:lang w:val="en-GB"/>
        </w:rPr>
      </w:pPr>
    </w:p>
    <w:p w14:paraId="5BC6F0AC" w14:textId="4F24EFA9" w:rsidR="004D139B" w:rsidRPr="005803F2" w:rsidRDefault="007278D7" w:rsidP="001F4D53">
      <w:pPr>
        <w:spacing w:after="120"/>
        <w:ind w:left="1134" w:right="1134"/>
        <w:jc w:val="both"/>
        <w:rPr>
          <w:b/>
          <w:bCs/>
          <w:sz w:val="24"/>
          <w:szCs w:val="24"/>
          <w:lang w:val="en-GB"/>
        </w:rPr>
      </w:pPr>
      <w:r w:rsidRPr="005803F2">
        <w:rPr>
          <w:b/>
          <w:sz w:val="28"/>
          <w:lang w:val="en-GB"/>
        </w:rPr>
        <w:t>II.</w:t>
      </w:r>
      <w:r w:rsidRPr="005803F2">
        <w:rPr>
          <w:b/>
          <w:sz w:val="28"/>
          <w:lang w:val="en-GB"/>
        </w:rPr>
        <w:tab/>
      </w:r>
      <w:r w:rsidR="004D139B" w:rsidRPr="005803F2">
        <w:rPr>
          <w:b/>
          <w:bCs/>
          <w:sz w:val="24"/>
          <w:szCs w:val="24"/>
          <w:lang w:val="en-GB"/>
        </w:rPr>
        <w:t>Procedural background</w:t>
      </w:r>
    </w:p>
    <w:p w14:paraId="6DEC27A9" w14:textId="039F0132" w:rsidR="001F4D53" w:rsidRPr="005803F2" w:rsidRDefault="0090452B" w:rsidP="001F4D53">
      <w:pPr>
        <w:pStyle w:val="SingleTxtG"/>
        <w:rPr>
          <w:lang w:val="en-GB"/>
        </w:rPr>
      </w:pPr>
      <w:r w:rsidRPr="005803F2">
        <w:rPr>
          <w:lang w:val="en-GB"/>
        </w:rPr>
        <w:t>5</w:t>
      </w:r>
      <w:r w:rsidR="004D139B" w:rsidRPr="005803F2">
        <w:rPr>
          <w:lang w:val="en-GB"/>
        </w:rPr>
        <w:t>.</w:t>
      </w:r>
      <w:r w:rsidR="004D139B" w:rsidRPr="005803F2">
        <w:rPr>
          <w:lang w:val="en-GB"/>
        </w:rPr>
        <w:tab/>
      </w:r>
      <w:r w:rsidR="001F4D53" w:rsidRPr="005803F2">
        <w:rPr>
          <w:lang w:val="en-GB"/>
        </w:rPr>
        <w:t xml:space="preserve">The Informal Working Group (IWG) on Electric </w:t>
      </w:r>
      <w:r w:rsidR="00AA4854" w:rsidRPr="005803F2">
        <w:rPr>
          <w:lang w:val="en-GB"/>
        </w:rPr>
        <w:t xml:space="preserve">Vehicles </w:t>
      </w:r>
      <w:r w:rsidR="001F4D53" w:rsidRPr="005803F2">
        <w:rPr>
          <w:lang w:val="en-GB"/>
        </w:rPr>
        <w:t>and the Environment (EVE) was set up in June 2012 following the approval by WP.29/AC.3 of ECE/TRANS/WP.29/AC.3/32. This document established two distinct IWGs to examine environmental and safety issues related to Electric Vehicles (EVs): the IWG on EVE, reporting to the Working Party on Pollution and Energy (GRPE), and the IWG on Electric Vehicle Safety (EVS), reporting to the Working Party on Passive Safety (GRSP). The proposal was supported by the European Commission, the United States of America, China, and Japan.</w:t>
      </w:r>
    </w:p>
    <w:p w14:paraId="17BA5F5B" w14:textId="52035A35" w:rsidR="001F4D53" w:rsidRPr="005803F2" w:rsidRDefault="0090452B" w:rsidP="001F4D53">
      <w:pPr>
        <w:pStyle w:val="SingleTxtG"/>
        <w:rPr>
          <w:lang w:val="en-GB"/>
        </w:rPr>
      </w:pPr>
      <w:r w:rsidRPr="005803F2">
        <w:rPr>
          <w:lang w:val="en-GB"/>
        </w:rPr>
        <w:t>6</w:t>
      </w:r>
      <w:r w:rsidR="001F4D53" w:rsidRPr="005803F2">
        <w:rPr>
          <w:lang w:val="en-GB"/>
        </w:rPr>
        <w:t>.</w:t>
      </w:r>
      <w:r w:rsidR="001F4D53" w:rsidRPr="005803F2">
        <w:rPr>
          <w:lang w:val="en-GB"/>
        </w:rPr>
        <w:tab/>
        <w:t xml:space="preserve">A second mandate for the IWG on EVE, divided into Parts A and B was approved in November 2014 by AC.3 to conduct additional research to address several recommendations </w:t>
      </w:r>
      <w:r w:rsidR="001F4D53" w:rsidRPr="005803F2">
        <w:rPr>
          <w:lang w:val="en-GB"/>
        </w:rPr>
        <w:lastRenderedPageBreak/>
        <w:t>that grew out of the first mandate, and develop UN GTR(s), if appropriate. The second mandate was separate from the IWG on EVS.</w:t>
      </w:r>
      <w:bookmarkStart w:id="0" w:name="_GoBack"/>
    </w:p>
    <w:p w14:paraId="63E8DB55" w14:textId="05FD8760" w:rsidR="001F4D53" w:rsidRPr="005803F2" w:rsidRDefault="0090452B" w:rsidP="001F4D53">
      <w:pPr>
        <w:pStyle w:val="SingleTxtG"/>
        <w:rPr>
          <w:lang w:val="en-GB"/>
        </w:rPr>
      </w:pPr>
      <w:r w:rsidRPr="005803F2">
        <w:rPr>
          <w:lang w:val="en-GB"/>
        </w:rPr>
        <w:t>7</w:t>
      </w:r>
      <w:r w:rsidR="001F4D53" w:rsidRPr="005803F2">
        <w:rPr>
          <w:lang w:val="en-GB"/>
        </w:rPr>
        <w:t>.</w:t>
      </w:r>
      <w:r w:rsidR="001F4D53" w:rsidRPr="005803F2">
        <w:rPr>
          <w:lang w:val="en-GB"/>
        </w:rPr>
        <w:tab/>
        <w:t xml:space="preserve">Part A of the second mandate of the IWG on EVE (ECE/TRANS/WP.29/AC.3/40) included “battery performance and durability” as one of the topics authorized for study and potential GTR development. Specifically, Part A authorized activity “to further develop the </w:t>
      </w:r>
      <w:bookmarkEnd w:id="0"/>
      <w:r w:rsidR="001F4D53" w:rsidRPr="005803F2">
        <w:rPr>
          <w:lang w:val="en-GB"/>
        </w:rPr>
        <w:t>recommendations for future work outlined in the Electric Vehicle Regulatory Reference Guide by: (</w:t>
      </w:r>
      <w:proofErr w:type="spellStart"/>
      <w:r w:rsidR="001F4D53" w:rsidRPr="005803F2">
        <w:rPr>
          <w:lang w:val="en-GB"/>
        </w:rPr>
        <w:t>i</w:t>
      </w:r>
      <w:proofErr w:type="spellEnd"/>
      <w:r w:rsidR="001F4D53" w:rsidRPr="005803F2">
        <w:rPr>
          <w:lang w:val="en-GB"/>
        </w:rPr>
        <w:t>) conducting additional research to support the recommendations; (ii) identifying which recommendations are suitable for the development of (a) global technical regulation(s) (GTR(s)) by the World Forum for Harmonization of Vehicle Regulations (WP.29); and (iii) developing a work plan.</w:t>
      </w:r>
      <w:r w:rsidR="00AA4854" w:rsidRPr="005803F2">
        <w:rPr>
          <w:lang w:val="en-GB"/>
        </w:rPr>
        <w:t>”</w:t>
      </w:r>
      <w:r w:rsidR="001F4D53" w:rsidRPr="005803F2">
        <w:rPr>
          <w:lang w:val="en-GB"/>
        </w:rPr>
        <w:t xml:space="preserve"> The work of the IWG on EVE on battery performance and durability under Part A of the EVE mandate was reported to WP.29 in a status report as informal document WP.29-170-31 at the 170</w:t>
      </w:r>
      <w:r w:rsidR="001F4D53" w:rsidRPr="005803F2">
        <w:rPr>
          <w:vertAlign w:val="superscript"/>
          <w:lang w:val="en-GB"/>
        </w:rPr>
        <w:t>th</w:t>
      </w:r>
      <w:r w:rsidR="001F4D53" w:rsidRPr="005803F2">
        <w:rPr>
          <w:lang w:val="en-GB"/>
        </w:rPr>
        <w:t xml:space="preserve"> meeting of WP.29, 15-18 November 2016.</w:t>
      </w:r>
    </w:p>
    <w:p w14:paraId="3ABF0838" w14:textId="6A3F27CB" w:rsidR="001F4D53" w:rsidRPr="005803F2" w:rsidRDefault="0090452B" w:rsidP="001F4D53">
      <w:pPr>
        <w:pStyle w:val="SingleTxtG"/>
        <w:rPr>
          <w:lang w:val="en-GB"/>
        </w:rPr>
      </w:pPr>
      <w:r w:rsidRPr="005803F2">
        <w:rPr>
          <w:lang w:val="en-GB"/>
        </w:rPr>
        <w:t>8</w:t>
      </w:r>
      <w:r w:rsidR="004D139B" w:rsidRPr="005803F2">
        <w:rPr>
          <w:lang w:val="en-GB"/>
        </w:rPr>
        <w:t>.</w:t>
      </w:r>
      <w:r w:rsidR="004D139B" w:rsidRPr="005803F2">
        <w:rPr>
          <w:lang w:val="en-GB"/>
        </w:rPr>
        <w:tab/>
      </w:r>
      <w:r w:rsidR="001F4D53" w:rsidRPr="005803F2">
        <w:rPr>
          <w:lang w:val="en-GB"/>
        </w:rPr>
        <w:t xml:space="preserve">At the close of Part </w:t>
      </w:r>
      <w:r w:rsidR="002E6450" w:rsidRPr="005803F2">
        <w:rPr>
          <w:lang w:val="en-GB"/>
        </w:rPr>
        <w:t>A,</w:t>
      </w:r>
      <w:r w:rsidR="001F4D53" w:rsidRPr="005803F2">
        <w:rPr>
          <w:lang w:val="en-GB"/>
        </w:rPr>
        <w:t xml:space="preserve"> the IWG on EVE recommended that GRPE and WP.29 endorse the option of extending the mandate of the IWG on EVE to continue active research into the topic of battery performance and durability without committing to the development of a GTR at that time. This was endorsed and work continued on this topic within Part B of the mandate.</w:t>
      </w:r>
    </w:p>
    <w:p w14:paraId="565B0968" w14:textId="52EAFE20" w:rsidR="001F4D53" w:rsidRPr="005803F2" w:rsidRDefault="0090452B" w:rsidP="001F4D53">
      <w:pPr>
        <w:pStyle w:val="SingleTxtG"/>
        <w:rPr>
          <w:lang w:val="en-GB"/>
        </w:rPr>
      </w:pPr>
      <w:r w:rsidRPr="005803F2">
        <w:rPr>
          <w:lang w:val="en-GB"/>
        </w:rPr>
        <w:t>9</w:t>
      </w:r>
      <w:r w:rsidR="004D139B" w:rsidRPr="005803F2">
        <w:rPr>
          <w:lang w:val="en-GB"/>
        </w:rPr>
        <w:t>.</w:t>
      </w:r>
      <w:r w:rsidR="004D139B" w:rsidRPr="005803F2">
        <w:rPr>
          <w:lang w:val="en-GB"/>
        </w:rPr>
        <w:tab/>
      </w:r>
      <w:r w:rsidR="001F4D53" w:rsidRPr="005803F2">
        <w:rPr>
          <w:lang w:val="en-GB"/>
        </w:rPr>
        <w:t>The IWG on EVE presented a draft status report to GRPE in May 2019 on the research of in-vehicle battery durability and performance. The status report indicated that there was sufficient information to allow a UN GTR for in-vehicle battery durability to be started. The IWG on EVE recommended at the 79</w:t>
      </w:r>
      <w:r w:rsidR="001F4D53" w:rsidRPr="005803F2">
        <w:rPr>
          <w:vertAlign w:val="superscript"/>
          <w:lang w:val="en-GB"/>
        </w:rPr>
        <w:t>th</w:t>
      </w:r>
      <w:r w:rsidR="001F4D53" w:rsidRPr="005803F2">
        <w:rPr>
          <w:lang w:val="en-GB"/>
        </w:rPr>
        <w:t xml:space="preserve"> GRPE in May 2019 that the UN GTR on in-vehicle battery durability be developed under a new mandate.</w:t>
      </w:r>
      <w:r w:rsidR="001C4FD8" w:rsidRPr="005803F2">
        <w:rPr>
          <w:lang w:val="en-GB"/>
        </w:rPr>
        <w:t xml:space="preserve"> </w:t>
      </w:r>
      <w:r w:rsidR="001F4D53" w:rsidRPr="005803F2">
        <w:rPr>
          <w:lang w:val="en-GB"/>
        </w:rPr>
        <w:t xml:space="preserve">The EVE IWG published UN GTR No.22 (In-Vehicle Battery Durability for Electrified Vehicles), in the UN Global Registry on March 09, 2022. </w:t>
      </w:r>
    </w:p>
    <w:p w14:paraId="7D84BF2F" w14:textId="23D05B9C" w:rsidR="001F4D53" w:rsidRPr="005803F2" w:rsidRDefault="001F4D53" w:rsidP="001F4D53">
      <w:pPr>
        <w:pStyle w:val="SingleTxtG"/>
        <w:rPr>
          <w:lang w:val="en-GB"/>
        </w:rPr>
      </w:pPr>
      <w:r w:rsidRPr="005803F2">
        <w:rPr>
          <w:lang w:val="en-GB"/>
        </w:rPr>
        <w:t>1</w:t>
      </w:r>
      <w:r w:rsidR="0090452B" w:rsidRPr="005803F2">
        <w:rPr>
          <w:lang w:val="en-GB"/>
        </w:rPr>
        <w:t>0</w:t>
      </w:r>
      <w:r w:rsidRPr="005803F2">
        <w:rPr>
          <w:lang w:val="en-GB"/>
        </w:rPr>
        <w:t>.</w:t>
      </w:r>
      <w:r w:rsidRPr="005803F2">
        <w:rPr>
          <w:lang w:val="en-GB"/>
        </w:rPr>
        <w:tab/>
        <w:t>Due to the focus of UN GTR No. 22 on light-duty vehicles and developments in the heavy-duty vehicle sector, the EVE IWG has been authorized to begin development of a new standalone UN GTR on in-vehicle battery durability for electrified heavy-duty vehicles, at the 190</w:t>
      </w:r>
      <w:r w:rsidRPr="005803F2">
        <w:rPr>
          <w:vertAlign w:val="superscript"/>
          <w:lang w:val="en-GB"/>
        </w:rPr>
        <w:t>th</w:t>
      </w:r>
      <w:r w:rsidRPr="005803F2">
        <w:rPr>
          <w:lang w:val="en-GB"/>
        </w:rPr>
        <w:t xml:space="preserve"> session of World Forum for Harmonization of Vehicle Regulations (WP.29), which will be developed in 2 phases: </w:t>
      </w:r>
    </w:p>
    <w:p w14:paraId="68A75732" w14:textId="77777777" w:rsidR="001F4D53" w:rsidRPr="005803F2" w:rsidRDefault="001F4D53" w:rsidP="001F4D53">
      <w:pPr>
        <w:pStyle w:val="SingleTxtG"/>
        <w:ind w:firstLine="552"/>
        <w:rPr>
          <w:i/>
          <w:lang w:val="en-GB"/>
        </w:rPr>
      </w:pPr>
      <w:r w:rsidRPr="005803F2">
        <w:rPr>
          <w:i/>
          <w:lang w:val="en-GB"/>
        </w:rPr>
        <w:t>Phase 1:</w:t>
      </w:r>
    </w:p>
    <w:p w14:paraId="76C9135E" w14:textId="77777777" w:rsidR="001F4D53" w:rsidRPr="005803F2" w:rsidRDefault="001F4D53" w:rsidP="001F4D53">
      <w:pPr>
        <w:pStyle w:val="SingleTxtG"/>
        <w:ind w:left="2248" w:hanging="547"/>
        <w:rPr>
          <w:lang w:val="en-GB"/>
        </w:rPr>
      </w:pPr>
      <w:r w:rsidRPr="005803F2">
        <w:rPr>
          <w:lang w:val="en-GB"/>
        </w:rPr>
        <w:t>(a)</w:t>
      </w:r>
      <w:r w:rsidRPr="005803F2">
        <w:rPr>
          <w:lang w:val="en-GB"/>
        </w:rPr>
        <w:tab/>
        <w:t>Initial draft development and working document submission to GRPE and AC.3 for consideration as a new UN GTR.</w:t>
      </w:r>
    </w:p>
    <w:p w14:paraId="1AF9072B" w14:textId="77777777" w:rsidR="001F4D53" w:rsidRPr="005803F2" w:rsidRDefault="001F4D53" w:rsidP="001F4D53">
      <w:pPr>
        <w:pStyle w:val="SingleTxtG"/>
        <w:ind w:firstLine="567"/>
        <w:rPr>
          <w:lang w:val="en-GB"/>
        </w:rPr>
      </w:pPr>
      <w:r w:rsidRPr="005803F2">
        <w:rPr>
          <w:lang w:val="en-GB"/>
        </w:rPr>
        <w:t>(b)</w:t>
      </w:r>
      <w:r w:rsidRPr="005803F2">
        <w:rPr>
          <w:lang w:val="en-GB"/>
        </w:rPr>
        <w:tab/>
        <w:t>Consider alternative test methods including chassis dynamometer testing.</w:t>
      </w:r>
    </w:p>
    <w:p w14:paraId="5E94C693" w14:textId="77777777" w:rsidR="001F4D53" w:rsidRDefault="001F4D53" w:rsidP="001F4D53">
      <w:pPr>
        <w:pStyle w:val="SingleTxtG"/>
        <w:ind w:firstLine="567"/>
        <w:rPr>
          <w:i/>
          <w:lang w:val="en-GB"/>
        </w:rPr>
      </w:pPr>
      <w:r w:rsidRPr="005803F2">
        <w:rPr>
          <w:i/>
          <w:lang w:val="en-GB"/>
        </w:rPr>
        <w:t xml:space="preserve">Phase 2: </w:t>
      </w:r>
    </w:p>
    <w:p w14:paraId="0C92D9F6" w14:textId="77777777" w:rsidR="001F4D53" w:rsidRPr="005803F2" w:rsidRDefault="001F4D53" w:rsidP="001F4D53">
      <w:pPr>
        <w:pStyle w:val="SingleTxtG"/>
        <w:numPr>
          <w:ilvl w:val="0"/>
          <w:numId w:val="12"/>
        </w:numPr>
        <w:rPr>
          <w:lang w:val="en-GB"/>
        </w:rPr>
      </w:pPr>
      <w:r w:rsidRPr="005803F2">
        <w:rPr>
          <w:lang w:val="en-GB"/>
        </w:rPr>
        <w:t>Continue development of alternative test methods including chassis dynamometer testing.</w:t>
      </w:r>
    </w:p>
    <w:p w14:paraId="78C05CB3" w14:textId="77777777" w:rsidR="001F4D53" w:rsidRPr="005803F2" w:rsidRDefault="001F4D53" w:rsidP="001F4D53">
      <w:pPr>
        <w:pStyle w:val="SingleTxtG"/>
        <w:numPr>
          <w:ilvl w:val="0"/>
          <w:numId w:val="12"/>
        </w:numPr>
        <w:rPr>
          <w:lang w:val="en-GB"/>
        </w:rPr>
      </w:pPr>
      <w:r w:rsidRPr="005803F2">
        <w:rPr>
          <w:lang w:val="en-GB"/>
        </w:rPr>
        <w:t>Consider the need for battery replacement provisions.</w:t>
      </w:r>
    </w:p>
    <w:p w14:paraId="06B130EC" w14:textId="77777777" w:rsidR="001F4D53" w:rsidRPr="005803F2" w:rsidRDefault="001F4D53" w:rsidP="001F4D53">
      <w:pPr>
        <w:pStyle w:val="SingleTxtG"/>
        <w:numPr>
          <w:ilvl w:val="0"/>
          <w:numId w:val="12"/>
        </w:numPr>
        <w:rPr>
          <w:lang w:val="en-GB"/>
        </w:rPr>
      </w:pPr>
      <w:r w:rsidRPr="005803F2">
        <w:rPr>
          <w:lang w:val="en-GB"/>
        </w:rPr>
        <w:t>Explore the applicability of vehicle group O (trailers and semi-trailers) within the scope of the regulation.</w:t>
      </w:r>
    </w:p>
    <w:p w14:paraId="56AE84CE" w14:textId="77777777" w:rsidR="001F4D53" w:rsidRDefault="001F4D53" w:rsidP="001F4D53">
      <w:pPr>
        <w:pStyle w:val="SingleTxtG"/>
        <w:numPr>
          <w:ilvl w:val="0"/>
          <w:numId w:val="12"/>
        </w:numPr>
        <w:rPr>
          <w:lang w:val="en-GB"/>
        </w:rPr>
      </w:pPr>
      <w:r w:rsidRPr="005803F2">
        <w:rPr>
          <w:lang w:val="en-GB"/>
        </w:rPr>
        <w:t>Future amendments as new data and continued research, analysis and testing lead to new developments.</w:t>
      </w:r>
    </w:p>
    <w:p w14:paraId="11769541" w14:textId="77777777" w:rsidR="00E62037" w:rsidRDefault="00E62037" w:rsidP="00E62037">
      <w:pPr>
        <w:pStyle w:val="SingleTxtG"/>
        <w:numPr>
          <w:ilvl w:val="0"/>
          <w:numId w:val="12"/>
        </w:numPr>
      </w:pPr>
      <w:proofErr w:type="spellStart"/>
      <w:r w:rsidRPr="00DE65D0">
        <w:t>Reconsider</w:t>
      </w:r>
      <w:proofErr w:type="spellEnd"/>
      <w:r w:rsidRPr="00DE65D0">
        <w:t xml:space="preserve"> the </w:t>
      </w:r>
      <w:proofErr w:type="spellStart"/>
      <w:r w:rsidRPr="00DE65D0">
        <w:t>MPRs</w:t>
      </w:r>
      <w:proofErr w:type="spellEnd"/>
      <w:r w:rsidRPr="00DE65D0">
        <w:t xml:space="preserve"> </w:t>
      </w:r>
      <w:proofErr w:type="spellStart"/>
      <w:r w:rsidRPr="00DE65D0">
        <w:t>regarding</w:t>
      </w:r>
      <w:proofErr w:type="spellEnd"/>
      <w:r w:rsidRPr="00DE65D0">
        <w:t xml:space="preserve"> </w:t>
      </w:r>
      <w:proofErr w:type="spellStart"/>
      <w:r w:rsidRPr="00DE65D0">
        <w:t>mileage</w:t>
      </w:r>
      <w:proofErr w:type="spellEnd"/>
      <w:r w:rsidRPr="00DE65D0">
        <w:t xml:space="preserve"> and </w:t>
      </w:r>
      <w:proofErr w:type="spellStart"/>
      <w:r w:rsidRPr="00DE65D0">
        <w:t>lifetime</w:t>
      </w:r>
      <w:proofErr w:type="spellEnd"/>
      <w:r w:rsidRPr="00DE65D0">
        <w:t xml:space="preserve"> </w:t>
      </w:r>
      <w:proofErr w:type="spellStart"/>
      <w:r>
        <w:t>thresholds</w:t>
      </w:r>
      <w:proofErr w:type="spellEnd"/>
      <w:r>
        <w:t xml:space="preserve"> </w:t>
      </w:r>
      <w:r w:rsidRPr="00DE65D0">
        <w:t xml:space="preserve">and </w:t>
      </w:r>
      <w:proofErr w:type="spellStart"/>
      <w:r w:rsidRPr="00DE65D0">
        <w:t>consider</w:t>
      </w:r>
      <w:proofErr w:type="spellEnd"/>
      <w:r w:rsidRPr="00DE65D0">
        <w:t xml:space="preserve"> </w:t>
      </w:r>
      <w:r>
        <w:t xml:space="preserve">the </w:t>
      </w:r>
      <w:proofErr w:type="spellStart"/>
      <w:r>
        <w:t>appropriateness</w:t>
      </w:r>
      <w:proofErr w:type="spellEnd"/>
      <w:r>
        <w:t xml:space="preserve"> of </w:t>
      </w:r>
      <w:proofErr w:type="spellStart"/>
      <w:r>
        <w:t>energy</w:t>
      </w:r>
      <w:proofErr w:type="spellEnd"/>
      <w:r>
        <w:t xml:space="preserve"> </w:t>
      </w:r>
      <w:proofErr w:type="spellStart"/>
      <w:r>
        <w:t>throughput</w:t>
      </w:r>
      <w:proofErr w:type="spellEnd"/>
      <w:r>
        <w:t xml:space="preserve"> as </w:t>
      </w:r>
      <w:proofErr w:type="spellStart"/>
      <w:r>
        <w:t>threshold</w:t>
      </w:r>
      <w:proofErr w:type="spellEnd"/>
      <w:r>
        <w:t>,</w:t>
      </w:r>
      <w:r w:rsidRPr="00DE65D0">
        <w:t xml:space="preserve"> </w:t>
      </w:r>
      <w:proofErr w:type="spellStart"/>
      <w:r w:rsidRPr="00DE65D0">
        <w:t>based</w:t>
      </w:r>
      <w:proofErr w:type="spellEnd"/>
      <w:r w:rsidRPr="00DE65D0">
        <w:t xml:space="preserve"> on the monitoring </w:t>
      </w:r>
      <w:proofErr w:type="spellStart"/>
      <w:r w:rsidRPr="00DE65D0">
        <w:t>exercise</w:t>
      </w:r>
      <w:proofErr w:type="spellEnd"/>
      <w:r w:rsidRPr="00DE65D0">
        <w:t xml:space="preserve"> for </w:t>
      </w:r>
      <w:proofErr w:type="spellStart"/>
      <w:r w:rsidRPr="00DE65D0">
        <w:t>energy</w:t>
      </w:r>
      <w:proofErr w:type="spellEnd"/>
      <w:r w:rsidRPr="00DE65D0">
        <w:t xml:space="preserve"> </w:t>
      </w:r>
      <w:proofErr w:type="spellStart"/>
      <w:r w:rsidRPr="00DE65D0">
        <w:t>throughput</w:t>
      </w:r>
      <w:proofErr w:type="spellEnd"/>
      <w:r>
        <w:t>.</w:t>
      </w:r>
    </w:p>
    <w:p w14:paraId="0D48A37A" w14:textId="77777777" w:rsidR="00E62037" w:rsidRDefault="00E62037" w:rsidP="00E62037">
      <w:pPr>
        <w:pStyle w:val="SingleTxtG"/>
        <w:numPr>
          <w:ilvl w:val="0"/>
          <w:numId w:val="12"/>
        </w:numPr>
      </w:pPr>
      <w:proofErr w:type="spellStart"/>
      <w:r>
        <w:t>C</w:t>
      </w:r>
      <w:r w:rsidRPr="00DE65D0">
        <w:t>onsider</w:t>
      </w:r>
      <w:proofErr w:type="spellEnd"/>
      <w:r w:rsidRPr="00DE65D0">
        <w:t xml:space="preserve"> the </w:t>
      </w:r>
      <w:proofErr w:type="spellStart"/>
      <w:r w:rsidRPr="00DE65D0">
        <w:t>need</w:t>
      </w:r>
      <w:proofErr w:type="spellEnd"/>
      <w:r w:rsidRPr="00DE65D0">
        <w:t xml:space="preserve"> of </w:t>
      </w:r>
      <w:proofErr w:type="spellStart"/>
      <w:r w:rsidRPr="00DE65D0">
        <w:t>further</w:t>
      </w:r>
      <w:proofErr w:type="spellEnd"/>
      <w:r w:rsidRPr="00DE65D0">
        <w:t xml:space="preserve"> segmentation of the </w:t>
      </w:r>
      <w:r>
        <w:t xml:space="preserve">MPR </w:t>
      </w:r>
      <w:proofErr w:type="spellStart"/>
      <w:r>
        <w:t>thresholds</w:t>
      </w:r>
      <w:proofErr w:type="spellEnd"/>
      <w:r w:rsidRPr="00DE65D0">
        <w:t xml:space="preserve"> by </w:t>
      </w:r>
      <w:proofErr w:type="spellStart"/>
      <w:r w:rsidRPr="00DE65D0">
        <w:t>vehicle</w:t>
      </w:r>
      <w:proofErr w:type="spellEnd"/>
      <w:r w:rsidRPr="00DE65D0">
        <w:t xml:space="preserve"> </w:t>
      </w:r>
      <w:proofErr w:type="spellStart"/>
      <w:r w:rsidRPr="00DE65D0">
        <w:t>category</w:t>
      </w:r>
      <w:proofErr w:type="spellEnd"/>
      <w:r w:rsidRPr="00DE65D0">
        <w:t>/application</w:t>
      </w:r>
      <w:r>
        <w:t>.</w:t>
      </w:r>
    </w:p>
    <w:p w14:paraId="36B43006" w14:textId="77777777" w:rsidR="00E62037" w:rsidRDefault="00E62037" w:rsidP="00E62037">
      <w:pPr>
        <w:pStyle w:val="SingleTxtG"/>
        <w:numPr>
          <w:ilvl w:val="0"/>
          <w:numId w:val="12"/>
        </w:numPr>
      </w:pPr>
      <w:proofErr w:type="spellStart"/>
      <w:r w:rsidRPr="00DE65D0">
        <w:t>Consider</w:t>
      </w:r>
      <w:proofErr w:type="spellEnd"/>
      <w:r w:rsidRPr="00DE65D0">
        <w:t xml:space="preserve"> MPR setting for </w:t>
      </w:r>
      <w:r>
        <w:t xml:space="preserve">HDV </w:t>
      </w:r>
      <w:r w:rsidRPr="00DE65D0">
        <w:t>OVC-</w:t>
      </w:r>
      <w:proofErr w:type="spellStart"/>
      <w:r w:rsidRPr="00DE65D0">
        <w:t>HEVs</w:t>
      </w:r>
      <w:proofErr w:type="spellEnd"/>
    </w:p>
    <w:p w14:paraId="3320EED1" w14:textId="44D7BD17" w:rsidR="00E62037" w:rsidRPr="005803F2" w:rsidRDefault="00E62037" w:rsidP="00E62037">
      <w:pPr>
        <w:pStyle w:val="SingleTxtG"/>
        <w:ind w:left="2251"/>
        <w:rPr>
          <w:lang w:val="en-GB"/>
        </w:rPr>
      </w:pPr>
    </w:p>
    <w:p w14:paraId="778AD5E5" w14:textId="104291F7" w:rsidR="004D139B" w:rsidRPr="005803F2" w:rsidRDefault="007278D7" w:rsidP="007278D7">
      <w:pPr>
        <w:keepNext/>
        <w:spacing w:before="360" w:after="240"/>
        <w:ind w:firstLine="567"/>
        <w:jc w:val="both"/>
        <w:rPr>
          <w:b/>
          <w:bCs/>
          <w:lang w:val="en-GB"/>
        </w:rPr>
      </w:pPr>
      <w:r w:rsidRPr="005803F2">
        <w:rPr>
          <w:b/>
          <w:sz w:val="28"/>
          <w:lang w:val="en-GB"/>
        </w:rPr>
        <w:lastRenderedPageBreak/>
        <w:t>I</w:t>
      </w:r>
      <w:r w:rsidR="001D31F0" w:rsidRPr="005803F2">
        <w:rPr>
          <w:b/>
          <w:sz w:val="28"/>
          <w:lang w:val="en-GB"/>
        </w:rPr>
        <w:t>II</w:t>
      </w:r>
      <w:r w:rsidRPr="005803F2">
        <w:rPr>
          <w:b/>
          <w:sz w:val="28"/>
          <w:lang w:val="en-GB"/>
        </w:rPr>
        <w:tab/>
      </w:r>
      <w:r w:rsidR="004D139B" w:rsidRPr="005803F2">
        <w:rPr>
          <w:b/>
          <w:bCs/>
          <w:sz w:val="24"/>
          <w:szCs w:val="24"/>
          <w:lang w:val="en-GB"/>
        </w:rPr>
        <w:t>Development of the GTR</w:t>
      </w:r>
    </w:p>
    <w:p w14:paraId="243CB817" w14:textId="7021E9EC" w:rsidR="004D139B" w:rsidRPr="005803F2" w:rsidRDefault="004D139B" w:rsidP="0082293B">
      <w:pPr>
        <w:spacing w:after="120"/>
        <w:ind w:left="1134" w:right="1134"/>
        <w:jc w:val="both"/>
        <w:rPr>
          <w:lang w:val="en-GB"/>
        </w:rPr>
      </w:pPr>
      <w:r w:rsidRPr="005803F2">
        <w:rPr>
          <w:lang w:val="en-GB"/>
        </w:rPr>
        <w:t>1</w:t>
      </w:r>
      <w:r w:rsidR="0090452B" w:rsidRPr="005803F2">
        <w:rPr>
          <w:lang w:val="en-GB"/>
        </w:rPr>
        <w:t>1</w:t>
      </w:r>
      <w:r w:rsidRPr="005803F2">
        <w:rPr>
          <w:lang w:val="en-GB"/>
        </w:rPr>
        <w:t>.</w:t>
      </w:r>
      <w:r w:rsidRPr="005803F2">
        <w:rPr>
          <w:lang w:val="en-GB"/>
        </w:rPr>
        <w:tab/>
        <w:t xml:space="preserve">Following several years of information gathering and deliberation among the IWG members on the feasibility of drafting a GTR, the </w:t>
      </w:r>
      <w:r w:rsidR="002A4543">
        <w:rPr>
          <w:lang w:val="en-GB"/>
        </w:rPr>
        <w:t xml:space="preserve">new </w:t>
      </w:r>
      <w:r w:rsidRPr="005803F2">
        <w:rPr>
          <w:lang w:val="en-GB"/>
        </w:rPr>
        <w:t xml:space="preserve">GTR was developed over the course of </w:t>
      </w:r>
      <w:r w:rsidR="00C26CFE" w:rsidRPr="005803F2">
        <w:rPr>
          <w:lang w:val="en-GB"/>
        </w:rPr>
        <w:t>around</w:t>
      </w:r>
      <w:r w:rsidRPr="005803F2">
        <w:rPr>
          <w:lang w:val="en-GB"/>
        </w:rPr>
        <w:t xml:space="preserve"> 2</w:t>
      </w:r>
      <w:r w:rsidR="00666B23" w:rsidRPr="005803F2">
        <w:rPr>
          <w:lang w:val="en-GB"/>
        </w:rPr>
        <w:t>9</w:t>
      </w:r>
      <w:r w:rsidRPr="005803F2">
        <w:rPr>
          <w:lang w:val="en-GB"/>
        </w:rPr>
        <w:t xml:space="preserve"> </w:t>
      </w:r>
      <w:r w:rsidR="00CB20D5" w:rsidRPr="005803F2">
        <w:rPr>
          <w:lang w:val="en-GB"/>
        </w:rPr>
        <w:t xml:space="preserve">IWG </w:t>
      </w:r>
      <w:r w:rsidRPr="005803F2">
        <w:rPr>
          <w:lang w:val="en-GB"/>
        </w:rPr>
        <w:t>meetings over approximately t</w:t>
      </w:r>
      <w:r w:rsidR="00666B23" w:rsidRPr="005803F2">
        <w:rPr>
          <w:lang w:val="en-GB"/>
        </w:rPr>
        <w:t>hree</w:t>
      </w:r>
      <w:r w:rsidRPr="005803F2">
        <w:rPr>
          <w:lang w:val="en-GB"/>
        </w:rPr>
        <w:t xml:space="preserve"> years, with 50 to 60 attendees participating in the meetings. The meetings and development process are transparent. Documents and reports generated for all of the IWG meetings are posted on the UN website:</w:t>
      </w:r>
    </w:p>
    <w:p w14:paraId="486F149C" w14:textId="0829AD39" w:rsidR="004D139B" w:rsidRPr="005803F2" w:rsidRDefault="00D15FF7" w:rsidP="0082293B">
      <w:pPr>
        <w:spacing w:after="120"/>
        <w:ind w:left="1134" w:right="1134"/>
        <w:jc w:val="both"/>
        <w:rPr>
          <w:lang w:val="en-GB"/>
        </w:rPr>
      </w:pPr>
      <w:hyperlink r:id="rId11" w:history="1">
        <w:r w:rsidR="004D139B" w:rsidRPr="005803F2">
          <w:rPr>
            <w:rStyle w:val="Hyperlink"/>
            <w:lang w:val="en-GB"/>
          </w:rPr>
          <w:t>https://wiki.unece.org/pages/viewpage.action?pageId=2523151</w:t>
        </w:r>
      </w:hyperlink>
    </w:p>
    <w:p w14:paraId="68767EBC" w14:textId="24E8A5FB" w:rsidR="004D139B" w:rsidRPr="005803F2" w:rsidRDefault="004D139B" w:rsidP="0082293B">
      <w:pPr>
        <w:spacing w:after="120"/>
        <w:ind w:left="1134" w:right="1134"/>
        <w:jc w:val="both"/>
        <w:rPr>
          <w:lang w:val="en-GB"/>
        </w:rPr>
      </w:pPr>
      <w:r w:rsidRPr="005803F2">
        <w:rPr>
          <w:lang w:val="en-GB"/>
        </w:rPr>
        <w:t>1</w:t>
      </w:r>
      <w:r w:rsidR="0090452B" w:rsidRPr="005803F2">
        <w:rPr>
          <w:lang w:val="en-GB"/>
        </w:rPr>
        <w:t>2</w:t>
      </w:r>
      <w:r w:rsidRPr="005803F2">
        <w:rPr>
          <w:lang w:val="en-GB"/>
        </w:rPr>
        <w:t>.</w:t>
      </w:r>
      <w:r w:rsidRPr="005803F2">
        <w:rPr>
          <w:lang w:val="en-GB"/>
        </w:rPr>
        <w:tab/>
        <w:t xml:space="preserve">The governing committee of the IWG comprises of </w:t>
      </w:r>
      <w:r w:rsidR="00666B23" w:rsidRPr="005803F2">
        <w:rPr>
          <w:lang w:val="en-GB"/>
        </w:rPr>
        <w:t>two</w:t>
      </w:r>
      <w:r w:rsidRPr="005803F2">
        <w:rPr>
          <w:lang w:val="en-GB"/>
        </w:rPr>
        <w:t xml:space="preserve"> Chairperson</w:t>
      </w:r>
      <w:r w:rsidR="00666B23" w:rsidRPr="005803F2">
        <w:rPr>
          <w:lang w:val="en-GB"/>
        </w:rPr>
        <w:t>s</w:t>
      </w:r>
      <w:r w:rsidRPr="005803F2">
        <w:rPr>
          <w:lang w:val="en-GB"/>
        </w:rPr>
        <w:t>, two Vice-Chairs, and a Technical Secretary. A drafting coordinator is typically appointed for the drafting of specific GTRs. Chairperson</w:t>
      </w:r>
      <w:r w:rsidR="00666B23" w:rsidRPr="005803F2">
        <w:rPr>
          <w:lang w:val="en-GB"/>
        </w:rPr>
        <w:t>s</w:t>
      </w:r>
      <w:r w:rsidRPr="005803F2">
        <w:rPr>
          <w:lang w:val="en-GB"/>
        </w:rPr>
        <w:t xml:space="preserve"> </w:t>
      </w:r>
      <w:r w:rsidR="00666B23" w:rsidRPr="005803F2">
        <w:rPr>
          <w:lang w:val="en-GB"/>
        </w:rPr>
        <w:t>are</w:t>
      </w:r>
      <w:r w:rsidRPr="005803F2">
        <w:rPr>
          <w:lang w:val="en-GB"/>
        </w:rPr>
        <w:t xml:space="preserve"> taken by the representatives of the </w:t>
      </w:r>
      <w:r w:rsidR="00666B23" w:rsidRPr="005803F2">
        <w:rPr>
          <w:lang w:val="en-GB"/>
        </w:rPr>
        <w:t xml:space="preserve">European Commission and </w:t>
      </w:r>
      <w:r w:rsidRPr="005803F2">
        <w:rPr>
          <w:lang w:val="en-GB"/>
        </w:rPr>
        <w:t>United States and the Vice-Chairs are taken by the representatives of Japan and China. The Technical Secretary is taken by the representative(s) of Canada. For this GTR, the drafting coordinator was a representative of the European Commission.</w:t>
      </w:r>
    </w:p>
    <w:p w14:paraId="24E8D8E0" w14:textId="4F3A3A5D" w:rsidR="004D139B" w:rsidRPr="005803F2" w:rsidRDefault="004D139B" w:rsidP="0082293B">
      <w:pPr>
        <w:spacing w:after="120"/>
        <w:ind w:left="1134" w:right="1134"/>
        <w:jc w:val="both"/>
        <w:rPr>
          <w:lang w:val="en-GB"/>
        </w:rPr>
      </w:pPr>
      <w:r w:rsidRPr="005803F2">
        <w:rPr>
          <w:lang w:val="en-GB"/>
        </w:rPr>
        <w:t>1</w:t>
      </w:r>
      <w:r w:rsidR="0090452B" w:rsidRPr="005803F2">
        <w:rPr>
          <w:lang w:val="en-GB"/>
        </w:rPr>
        <w:t>3</w:t>
      </w:r>
      <w:r w:rsidRPr="005803F2">
        <w:rPr>
          <w:lang w:val="en-GB"/>
        </w:rPr>
        <w:t>.</w:t>
      </w:r>
      <w:r w:rsidRPr="005803F2">
        <w:rPr>
          <w:lang w:val="en-GB"/>
        </w:rPr>
        <w:tab/>
        <w:t>Other members of the group who have contributed to the development of the GTR include representatives from many other Contracting Parties, automotive industry trade association groups, vehicle manufacturers, and technical experts.</w:t>
      </w:r>
    </w:p>
    <w:p w14:paraId="4CE46326" w14:textId="13E68040" w:rsidR="00666B23" w:rsidRPr="005803F2" w:rsidRDefault="004D139B" w:rsidP="0082293B">
      <w:pPr>
        <w:spacing w:after="120"/>
        <w:ind w:left="1134" w:right="1134"/>
        <w:jc w:val="both"/>
        <w:rPr>
          <w:lang w:val="en-GB"/>
        </w:rPr>
      </w:pPr>
      <w:r w:rsidRPr="005803F2">
        <w:rPr>
          <w:lang w:val="en-GB"/>
        </w:rPr>
        <w:t>1</w:t>
      </w:r>
      <w:r w:rsidR="0090452B" w:rsidRPr="005803F2">
        <w:rPr>
          <w:lang w:val="en-GB"/>
        </w:rPr>
        <w:t>4</w:t>
      </w:r>
      <w:r w:rsidRPr="005803F2">
        <w:rPr>
          <w:lang w:val="en-GB"/>
        </w:rPr>
        <w:t>.</w:t>
      </w:r>
      <w:r w:rsidRPr="005803F2">
        <w:rPr>
          <w:lang w:val="en-GB"/>
        </w:rPr>
        <w:tab/>
        <w:t xml:space="preserve">The main discussions on the development of the GTR commenced at the </w:t>
      </w:r>
      <w:r w:rsidR="00666B23" w:rsidRPr="005803F2">
        <w:rPr>
          <w:lang w:val="en-GB"/>
        </w:rPr>
        <w:t>5</w:t>
      </w:r>
      <w:r w:rsidRPr="005803F2">
        <w:rPr>
          <w:lang w:val="en-GB"/>
        </w:rPr>
        <w:t>4</w:t>
      </w:r>
      <w:r w:rsidRPr="005803F2">
        <w:rPr>
          <w:vertAlign w:val="superscript"/>
          <w:lang w:val="en-GB"/>
        </w:rPr>
        <w:t>th</w:t>
      </w:r>
      <w:r w:rsidRPr="005803F2">
        <w:rPr>
          <w:lang w:val="en-GB"/>
        </w:rPr>
        <w:t xml:space="preserve"> session of the IWG on EVE and focussed on the format and content of the GTR. A framework for the GTR was soon developed that </w:t>
      </w:r>
      <w:proofErr w:type="spellStart"/>
      <w:r w:rsidR="00AA4854" w:rsidRPr="005803F2">
        <w:rPr>
          <w:lang w:val="en-GB"/>
        </w:rPr>
        <w:t>centered</w:t>
      </w:r>
      <w:proofErr w:type="spellEnd"/>
      <w:r w:rsidR="00AA4854" w:rsidRPr="005803F2">
        <w:rPr>
          <w:lang w:val="en-GB"/>
        </w:rPr>
        <w:t xml:space="preserve"> </w:t>
      </w:r>
      <w:r w:rsidRPr="005803F2">
        <w:rPr>
          <w:lang w:val="en-GB"/>
        </w:rPr>
        <w:t>around the concepts of a minimum performance requirement (MPR) for the in-vehicle battery, a readable on-board battery health monitor, an in-use verification procedure for assessment of the health monitor and a data collection process for assessment of durability against the MPR</w:t>
      </w:r>
      <w:r w:rsidR="0090452B" w:rsidRPr="005803F2">
        <w:rPr>
          <w:lang w:val="en-GB"/>
        </w:rPr>
        <w:t xml:space="preserve"> as defined </w:t>
      </w:r>
      <w:r w:rsidR="00666B23" w:rsidRPr="005803F2">
        <w:rPr>
          <w:lang w:val="en-GB"/>
        </w:rPr>
        <w:t>in the GTR No. 22 for electrified light-duty vehicles</w:t>
      </w:r>
      <w:r w:rsidRPr="005803F2">
        <w:rPr>
          <w:lang w:val="en-GB"/>
        </w:rPr>
        <w:t xml:space="preserve">. </w:t>
      </w:r>
    </w:p>
    <w:p w14:paraId="6731FCC4" w14:textId="0C4823CD" w:rsidR="004D139B" w:rsidRPr="005803F2" w:rsidRDefault="004D139B" w:rsidP="00683C79">
      <w:pPr>
        <w:spacing w:after="120"/>
        <w:ind w:left="1134" w:right="1134"/>
        <w:jc w:val="both"/>
        <w:rPr>
          <w:strike/>
          <w:lang w:val="en-GB"/>
        </w:rPr>
      </w:pPr>
      <w:r w:rsidRPr="005803F2">
        <w:rPr>
          <w:lang w:val="en-GB"/>
        </w:rPr>
        <w:t>1</w:t>
      </w:r>
      <w:r w:rsidR="006A3430" w:rsidRPr="005803F2">
        <w:rPr>
          <w:lang w:val="en-GB"/>
        </w:rPr>
        <w:t>5</w:t>
      </w:r>
      <w:r w:rsidRPr="005803F2">
        <w:rPr>
          <w:lang w:val="en-GB"/>
        </w:rPr>
        <w:t>.</w:t>
      </w:r>
      <w:r w:rsidRPr="005803F2">
        <w:rPr>
          <w:lang w:val="en-GB"/>
        </w:rPr>
        <w:tab/>
        <w:t xml:space="preserve">The framework established also provided the means by which to collect data for ongoing development of the GTR in a </w:t>
      </w:r>
      <w:r w:rsidR="00E533DF" w:rsidRPr="005803F2">
        <w:rPr>
          <w:lang w:val="en-GB"/>
        </w:rPr>
        <w:t>second phase</w:t>
      </w:r>
      <w:r w:rsidR="006A3430" w:rsidRPr="005803F2">
        <w:rPr>
          <w:lang w:val="en-GB"/>
        </w:rPr>
        <w:t>.</w:t>
      </w:r>
    </w:p>
    <w:p w14:paraId="03BAD2C2" w14:textId="6017F958" w:rsidR="004D139B" w:rsidRPr="005803F2" w:rsidRDefault="004D139B" w:rsidP="0082293B">
      <w:pPr>
        <w:spacing w:after="120"/>
        <w:ind w:left="1134" w:right="1134"/>
        <w:jc w:val="both"/>
        <w:rPr>
          <w:lang w:val="en-GB"/>
        </w:rPr>
      </w:pPr>
      <w:r w:rsidRPr="005803F2">
        <w:rPr>
          <w:lang w:val="en-GB"/>
        </w:rPr>
        <w:t>1</w:t>
      </w:r>
      <w:r w:rsidR="000E7A9C" w:rsidRPr="005803F2">
        <w:rPr>
          <w:lang w:val="en-GB"/>
        </w:rPr>
        <w:t>6</w:t>
      </w:r>
      <w:r w:rsidRPr="005803F2">
        <w:rPr>
          <w:lang w:val="en-GB"/>
        </w:rPr>
        <w:t>.</w:t>
      </w:r>
      <w:r w:rsidRPr="005803F2">
        <w:rPr>
          <w:lang w:val="en-GB"/>
        </w:rPr>
        <w:tab/>
        <w:t xml:space="preserve">Early agreement was reached that the GTR should not seek to dictate the algorithm used by the manufacturer in determination of on-board battery health metrics, but instead provide a means to ensure the accuracy of any values through in-use verification. </w:t>
      </w:r>
      <w:r w:rsidR="000E7A9C" w:rsidRPr="005803F2">
        <w:rPr>
          <w:lang w:val="en-GB"/>
        </w:rPr>
        <w:t xml:space="preserve">Only </w:t>
      </w:r>
      <w:r w:rsidR="000F5226" w:rsidRPr="005803F2">
        <w:rPr>
          <w:lang w:val="en-GB"/>
        </w:rPr>
        <w:t>one</w:t>
      </w:r>
      <w:r w:rsidR="000E7A9C" w:rsidRPr="005803F2">
        <w:rPr>
          <w:lang w:val="en-GB"/>
        </w:rPr>
        <w:t xml:space="preserve"> metric</w:t>
      </w:r>
      <w:r w:rsidRPr="005803F2">
        <w:rPr>
          <w:lang w:val="en-GB"/>
        </w:rPr>
        <w:t>, named the state of c</w:t>
      </w:r>
      <w:r w:rsidR="000E7A9C" w:rsidRPr="005803F2">
        <w:rPr>
          <w:lang w:val="en-GB"/>
        </w:rPr>
        <w:t xml:space="preserve">ertified energy (SOCE), </w:t>
      </w:r>
      <w:r w:rsidRPr="005803F2">
        <w:rPr>
          <w:lang w:val="en-GB"/>
        </w:rPr>
        <w:t xml:space="preserve">would form the basis for assessment within the </w:t>
      </w:r>
      <w:r w:rsidR="002A4543">
        <w:rPr>
          <w:lang w:val="en-GB"/>
        </w:rPr>
        <w:t xml:space="preserve">HDV </w:t>
      </w:r>
      <w:r w:rsidRPr="005803F2">
        <w:rPr>
          <w:lang w:val="en-GB"/>
        </w:rPr>
        <w:t>GTR.</w:t>
      </w:r>
    </w:p>
    <w:p w14:paraId="31341101" w14:textId="26E5057A" w:rsidR="004D139B" w:rsidRPr="005803F2" w:rsidRDefault="000E7A9C" w:rsidP="0082293B">
      <w:pPr>
        <w:spacing w:after="120"/>
        <w:ind w:left="1134" w:right="1134"/>
        <w:jc w:val="both"/>
        <w:rPr>
          <w:lang w:val="en-GB"/>
        </w:rPr>
      </w:pPr>
      <w:r w:rsidRPr="005803F2">
        <w:rPr>
          <w:lang w:val="en-GB"/>
        </w:rPr>
        <w:t>17</w:t>
      </w:r>
      <w:r w:rsidR="004D139B" w:rsidRPr="005803F2">
        <w:rPr>
          <w:lang w:val="en-GB"/>
        </w:rPr>
        <w:t>.</w:t>
      </w:r>
      <w:r w:rsidR="004D139B" w:rsidRPr="005803F2">
        <w:rPr>
          <w:lang w:val="en-GB"/>
        </w:rPr>
        <w:tab/>
      </w:r>
      <w:r w:rsidRPr="005803F2">
        <w:rPr>
          <w:lang w:val="en-GB"/>
        </w:rPr>
        <w:t>T</w:t>
      </w:r>
      <w:r w:rsidR="004D139B" w:rsidRPr="005803F2">
        <w:rPr>
          <w:lang w:val="en-GB"/>
        </w:rPr>
        <w:t xml:space="preserve">he </w:t>
      </w:r>
      <w:r w:rsidRPr="005803F2">
        <w:rPr>
          <w:lang w:val="en-GB"/>
        </w:rPr>
        <w:t>IWG spent a significant amount of time to define</w:t>
      </w:r>
      <w:r w:rsidR="004D139B" w:rsidRPr="005803F2">
        <w:rPr>
          <w:lang w:val="en-GB"/>
        </w:rPr>
        <w:t xml:space="preserve"> new test methods for </w:t>
      </w:r>
      <w:r w:rsidRPr="005803F2">
        <w:rPr>
          <w:lang w:val="en-GB"/>
        </w:rPr>
        <w:t xml:space="preserve">the </w:t>
      </w:r>
      <w:r w:rsidR="004D139B" w:rsidRPr="005803F2">
        <w:rPr>
          <w:lang w:val="en-GB"/>
        </w:rPr>
        <w:t xml:space="preserve">assessment of </w:t>
      </w:r>
      <w:r w:rsidR="00AA4854" w:rsidRPr="005803F2">
        <w:rPr>
          <w:lang w:val="en-GB"/>
        </w:rPr>
        <w:t xml:space="preserve">heavy-duty </w:t>
      </w:r>
      <w:r w:rsidR="004D139B" w:rsidRPr="005803F2">
        <w:rPr>
          <w:lang w:val="en-GB"/>
        </w:rPr>
        <w:t xml:space="preserve">vehicle battery energy, </w:t>
      </w:r>
      <w:r w:rsidRPr="005803F2">
        <w:rPr>
          <w:lang w:val="en-GB"/>
        </w:rPr>
        <w:t xml:space="preserve">since </w:t>
      </w:r>
      <w:r w:rsidR="00AA4854" w:rsidRPr="005803F2">
        <w:rPr>
          <w:lang w:val="en-GB"/>
        </w:rPr>
        <w:t xml:space="preserve">it was </w:t>
      </w:r>
      <w:r w:rsidRPr="005803F2">
        <w:rPr>
          <w:lang w:val="en-GB"/>
        </w:rPr>
        <w:t xml:space="preserve">not possible to </w:t>
      </w:r>
      <w:r w:rsidR="004D139B" w:rsidRPr="005803F2">
        <w:rPr>
          <w:lang w:val="en-GB"/>
        </w:rPr>
        <w:t xml:space="preserve">rely upon </w:t>
      </w:r>
      <w:r w:rsidRPr="005803F2">
        <w:rPr>
          <w:lang w:val="en-GB"/>
        </w:rPr>
        <w:t>existing</w:t>
      </w:r>
      <w:r w:rsidR="004D139B" w:rsidRPr="005803F2">
        <w:rPr>
          <w:lang w:val="en-GB"/>
        </w:rPr>
        <w:t xml:space="preserve"> test procedures for those purposes.</w:t>
      </w:r>
      <w:r w:rsidR="00AA4854" w:rsidRPr="005803F2">
        <w:rPr>
          <w:lang w:val="en-GB"/>
        </w:rPr>
        <w:t xml:space="preserve"> Some </w:t>
      </w:r>
      <w:r w:rsidR="00FC08AD" w:rsidRPr="005803F2">
        <w:rPr>
          <w:lang w:val="en-GB"/>
        </w:rPr>
        <w:t>key</w:t>
      </w:r>
      <w:r w:rsidR="00AA4854" w:rsidRPr="005803F2">
        <w:rPr>
          <w:lang w:val="en-GB"/>
        </w:rPr>
        <w:t xml:space="preserve"> difficulties posed by the testing of battery energy in heavy-duty vehicles include</w:t>
      </w:r>
      <w:r w:rsidR="00FC08AD" w:rsidRPr="005803F2">
        <w:rPr>
          <w:lang w:val="en-GB"/>
        </w:rPr>
        <w:t>:</w:t>
      </w:r>
      <w:r w:rsidR="00AA4854" w:rsidRPr="005803F2">
        <w:rPr>
          <w:lang w:val="en-GB"/>
        </w:rPr>
        <w:t xml:space="preserve"> the wide variety of </w:t>
      </w:r>
      <w:r w:rsidR="00FC08AD" w:rsidRPr="005803F2">
        <w:rPr>
          <w:lang w:val="en-GB"/>
        </w:rPr>
        <w:t xml:space="preserve">heavy-duty </w:t>
      </w:r>
      <w:r w:rsidR="00AA4854" w:rsidRPr="005803F2">
        <w:rPr>
          <w:lang w:val="en-GB"/>
        </w:rPr>
        <w:t>vehicle configurations, the scarcity of heavy-duty capable chassis dynamometers</w:t>
      </w:r>
      <w:r w:rsidR="002A4543">
        <w:rPr>
          <w:lang w:val="en-GB"/>
        </w:rPr>
        <w:t xml:space="preserve"> in some regions</w:t>
      </w:r>
      <w:r w:rsidR="00AA4854" w:rsidRPr="005803F2">
        <w:rPr>
          <w:lang w:val="en-GB"/>
        </w:rPr>
        <w:t xml:space="preserve">, the </w:t>
      </w:r>
      <w:r w:rsidR="00FC08AD" w:rsidRPr="005803F2">
        <w:rPr>
          <w:lang w:val="en-GB"/>
        </w:rPr>
        <w:t xml:space="preserve">frequent </w:t>
      </w:r>
      <w:r w:rsidR="00AA4854" w:rsidRPr="005803F2">
        <w:rPr>
          <w:lang w:val="en-GB"/>
        </w:rPr>
        <w:t xml:space="preserve">presence of auxiliary devices that perform a significant amount of non-propulsion work, and the </w:t>
      </w:r>
      <w:r w:rsidR="00FC08AD" w:rsidRPr="005803F2">
        <w:rPr>
          <w:lang w:val="en-GB"/>
        </w:rPr>
        <w:t xml:space="preserve">frequent </w:t>
      </w:r>
      <w:r w:rsidR="00AA4854" w:rsidRPr="005803F2">
        <w:rPr>
          <w:lang w:val="en-GB"/>
        </w:rPr>
        <w:t>presence of multiple batteries or battery configurations.</w:t>
      </w:r>
    </w:p>
    <w:p w14:paraId="4489E334" w14:textId="712F131A" w:rsidR="008D4766" w:rsidRPr="005803F2" w:rsidRDefault="008D4766" w:rsidP="008D4766">
      <w:pPr>
        <w:spacing w:after="120"/>
        <w:ind w:left="1134" w:right="1134"/>
        <w:jc w:val="both"/>
        <w:rPr>
          <w:lang w:val="en-GB"/>
        </w:rPr>
      </w:pPr>
      <w:r w:rsidRPr="005803F2">
        <w:rPr>
          <w:lang w:val="en-GB"/>
        </w:rPr>
        <w:t>18.</w:t>
      </w:r>
      <w:r w:rsidRPr="005803F2">
        <w:rPr>
          <w:lang w:val="en-GB"/>
        </w:rPr>
        <w:tab/>
        <w:t xml:space="preserve">The European Commission Joint Research Centre (JRC) presented a proposal to measure the </w:t>
      </w:r>
      <w:r w:rsidR="00683C79" w:rsidRPr="005803F2">
        <w:rPr>
          <w:lang w:val="en-GB"/>
        </w:rPr>
        <w:t>battery energy</w:t>
      </w:r>
      <w:r w:rsidRPr="005803F2">
        <w:rPr>
          <w:lang w:val="en-GB"/>
        </w:rPr>
        <w:t xml:space="preserve"> using a bidirectional power supply system in a temperature</w:t>
      </w:r>
      <w:r w:rsidR="00683C79" w:rsidRPr="005803F2">
        <w:rPr>
          <w:lang w:val="en-GB"/>
        </w:rPr>
        <w:noBreakHyphen/>
      </w:r>
      <w:r w:rsidRPr="005803F2">
        <w:rPr>
          <w:lang w:val="en-GB"/>
        </w:rPr>
        <w:t>controlled environment, ensuring proper preconditioning of both the vehicle and the battery while controlling the discharge power such that it is representative of in</w:t>
      </w:r>
      <w:r w:rsidR="00683C79" w:rsidRPr="005803F2">
        <w:rPr>
          <w:lang w:val="en-GB"/>
        </w:rPr>
        <w:noBreakHyphen/>
      </w:r>
      <w:r w:rsidRPr="005803F2">
        <w:rPr>
          <w:lang w:val="en-GB"/>
        </w:rPr>
        <w:t xml:space="preserve">service vehicle use. The measurement of the usable battery energy by a discharge at constant power using a bidirectional power supply has been considered as a suitable compromise between the feasibility of the test and its accuracy. </w:t>
      </w:r>
      <w:r w:rsidR="002071B9" w:rsidRPr="002071B9">
        <w:rPr>
          <w:lang w:val="en-GB"/>
        </w:rPr>
        <w:t>A test campaign was carried out by Japan to explore the possibility of this test method and assessing the comparison with dyno test results.</w:t>
      </w:r>
    </w:p>
    <w:p w14:paraId="78DE2BC3" w14:textId="51ABE429" w:rsidR="008D4766" w:rsidRPr="005803F2" w:rsidRDefault="008D4766" w:rsidP="008D4766">
      <w:pPr>
        <w:spacing w:after="120"/>
        <w:ind w:left="1134" w:right="1134"/>
        <w:jc w:val="both"/>
        <w:rPr>
          <w:lang w:val="en-GB"/>
        </w:rPr>
      </w:pPr>
      <w:r w:rsidRPr="005803F2">
        <w:rPr>
          <w:lang w:val="en-GB"/>
        </w:rPr>
        <w:t>19.</w:t>
      </w:r>
      <w:r w:rsidRPr="005803F2">
        <w:rPr>
          <w:lang w:val="en-GB"/>
        </w:rPr>
        <w:tab/>
        <w:t xml:space="preserve"> In order to ensure the feasibility of the test for all Contracting Parties and for all types of heavy-duty electrified vehicles, even those that do not allow battery discharging through a power supply system, it was proposed and then agreed to adopt three types of tests for the measurement of the usable battery energy, plus an alternative method based on </w:t>
      </w:r>
      <w:r w:rsidR="002A4543">
        <w:rPr>
          <w:lang w:val="en-GB"/>
        </w:rPr>
        <w:t>the use of</w:t>
      </w:r>
      <w:r w:rsidR="002A4543" w:rsidRPr="005803F2">
        <w:rPr>
          <w:lang w:val="en-GB"/>
        </w:rPr>
        <w:t xml:space="preserve"> </w:t>
      </w:r>
      <w:r w:rsidRPr="005803F2">
        <w:rPr>
          <w:lang w:val="en-GB"/>
        </w:rPr>
        <w:t>a chassis dynamometer:</w:t>
      </w:r>
    </w:p>
    <w:p w14:paraId="7E41CAED" w14:textId="77777777" w:rsidR="008D4766" w:rsidRPr="005803F2" w:rsidRDefault="008D4766" w:rsidP="008D4766">
      <w:pPr>
        <w:spacing w:after="120"/>
        <w:ind w:left="1134" w:right="1134"/>
        <w:jc w:val="both"/>
        <w:rPr>
          <w:lang w:val="en-GB"/>
        </w:rPr>
      </w:pPr>
      <w:r w:rsidRPr="005803F2">
        <w:rPr>
          <w:lang w:val="en-GB"/>
        </w:rPr>
        <w:t>•</w:t>
      </w:r>
      <w:r w:rsidRPr="005803F2">
        <w:rPr>
          <w:lang w:val="en-GB"/>
        </w:rPr>
        <w:tab/>
        <w:t>Method 1a: Discharge by driving on a test track using characteristic regional speeds;</w:t>
      </w:r>
    </w:p>
    <w:p w14:paraId="3D12E64D" w14:textId="77777777" w:rsidR="008D4766" w:rsidRPr="005803F2" w:rsidRDefault="008D4766" w:rsidP="008D4766">
      <w:pPr>
        <w:spacing w:after="120"/>
        <w:ind w:left="1134" w:right="1134"/>
        <w:jc w:val="both"/>
        <w:rPr>
          <w:lang w:val="en-GB"/>
        </w:rPr>
      </w:pPr>
      <w:r w:rsidRPr="005803F2">
        <w:rPr>
          <w:lang w:val="en-GB"/>
        </w:rPr>
        <w:t>•</w:t>
      </w:r>
      <w:r w:rsidRPr="005803F2">
        <w:rPr>
          <w:lang w:val="en-GB"/>
        </w:rPr>
        <w:tab/>
        <w:t>Method 1b: Discharge by driving on the road;</w:t>
      </w:r>
    </w:p>
    <w:p w14:paraId="1919E9B9" w14:textId="77777777" w:rsidR="008D4766" w:rsidRPr="005803F2" w:rsidRDefault="008D4766" w:rsidP="008D4766">
      <w:pPr>
        <w:spacing w:after="120"/>
        <w:ind w:left="1134" w:right="1134"/>
        <w:jc w:val="both"/>
        <w:rPr>
          <w:lang w:val="en-GB"/>
        </w:rPr>
      </w:pPr>
      <w:r w:rsidRPr="005803F2">
        <w:rPr>
          <w:lang w:val="en-GB"/>
        </w:rPr>
        <w:lastRenderedPageBreak/>
        <w:t>•</w:t>
      </w:r>
      <w:r w:rsidRPr="005803F2">
        <w:rPr>
          <w:lang w:val="en-GB"/>
        </w:rPr>
        <w:tab/>
        <w:t>Method 2: Discharge using a bidirectional power supply system; and</w:t>
      </w:r>
    </w:p>
    <w:p w14:paraId="12281834" w14:textId="51826EC5" w:rsidR="008D4766" w:rsidRPr="00CE68C4" w:rsidRDefault="008D4766" w:rsidP="008D4766">
      <w:pPr>
        <w:spacing w:after="120"/>
        <w:ind w:left="1134" w:right="1134"/>
        <w:jc w:val="both"/>
        <w:rPr>
          <w:lang w:val="en-GB"/>
        </w:rPr>
      </w:pPr>
      <w:r w:rsidRPr="00CE68C4">
        <w:rPr>
          <w:lang w:val="en-GB"/>
        </w:rPr>
        <w:t>•</w:t>
      </w:r>
      <w:r w:rsidRPr="00CE68C4">
        <w:rPr>
          <w:lang w:val="en-GB"/>
        </w:rPr>
        <w:tab/>
        <w:t xml:space="preserve">As an alternative to these test procedures, the battery may be discharged using a </w:t>
      </w:r>
      <w:r w:rsidR="00683C79" w:rsidRPr="00CE68C4">
        <w:rPr>
          <w:lang w:val="en-GB"/>
        </w:rPr>
        <w:t>Heavy-Duty Vehicle (</w:t>
      </w:r>
      <w:r w:rsidRPr="00CE68C4">
        <w:rPr>
          <w:lang w:val="en-GB"/>
        </w:rPr>
        <w:t>HDV</w:t>
      </w:r>
      <w:r w:rsidR="00683C79" w:rsidRPr="00CE68C4">
        <w:rPr>
          <w:lang w:val="en-GB"/>
        </w:rPr>
        <w:t>)</w:t>
      </w:r>
      <w:r w:rsidRPr="00CE68C4">
        <w:rPr>
          <w:lang w:val="en-GB"/>
        </w:rPr>
        <w:t xml:space="preserve"> chassis dynamometer</w:t>
      </w:r>
      <w:r w:rsidR="008E4BC1" w:rsidRPr="00CE68C4">
        <w:rPr>
          <w:lang w:val="en-GB"/>
        </w:rPr>
        <w:t xml:space="preserve"> over constant speed and transient cycles</w:t>
      </w:r>
      <w:r w:rsidR="00683C79" w:rsidRPr="00CE68C4">
        <w:rPr>
          <w:lang w:val="en-GB"/>
        </w:rPr>
        <w:t>.</w:t>
      </w:r>
    </w:p>
    <w:p w14:paraId="3B96C752" w14:textId="6A04D9D5" w:rsidR="00683C79" w:rsidRPr="005803F2" w:rsidRDefault="00683C79" w:rsidP="008D4766">
      <w:pPr>
        <w:spacing w:after="120"/>
        <w:ind w:left="1134" w:right="1134"/>
        <w:jc w:val="both"/>
        <w:rPr>
          <w:lang w:val="en-GB"/>
        </w:rPr>
      </w:pPr>
      <w:r w:rsidRPr="005803F2">
        <w:rPr>
          <w:lang w:val="en-GB"/>
        </w:rPr>
        <w:t>20</w:t>
      </w:r>
      <w:r w:rsidR="008D4766" w:rsidRPr="005803F2">
        <w:rPr>
          <w:lang w:val="en-GB"/>
        </w:rPr>
        <w:t xml:space="preserve">. </w:t>
      </w:r>
      <w:r w:rsidR="008D4766" w:rsidRPr="005803F2">
        <w:rPr>
          <w:lang w:val="en-GB"/>
        </w:rPr>
        <w:tab/>
      </w:r>
      <w:r w:rsidRPr="005803F2">
        <w:rPr>
          <w:lang w:val="en-GB"/>
        </w:rPr>
        <w:t>Extensive discussion took place to</w:t>
      </w:r>
      <w:r w:rsidR="008D4766" w:rsidRPr="005803F2">
        <w:rPr>
          <w:lang w:val="en-GB"/>
        </w:rPr>
        <w:t xml:space="preserve"> define the boundary con</w:t>
      </w:r>
      <w:r w:rsidRPr="005803F2">
        <w:rPr>
          <w:lang w:val="en-GB"/>
        </w:rPr>
        <w:t>ditions of the test procedures.</w:t>
      </w:r>
      <w:r w:rsidR="007430F2" w:rsidRPr="005803F2">
        <w:rPr>
          <w:lang w:val="en-GB"/>
        </w:rPr>
        <w:t xml:space="preserve"> A breakout group was established to explore options for the test methods used in Part </w:t>
      </w:r>
      <w:proofErr w:type="gramStart"/>
      <w:r w:rsidR="007430F2" w:rsidRPr="005803F2">
        <w:rPr>
          <w:lang w:val="en-GB"/>
        </w:rPr>
        <w:t>A</w:t>
      </w:r>
      <w:proofErr w:type="gramEnd"/>
      <w:r w:rsidR="007430F2" w:rsidRPr="005803F2">
        <w:rPr>
          <w:lang w:val="en-GB"/>
        </w:rPr>
        <w:t xml:space="preserve"> (Verification of Monitors) lead by representatives from the European Commission’s Joint Research Centre.</w:t>
      </w:r>
      <w:r w:rsidR="00F62EB8" w:rsidRPr="005803F2">
        <w:rPr>
          <w:lang w:val="en-GB"/>
        </w:rPr>
        <w:t xml:space="preserve"> A pilot phase was organised by manufacturers as part of this process for defining the new test methods.</w:t>
      </w:r>
    </w:p>
    <w:p w14:paraId="34EF0E02" w14:textId="58E03522" w:rsidR="00EA677D" w:rsidRPr="00E74BD9" w:rsidRDefault="00EA677D" w:rsidP="008D4766">
      <w:pPr>
        <w:spacing w:after="120"/>
        <w:ind w:left="1134" w:right="1134"/>
        <w:jc w:val="both"/>
        <w:rPr>
          <w:lang w:val="en-GB"/>
        </w:rPr>
      </w:pPr>
      <w:r w:rsidRPr="005803F2">
        <w:rPr>
          <w:lang w:val="en-GB"/>
        </w:rPr>
        <w:t>21.</w:t>
      </w:r>
      <w:r w:rsidRPr="005803F2">
        <w:rPr>
          <w:lang w:val="en-GB"/>
        </w:rPr>
        <w:tab/>
        <w:t xml:space="preserve">A breakout group was also created to establish definitions for the break-off criterion for the new test methods defined in the GTR. Representatives from the European Commission, </w:t>
      </w:r>
      <w:r w:rsidR="00774408" w:rsidRPr="005803F2">
        <w:rPr>
          <w:lang w:val="en-GB"/>
        </w:rPr>
        <w:t xml:space="preserve">the </w:t>
      </w:r>
      <w:r w:rsidR="00942927" w:rsidRPr="005803F2">
        <w:rPr>
          <w:lang w:val="en-GB"/>
        </w:rPr>
        <w:t>U</w:t>
      </w:r>
      <w:r w:rsidR="00774408" w:rsidRPr="005803F2">
        <w:rPr>
          <w:lang w:val="en-GB"/>
        </w:rPr>
        <w:t xml:space="preserve">nited </w:t>
      </w:r>
      <w:r w:rsidR="00942927" w:rsidRPr="005803F2">
        <w:rPr>
          <w:lang w:val="en-GB"/>
        </w:rPr>
        <w:t>S</w:t>
      </w:r>
      <w:r w:rsidR="00774408" w:rsidRPr="005803F2">
        <w:rPr>
          <w:lang w:val="en-GB"/>
        </w:rPr>
        <w:t>tates</w:t>
      </w:r>
      <w:r w:rsidRPr="005803F2">
        <w:rPr>
          <w:lang w:val="en-GB"/>
        </w:rPr>
        <w:t xml:space="preserve">, Japan and industry experts worked together </w:t>
      </w:r>
      <w:r w:rsidRPr="00E74BD9">
        <w:rPr>
          <w:lang w:val="en-GB"/>
        </w:rPr>
        <w:t xml:space="preserve">closely to determine a solution that also addressed regional regulations, ensuring the GTR is applicable to </w:t>
      </w:r>
      <w:r w:rsidR="00E533DF" w:rsidRPr="00E74BD9">
        <w:rPr>
          <w:lang w:val="en-GB"/>
        </w:rPr>
        <w:t xml:space="preserve">all </w:t>
      </w:r>
      <w:r w:rsidRPr="00E74BD9">
        <w:rPr>
          <w:lang w:val="en-GB"/>
        </w:rPr>
        <w:t>regions.</w:t>
      </w:r>
      <w:r w:rsidR="001D1FF2" w:rsidRPr="00E74BD9">
        <w:rPr>
          <w:lang w:val="en-GB"/>
        </w:rPr>
        <w:t xml:space="preserve"> </w:t>
      </w:r>
    </w:p>
    <w:p w14:paraId="357D1381" w14:textId="0B5C8F6D" w:rsidR="004D139B" w:rsidRPr="005803F2" w:rsidRDefault="004D139B" w:rsidP="008D4766">
      <w:pPr>
        <w:spacing w:after="120"/>
        <w:ind w:left="1134" w:right="1134"/>
        <w:jc w:val="both"/>
        <w:rPr>
          <w:lang w:val="en-GB"/>
        </w:rPr>
      </w:pPr>
      <w:r w:rsidRPr="00E74BD9">
        <w:rPr>
          <w:lang w:val="en-GB"/>
        </w:rPr>
        <w:t>2</w:t>
      </w:r>
      <w:r w:rsidR="00EA677D" w:rsidRPr="00E74BD9">
        <w:rPr>
          <w:lang w:val="en-GB"/>
        </w:rPr>
        <w:t>2</w:t>
      </w:r>
      <w:r w:rsidRPr="00E74BD9">
        <w:rPr>
          <w:lang w:val="en-GB"/>
        </w:rPr>
        <w:t>.</w:t>
      </w:r>
      <w:r w:rsidRPr="00E74BD9">
        <w:rPr>
          <w:lang w:val="en-GB"/>
        </w:rPr>
        <w:tab/>
        <w:t xml:space="preserve">Initial drafting of the GTR started in the </w:t>
      </w:r>
      <w:r w:rsidR="004147D1" w:rsidRPr="00E74BD9">
        <w:rPr>
          <w:lang w:val="en-GB"/>
        </w:rPr>
        <w:t>58</w:t>
      </w:r>
      <w:r w:rsidRPr="00E74BD9">
        <w:rPr>
          <w:vertAlign w:val="superscript"/>
          <w:lang w:val="en-GB"/>
        </w:rPr>
        <w:t>th</w:t>
      </w:r>
      <w:r w:rsidRPr="00E74BD9">
        <w:rPr>
          <w:lang w:val="en-GB"/>
        </w:rPr>
        <w:t xml:space="preserve"> session of IWG on EVE and an </w:t>
      </w:r>
      <w:r w:rsidRPr="005803F2">
        <w:rPr>
          <w:lang w:val="en-GB"/>
        </w:rPr>
        <w:t>increased frequency of meetings was commenced in recognition of the significant work required on drafting and the novel basis of this GTR.</w:t>
      </w:r>
    </w:p>
    <w:p w14:paraId="6C5F38DE" w14:textId="5F73F656" w:rsidR="004147D1" w:rsidRPr="005803F2" w:rsidRDefault="004D139B" w:rsidP="0082293B">
      <w:pPr>
        <w:spacing w:after="120"/>
        <w:ind w:left="1134" w:right="1134"/>
        <w:jc w:val="both"/>
        <w:rPr>
          <w:lang w:val="en-GB"/>
        </w:rPr>
      </w:pPr>
      <w:r w:rsidRPr="005803F2">
        <w:rPr>
          <w:lang w:val="en-GB"/>
        </w:rPr>
        <w:t>2</w:t>
      </w:r>
      <w:r w:rsidR="00EA677D" w:rsidRPr="005803F2">
        <w:rPr>
          <w:lang w:val="en-GB"/>
        </w:rPr>
        <w:t>3</w:t>
      </w:r>
      <w:r w:rsidRPr="005803F2">
        <w:rPr>
          <w:lang w:val="en-GB"/>
        </w:rPr>
        <w:t>.</w:t>
      </w:r>
      <w:r w:rsidRPr="005803F2">
        <w:rPr>
          <w:lang w:val="en-GB"/>
        </w:rPr>
        <w:tab/>
      </w:r>
      <w:r w:rsidR="004147D1" w:rsidRPr="005803F2">
        <w:rPr>
          <w:lang w:val="en-GB"/>
        </w:rPr>
        <w:t>In determining appropriate MPR values for this GTR, the IWG on EVE considered inputs from stakeholders within the IWG and available</w:t>
      </w:r>
      <w:r w:rsidRPr="005803F2">
        <w:rPr>
          <w:lang w:val="en-GB"/>
        </w:rPr>
        <w:t xml:space="preserve"> data sources in order to try and understand the performance of electri</w:t>
      </w:r>
      <w:r w:rsidR="004147D1" w:rsidRPr="005803F2">
        <w:rPr>
          <w:lang w:val="en-GB"/>
        </w:rPr>
        <w:t>fied heavy</w:t>
      </w:r>
      <w:r w:rsidR="00E533DF" w:rsidRPr="005803F2">
        <w:rPr>
          <w:lang w:val="en-GB"/>
        </w:rPr>
        <w:t>-</w:t>
      </w:r>
      <w:r w:rsidR="004147D1" w:rsidRPr="005803F2">
        <w:rPr>
          <w:lang w:val="en-GB"/>
        </w:rPr>
        <w:t>duty</w:t>
      </w:r>
      <w:r w:rsidRPr="005803F2">
        <w:rPr>
          <w:lang w:val="en-GB"/>
        </w:rPr>
        <w:t xml:space="preserve"> vehicles.</w:t>
      </w:r>
      <w:r w:rsidR="004147D1" w:rsidRPr="005803F2">
        <w:rPr>
          <w:lang w:val="en-GB"/>
        </w:rPr>
        <w:t xml:space="preserve"> A </w:t>
      </w:r>
      <w:r w:rsidR="006D41DF" w:rsidRPr="005803F2">
        <w:rPr>
          <w:lang w:val="en-GB"/>
        </w:rPr>
        <w:t>w</w:t>
      </w:r>
      <w:r w:rsidR="004147D1" w:rsidRPr="005803F2">
        <w:rPr>
          <w:lang w:val="en-GB"/>
        </w:rPr>
        <w:t xml:space="preserve">arranty analysis was conducted by the United Kingdom (UK) to understand the current warranty </w:t>
      </w:r>
      <w:r w:rsidR="00BB58DD" w:rsidRPr="005803F2">
        <w:rPr>
          <w:lang w:val="en-GB"/>
        </w:rPr>
        <w:t xml:space="preserve">offerings </w:t>
      </w:r>
      <w:r w:rsidR="004147D1" w:rsidRPr="005803F2">
        <w:rPr>
          <w:lang w:val="en-GB"/>
        </w:rPr>
        <w:t xml:space="preserve">from manufacturers </w:t>
      </w:r>
      <w:r w:rsidR="00BB58DD" w:rsidRPr="005803F2">
        <w:rPr>
          <w:lang w:val="en-GB"/>
        </w:rPr>
        <w:t xml:space="preserve">of </w:t>
      </w:r>
      <w:r w:rsidR="004147D1" w:rsidRPr="005803F2">
        <w:rPr>
          <w:lang w:val="en-GB"/>
        </w:rPr>
        <w:t>electric heavy-duty vehicle batteries</w:t>
      </w:r>
      <w:r w:rsidR="00F4402D" w:rsidRPr="005803F2">
        <w:rPr>
          <w:lang w:val="en-GB"/>
        </w:rPr>
        <w:t xml:space="preserve">. The review primarily focused on the UK market, but </w:t>
      </w:r>
      <w:r w:rsidR="00774408" w:rsidRPr="005803F2">
        <w:rPr>
          <w:lang w:val="en-GB"/>
        </w:rPr>
        <w:t>warranty offerings</w:t>
      </w:r>
      <w:r w:rsidR="00F4402D" w:rsidRPr="005803F2">
        <w:rPr>
          <w:lang w:val="en-GB"/>
        </w:rPr>
        <w:t xml:space="preserve"> were </w:t>
      </w:r>
      <w:r w:rsidR="00774408" w:rsidRPr="005803F2">
        <w:rPr>
          <w:lang w:val="en-GB"/>
        </w:rPr>
        <w:t xml:space="preserve">generally </w:t>
      </w:r>
      <w:r w:rsidR="00F4402D" w:rsidRPr="005803F2">
        <w:rPr>
          <w:lang w:val="en-GB"/>
        </w:rPr>
        <w:t xml:space="preserve">consistent with typical offerings in </w:t>
      </w:r>
      <w:proofErr w:type="gramStart"/>
      <w:r w:rsidR="00F4402D" w:rsidRPr="005803F2">
        <w:rPr>
          <w:lang w:val="en-GB"/>
        </w:rPr>
        <w:t>other  markets</w:t>
      </w:r>
      <w:proofErr w:type="gramEnd"/>
      <w:r w:rsidR="00F4402D" w:rsidRPr="005803F2">
        <w:rPr>
          <w:lang w:val="en-GB"/>
        </w:rPr>
        <w:t>.</w:t>
      </w:r>
      <w:r w:rsidR="002F06C9" w:rsidRPr="005803F2">
        <w:rPr>
          <w:lang w:val="en-GB"/>
        </w:rPr>
        <w:t xml:space="preserve"> Representatives from the European Commission’s Joint Research Centre used the ‘Transport </w:t>
      </w:r>
      <w:proofErr w:type="spellStart"/>
      <w:r w:rsidR="002F06C9" w:rsidRPr="005803F2">
        <w:rPr>
          <w:lang w:val="en-GB"/>
        </w:rPr>
        <w:t>tEchnology</w:t>
      </w:r>
      <w:proofErr w:type="spellEnd"/>
      <w:r w:rsidR="002F06C9" w:rsidRPr="005803F2">
        <w:rPr>
          <w:lang w:val="en-GB"/>
        </w:rPr>
        <w:t xml:space="preserve"> and Mobility Assessment Platform’ (TEMA) to evaluate MPR proposals, comparing against data from literature, before presenting their findings to the IWG.</w:t>
      </w:r>
    </w:p>
    <w:p w14:paraId="1A6201ED" w14:textId="402770FA" w:rsidR="004D139B" w:rsidRPr="005803F2" w:rsidRDefault="00F4402D" w:rsidP="0082293B">
      <w:pPr>
        <w:spacing w:after="120"/>
        <w:ind w:left="1134" w:right="1134"/>
        <w:jc w:val="both"/>
        <w:rPr>
          <w:lang w:val="en-GB"/>
        </w:rPr>
      </w:pPr>
      <w:r w:rsidRPr="005803F2">
        <w:rPr>
          <w:lang w:val="en-GB"/>
        </w:rPr>
        <w:t>2</w:t>
      </w:r>
      <w:r w:rsidR="00EA677D" w:rsidRPr="005803F2">
        <w:rPr>
          <w:lang w:val="en-GB"/>
        </w:rPr>
        <w:t>4</w:t>
      </w:r>
      <w:r w:rsidRPr="005803F2">
        <w:rPr>
          <w:lang w:val="en-GB"/>
        </w:rPr>
        <w:t>.</w:t>
      </w:r>
      <w:r w:rsidR="007430F2" w:rsidRPr="005803F2">
        <w:rPr>
          <w:lang w:val="en-GB"/>
        </w:rPr>
        <w:tab/>
      </w:r>
      <w:r w:rsidR="004D139B" w:rsidRPr="005803F2">
        <w:rPr>
          <w:lang w:val="en-GB"/>
        </w:rPr>
        <w:t xml:space="preserve">A consensus amongst contracting parties was eventually reached at the </w:t>
      </w:r>
      <w:r w:rsidRPr="005803F2">
        <w:rPr>
          <w:lang w:val="en-GB"/>
        </w:rPr>
        <w:t>73</w:t>
      </w:r>
      <w:r w:rsidRPr="005803F2">
        <w:rPr>
          <w:vertAlign w:val="superscript"/>
          <w:lang w:val="en-GB"/>
        </w:rPr>
        <w:t>rd</w:t>
      </w:r>
      <w:r w:rsidRPr="005803F2">
        <w:rPr>
          <w:lang w:val="en-GB"/>
        </w:rPr>
        <w:t xml:space="preserve"> </w:t>
      </w:r>
      <w:r w:rsidR="00E533DF" w:rsidRPr="005803F2">
        <w:rPr>
          <w:lang w:val="en-GB"/>
        </w:rPr>
        <w:t xml:space="preserve">IWG on </w:t>
      </w:r>
      <w:r w:rsidR="00774408" w:rsidRPr="005803F2">
        <w:rPr>
          <w:lang w:val="en-GB"/>
        </w:rPr>
        <w:t xml:space="preserve">EVE </w:t>
      </w:r>
      <w:r w:rsidR="00500B2A" w:rsidRPr="005803F2">
        <w:rPr>
          <w:lang w:val="en-GB"/>
        </w:rPr>
        <w:t xml:space="preserve">meeting </w:t>
      </w:r>
      <w:r w:rsidR="00774408" w:rsidRPr="005803F2">
        <w:rPr>
          <w:lang w:val="en-GB"/>
        </w:rPr>
        <w:t xml:space="preserve">in </w:t>
      </w:r>
      <w:r w:rsidR="00E533DF" w:rsidRPr="005803F2">
        <w:rPr>
          <w:lang w:val="en-GB"/>
        </w:rPr>
        <w:t>mid</w:t>
      </w:r>
      <w:r w:rsidR="00774408" w:rsidRPr="005803F2">
        <w:rPr>
          <w:lang w:val="en-GB"/>
        </w:rPr>
        <w:t>-</w:t>
      </w:r>
      <w:r w:rsidR="004D139B" w:rsidRPr="005803F2">
        <w:rPr>
          <w:lang w:val="en-GB"/>
        </w:rPr>
        <w:t>202</w:t>
      </w:r>
      <w:r w:rsidR="00500B2A" w:rsidRPr="005803F2">
        <w:rPr>
          <w:lang w:val="en-GB"/>
        </w:rPr>
        <w:t>4</w:t>
      </w:r>
      <w:r w:rsidR="004D139B" w:rsidRPr="005803F2">
        <w:rPr>
          <w:lang w:val="en-GB"/>
        </w:rPr>
        <w:t xml:space="preserve">, which resulted in the establishment of </w:t>
      </w:r>
      <w:r w:rsidR="00500B2A" w:rsidRPr="005803F2">
        <w:rPr>
          <w:lang w:val="en-GB"/>
        </w:rPr>
        <w:t xml:space="preserve">an optional annex with the </w:t>
      </w:r>
      <w:r w:rsidR="004D139B" w:rsidRPr="005803F2">
        <w:rPr>
          <w:lang w:val="en-GB"/>
        </w:rPr>
        <w:t xml:space="preserve">MPRs based upon SOCE that are included within this GTR. A view was taken that </w:t>
      </w:r>
      <w:r w:rsidR="00500B2A" w:rsidRPr="005803F2">
        <w:rPr>
          <w:lang w:val="en-GB"/>
        </w:rPr>
        <w:t>the energy-throughput, the total amount of energy in kWh discharged from the battery, will be monitored during phase 1</w:t>
      </w:r>
      <w:r w:rsidR="00E533DF" w:rsidRPr="005803F2">
        <w:rPr>
          <w:lang w:val="en-GB"/>
        </w:rPr>
        <w:t>,</w:t>
      </w:r>
      <w:r w:rsidR="00500B2A" w:rsidRPr="005803F2">
        <w:rPr>
          <w:lang w:val="en-GB"/>
        </w:rPr>
        <w:t xml:space="preserve"> in view of a future revision of the lifetime thresholds for confirming the compliance with the minimum performance requirements set over years and kilometres in this current GTR.</w:t>
      </w:r>
    </w:p>
    <w:p w14:paraId="38E8A5CF" w14:textId="3B0FD2F1" w:rsidR="00500B2A" w:rsidRPr="005803F2" w:rsidRDefault="00500B2A" w:rsidP="0082293B">
      <w:pPr>
        <w:spacing w:after="120"/>
        <w:ind w:left="1134" w:right="1134"/>
        <w:jc w:val="both"/>
        <w:rPr>
          <w:lang w:val="en-GB"/>
        </w:rPr>
      </w:pPr>
      <w:r w:rsidRPr="005803F2">
        <w:rPr>
          <w:lang w:val="en-GB"/>
        </w:rPr>
        <w:t>2</w:t>
      </w:r>
      <w:r w:rsidR="00FA28FF" w:rsidRPr="005803F2">
        <w:rPr>
          <w:lang w:val="en-GB"/>
        </w:rPr>
        <w:t>5</w:t>
      </w:r>
      <w:r w:rsidRPr="005803F2">
        <w:rPr>
          <w:lang w:val="en-GB"/>
        </w:rPr>
        <w:t>.</w:t>
      </w:r>
      <w:r w:rsidR="007430F2" w:rsidRPr="005803F2">
        <w:rPr>
          <w:lang w:val="en-GB"/>
        </w:rPr>
        <w:tab/>
      </w:r>
      <w:r w:rsidRPr="005803F2">
        <w:rPr>
          <w:lang w:val="en-GB"/>
        </w:rPr>
        <w:t>The collection and monitoring of field data is recognised to be of key importance for the future revision of the MPRs and metrics. It was highlighted by manufacturers that the understanding and estimation of Power Take-Off (</w:t>
      </w:r>
      <w:r w:rsidR="00E533DF" w:rsidRPr="005803F2">
        <w:rPr>
          <w:lang w:val="en-GB"/>
        </w:rPr>
        <w:t>PTO) applications</w:t>
      </w:r>
      <w:r w:rsidRPr="005803F2">
        <w:rPr>
          <w:lang w:val="en-GB"/>
        </w:rPr>
        <w:t xml:space="preserve">, such as, concrete mixer, crane, construction or garbage compaction, </w:t>
      </w:r>
      <w:r w:rsidR="00E533DF" w:rsidRPr="005803F2">
        <w:rPr>
          <w:lang w:val="en-GB"/>
        </w:rPr>
        <w:t>et</w:t>
      </w:r>
      <w:r w:rsidR="002A4543">
        <w:rPr>
          <w:lang w:val="en-GB"/>
        </w:rPr>
        <w:t>c.</w:t>
      </w:r>
      <w:r w:rsidR="00E533DF" w:rsidRPr="005803F2">
        <w:rPr>
          <w:lang w:val="en-GB"/>
        </w:rPr>
        <w:t>,</w:t>
      </w:r>
      <w:r w:rsidRPr="005803F2">
        <w:rPr>
          <w:lang w:val="en-GB"/>
        </w:rPr>
        <w:t xml:space="preserve"> currently presents an increased challenge compared to only drive and charge behaviour. A concept related to virtual distance was introduced to cover the</w:t>
      </w:r>
      <w:r w:rsidR="001D1FF2" w:rsidRPr="005803F2">
        <w:rPr>
          <w:lang w:val="en-GB"/>
        </w:rPr>
        <w:t xml:space="preserve"> </w:t>
      </w:r>
      <w:r w:rsidRPr="005803F2">
        <w:rPr>
          <w:lang w:val="en-GB"/>
        </w:rPr>
        <w:t xml:space="preserve">V2X, </w:t>
      </w:r>
      <w:r w:rsidR="00E74BD9">
        <w:rPr>
          <w:lang w:val="en-GB"/>
        </w:rPr>
        <w:t>(</w:t>
      </w:r>
      <w:proofErr w:type="spellStart"/>
      <w:r w:rsidR="00E74BD9">
        <w:t>that</w:t>
      </w:r>
      <w:proofErr w:type="spellEnd"/>
      <w:r w:rsidR="00E74BD9">
        <w:t xml:space="preserve"> </w:t>
      </w:r>
      <w:proofErr w:type="spellStart"/>
      <w:r w:rsidR="00E74BD9">
        <w:t>is</w:t>
      </w:r>
      <w:proofErr w:type="spellEnd"/>
      <w:r w:rsidR="00E74BD9">
        <w:t xml:space="preserve">, </w:t>
      </w:r>
      <w:proofErr w:type="spellStart"/>
      <w:r w:rsidR="00E74BD9" w:rsidRPr="001E4D76">
        <w:t>Vehicle</w:t>
      </w:r>
      <w:proofErr w:type="spellEnd"/>
      <w:r w:rsidR="00E74BD9" w:rsidRPr="001E4D76">
        <w:t xml:space="preserve"> to </w:t>
      </w:r>
      <w:proofErr w:type="spellStart"/>
      <w:r w:rsidR="00E74BD9" w:rsidRPr="001E4D76">
        <w:t>Grid</w:t>
      </w:r>
      <w:proofErr w:type="spellEnd"/>
      <w:r w:rsidR="00E74BD9" w:rsidRPr="001E4D76">
        <w:t xml:space="preserve">, to Facility, </w:t>
      </w:r>
      <w:r w:rsidR="00E74BD9" w:rsidRPr="005803F2">
        <w:t>to Home</w:t>
      </w:r>
      <w:r w:rsidR="00E74BD9" w:rsidRPr="001E4D76">
        <w:t xml:space="preserve">, to </w:t>
      </w:r>
      <w:proofErr w:type="spellStart"/>
      <w:r w:rsidR="00E74BD9" w:rsidRPr="001E4D76">
        <w:t>Load</w:t>
      </w:r>
      <w:proofErr w:type="spellEnd"/>
      <w:r w:rsidR="00E74BD9">
        <w:t xml:space="preserve">), </w:t>
      </w:r>
      <w:r w:rsidRPr="005803F2">
        <w:rPr>
          <w:lang w:val="en-GB"/>
        </w:rPr>
        <w:t>PTO and non-traction purpose</w:t>
      </w:r>
      <w:r w:rsidR="002A4543">
        <w:rPr>
          <w:lang w:val="en-GB"/>
        </w:rPr>
        <w:t>s</w:t>
      </w:r>
      <w:r w:rsidRPr="005803F2">
        <w:rPr>
          <w:lang w:val="en-GB"/>
        </w:rPr>
        <w:t xml:space="preserve"> of the vehicles, similar to UN GTR No. 22, but adapted for HDVs.</w:t>
      </w:r>
    </w:p>
    <w:p w14:paraId="3CF08E34" w14:textId="51C6E7DB" w:rsidR="004D139B" w:rsidRPr="005803F2" w:rsidRDefault="004D139B" w:rsidP="0082293B">
      <w:pPr>
        <w:spacing w:after="120"/>
        <w:ind w:left="1134" w:right="1134"/>
        <w:jc w:val="both"/>
        <w:rPr>
          <w:lang w:val="en-GB"/>
        </w:rPr>
      </w:pPr>
      <w:r w:rsidRPr="005803F2">
        <w:rPr>
          <w:lang w:val="en-GB"/>
        </w:rPr>
        <w:t>2</w:t>
      </w:r>
      <w:r w:rsidR="00FA28FF" w:rsidRPr="005803F2">
        <w:rPr>
          <w:lang w:val="en-GB"/>
        </w:rPr>
        <w:t>6</w:t>
      </w:r>
      <w:r w:rsidRPr="005803F2">
        <w:rPr>
          <w:lang w:val="en-GB"/>
        </w:rPr>
        <w:t>.</w:t>
      </w:r>
      <w:r w:rsidRPr="005803F2">
        <w:rPr>
          <w:lang w:val="en-GB"/>
        </w:rPr>
        <w:tab/>
        <w:t>Other key areas that the IWG focused on included: the creation of family definitions for both the verification of on-board monitors and the assessment of battery durability, the statistical procedure for assessment of accuracy requirements for the on</w:t>
      </w:r>
      <w:r w:rsidR="002F3160" w:rsidRPr="005803F2">
        <w:rPr>
          <w:lang w:val="en-GB"/>
        </w:rPr>
        <w:noBreakHyphen/>
      </w:r>
      <w:r w:rsidRPr="005803F2">
        <w:rPr>
          <w:lang w:val="en-GB"/>
        </w:rPr>
        <w:t>board monitors, the handling of vehicles that have been used atypically or for vehicle</w:t>
      </w:r>
      <w:r w:rsidR="002F3160" w:rsidRPr="005803F2">
        <w:rPr>
          <w:lang w:val="en-GB"/>
        </w:rPr>
        <w:noBreakHyphen/>
      </w:r>
      <w:r w:rsidRPr="005803F2">
        <w:rPr>
          <w:lang w:val="en-GB"/>
        </w:rPr>
        <w:t>to-grid</w:t>
      </w:r>
      <w:r w:rsidR="00FF6C8C">
        <w:rPr>
          <w:lang w:val="en-GB"/>
        </w:rPr>
        <w:t xml:space="preserve"> or for PTO applications</w:t>
      </w:r>
      <w:r w:rsidRPr="005803F2">
        <w:rPr>
          <w:lang w:val="en-GB"/>
        </w:rPr>
        <w:t>, and the definition of usable battery energy for the purposes of this GTR.</w:t>
      </w:r>
    </w:p>
    <w:p w14:paraId="738C4810" w14:textId="2DB8BBDA" w:rsidR="004D139B" w:rsidRPr="005803F2" w:rsidRDefault="004D139B" w:rsidP="0082293B">
      <w:pPr>
        <w:spacing w:after="120"/>
        <w:ind w:left="1134" w:right="1134"/>
        <w:jc w:val="both"/>
        <w:rPr>
          <w:lang w:val="en-GB"/>
        </w:rPr>
      </w:pPr>
      <w:r w:rsidRPr="005803F2">
        <w:rPr>
          <w:lang w:val="en-GB"/>
        </w:rPr>
        <w:t>2</w:t>
      </w:r>
      <w:r w:rsidR="00FA28FF" w:rsidRPr="005803F2">
        <w:rPr>
          <w:lang w:val="en-GB"/>
        </w:rPr>
        <w:t>7</w:t>
      </w:r>
      <w:r w:rsidRPr="005803F2">
        <w:rPr>
          <w:lang w:val="en-GB"/>
        </w:rPr>
        <w:t>.</w:t>
      </w:r>
      <w:r w:rsidRPr="005803F2">
        <w:rPr>
          <w:lang w:val="en-GB"/>
        </w:rPr>
        <w:tab/>
        <w:t xml:space="preserve">IWG on EVE has kept GRPE up to date on the development of the GTR. This included sharing a first draft of the proposed GTR as an informal document at the </w:t>
      </w:r>
      <w:r w:rsidR="002A3BB5" w:rsidRPr="005803F2">
        <w:rPr>
          <w:lang w:val="en-GB"/>
        </w:rPr>
        <w:t>91</w:t>
      </w:r>
      <w:r w:rsidR="002A3BB5" w:rsidRPr="005803F2">
        <w:rPr>
          <w:vertAlign w:val="superscript"/>
          <w:lang w:val="en-GB"/>
        </w:rPr>
        <w:t>st</w:t>
      </w:r>
      <w:r w:rsidRPr="005803F2">
        <w:rPr>
          <w:lang w:val="en-GB"/>
        </w:rPr>
        <w:t xml:space="preserve"> session of GRPE in </w:t>
      </w:r>
      <w:r w:rsidR="00425EC3" w:rsidRPr="005803F2">
        <w:rPr>
          <w:lang w:val="en-GB"/>
        </w:rPr>
        <w:t xml:space="preserve">October </w:t>
      </w:r>
      <w:r w:rsidRPr="005803F2">
        <w:rPr>
          <w:lang w:val="en-GB"/>
        </w:rPr>
        <w:t>20</w:t>
      </w:r>
      <w:r w:rsidR="00BB7ED4" w:rsidRPr="005803F2">
        <w:rPr>
          <w:lang w:val="en-GB"/>
        </w:rPr>
        <w:t>24</w:t>
      </w:r>
      <w:r w:rsidRPr="005803F2">
        <w:rPr>
          <w:lang w:val="en-GB"/>
        </w:rPr>
        <w:t xml:space="preserve"> (see informal document GRPE-</w:t>
      </w:r>
      <w:r w:rsidR="002F06C9" w:rsidRPr="005803F2">
        <w:rPr>
          <w:lang w:val="en-GB"/>
        </w:rPr>
        <w:t>91-20</w:t>
      </w:r>
      <w:r w:rsidRPr="005803F2">
        <w:rPr>
          <w:lang w:val="en-GB"/>
        </w:rPr>
        <w:t xml:space="preserve">). A second draft was </w:t>
      </w:r>
      <w:r w:rsidRPr="00E74BD9">
        <w:rPr>
          <w:lang w:val="en-GB"/>
        </w:rPr>
        <w:t>submitted as a working document (</w:t>
      </w:r>
      <w:r w:rsidR="002F06C9" w:rsidRPr="005803F2">
        <w:rPr>
          <w:lang w:val="en-GB"/>
        </w:rPr>
        <w:t>ECE/TRANS/WP.29/GRPE/2025/7</w:t>
      </w:r>
      <w:r w:rsidRPr="005803F2">
        <w:rPr>
          <w:lang w:val="en-GB"/>
        </w:rPr>
        <w:t xml:space="preserve">) </w:t>
      </w:r>
      <w:r w:rsidR="00C90890" w:rsidRPr="005803F2">
        <w:rPr>
          <w:lang w:val="en-GB"/>
        </w:rPr>
        <w:t xml:space="preserve">to </w:t>
      </w:r>
      <w:r w:rsidRPr="005803F2">
        <w:rPr>
          <w:lang w:val="en-GB"/>
        </w:rPr>
        <w:t xml:space="preserve">the </w:t>
      </w:r>
      <w:r w:rsidR="002F06C9" w:rsidRPr="005803F2">
        <w:rPr>
          <w:lang w:val="en-GB"/>
        </w:rPr>
        <w:t>92</w:t>
      </w:r>
      <w:r w:rsidR="002F06C9" w:rsidRPr="005803F2">
        <w:rPr>
          <w:vertAlign w:val="superscript"/>
          <w:lang w:val="en-GB"/>
        </w:rPr>
        <w:t>n</w:t>
      </w:r>
      <w:r w:rsidRPr="005803F2">
        <w:rPr>
          <w:vertAlign w:val="superscript"/>
          <w:lang w:val="en-GB"/>
        </w:rPr>
        <w:t>d</w:t>
      </w:r>
      <w:r w:rsidRPr="005803F2">
        <w:rPr>
          <w:lang w:val="en-GB"/>
        </w:rPr>
        <w:t xml:space="preserve"> session of GRPE in </w:t>
      </w:r>
      <w:r w:rsidR="002F06C9" w:rsidRPr="005803F2">
        <w:rPr>
          <w:lang w:val="en-GB"/>
        </w:rPr>
        <w:t>March</w:t>
      </w:r>
      <w:r w:rsidRPr="005803F2">
        <w:rPr>
          <w:lang w:val="en-GB"/>
        </w:rPr>
        <w:t xml:space="preserve"> 202</w:t>
      </w:r>
      <w:r w:rsidR="002F06C9" w:rsidRPr="005803F2">
        <w:rPr>
          <w:lang w:val="en-GB"/>
        </w:rPr>
        <w:t>5</w:t>
      </w:r>
      <w:r w:rsidRPr="005803F2">
        <w:rPr>
          <w:lang w:val="en-GB"/>
        </w:rPr>
        <w:t xml:space="preserve">, </w:t>
      </w:r>
      <w:r w:rsidR="002F06C9" w:rsidRPr="005803F2">
        <w:rPr>
          <w:lang w:val="en-GB"/>
        </w:rPr>
        <w:t>together with an informal document (</w:t>
      </w:r>
      <w:r w:rsidR="002F06C9" w:rsidRPr="005803F2">
        <w:rPr>
          <w:highlight w:val="yellow"/>
          <w:lang w:val="en-GB"/>
        </w:rPr>
        <w:t>GRPE-92-XX)</w:t>
      </w:r>
      <w:r w:rsidRPr="005803F2">
        <w:rPr>
          <w:lang w:val="en-GB"/>
        </w:rPr>
        <w:t xml:space="preserve"> pending agreement on the final provisions of the GTR within the IWG on EVE. </w:t>
      </w:r>
    </w:p>
    <w:p w14:paraId="67B59295" w14:textId="15196032" w:rsidR="004D139B" w:rsidRPr="005803F2" w:rsidRDefault="004D139B" w:rsidP="0082293B">
      <w:pPr>
        <w:spacing w:after="120"/>
        <w:ind w:left="1134" w:right="1134"/>
        <w:jc w:val="both"/>
        <w:rPr>
          <w:lang w:val="en-GB"/>
        </w:rPr>
      </w:pPr>
      <w:r w:rsidRPr="005803F2">
        <w:rPr>
          <w:lang w:val="en-GB"/>
        </w:rPr>
        <w:t>2</w:t>
      </w:r>
      <w:r w:rsidR="00FA28FF" w:rsidRPr="005803F2">
        <w:rPr>
          <w:lang w:val="en-GB"/>
        </w:rPr>
        <w:t>8</w:t>
      </w:r>
      <w:r w:rsidRPr="005803F2">
        <w:rPr>
          <w:lang w:val="en-GB"/>
        </w:rPr>
        <w:t>.</w:t>
      </w:r>
      <w:r w:rsidRPr="005803F2">
        <w:rPr>
          <w:lang w:val="en-GB"/>
        </w:rPr>
        <w:tab/>
        <w:t>Key outstanding issues that needed to be resolved in order to finalise the GTR included:</w:t>
      </w:r>
    </w:p>
    <w:p w14:paraId="3BC5593D" w14:textId="6AEB23F7" w:rsidR="004D139B" w:rsidRPr="005803F2" w:rsidRDefault="004D139B" w:rsidP="0082293B">
      <w:pPr>
        <w:spacing w:after="120"/>
        <w:ind w:left="1418" w:right="1134"/>
        <w:jc w:val="both"/>
        <w:rPr>
          <w:lang w:val="en-GB"/>
        </w:rPr>
      </w:pPr>
      <w:r w:rsidRPr="005803F2">
        <w:rPr>
          <w:lang w:val="en-GB"/>
        </w:rPr>
        <w:lastRenderedPageBreak/>
        <w:t>(a)</w:t>
      </w:r>
      <w:r w:rsidRPr="005803F2">
        <w:rPr>
          <w:lang w:val="en-GB"/>
        </w:rPr>
        <w:tab/>
        <w:t xml:space="preserve">Agreement on </w:t>
      </w:r>
      <w:r w:rsidR="007430F2" w:rsidRPr="005803F2">
        <w:rPr>
          <w:lang w:val="en-GB"/>
        </w:rPr>
        <w:t xml:space="preserve">the test room temperature set point and battery temperature monitoring during the test break </w:t>
      </w:r>
      <w:r w:rsidR="00774408" w:rsidRPr="005803F2">
        <w:rPr>
          <w:lang w:val="en-GB"/>
        </w:rPr>
        <w:t xml:space="preserve">for the </w:t>
      </w:r>
      <w:r w:rsidR="007430F2" w:rsidRPr="005803F2">
        <w:rPr>
          <w:lang w:val="en-GB"/>
        </w:rPr>
        <w:t>drivers and the soak and charge</w:t>
      </w:r>
      <w:r w:rsidRPr="005803F2">
        <w:rPr>
          <w:lang w:val="en-GB"/>
        </w:rPr>
        <w:t>;</w:t>
      </w:r>
    </w:p>
    <w:p w14:paraId="1CFD3D59" w14:textId="4F19EECD" w:rsidR="004D139B" w:rsidRPr="005803F2" w:rsidRDefault="004D139B" w:rsidP="0082293B">
      <w:pPr>
        <w:spacing w:after="120"/>
        <w:ind w:left="1418" w:right="1134"/>
        <w:jc w:val="both"/>
        <w:rPr>
          <w:lang w:val="en-GB"/>
        </w:rPr>
      </w:pPr>
      <w:r w:rsidRPr="005803F2">
        <w:rPr>
          <w:lang w:val="en-GB"/>
        </w:rPr>
        <w:t>(b)</w:t>
      </w:r>
      <w:r w:rsidRPr="005803F2">
        <w:rPr>
          <w:lang w:val="en-GB"/>
        </w:rPr>
        <w:tab/>
      </w:r>
      <w:r w:rsidR="007430F2" w:rsidRPr="005803F2">
        <w:rPr>
          <w:lang w:val="en-GB"/>
        </w:rPr>
        <w:t>Criteria for vehicle selection during certification and Part A verification</w:t>
      </w:r>
    </w:p>
    <w:p w14:paraId="3A273E0C" w14:textId="37626396" w:rsidR="004D139B" w:rsidRPr="005803F2" w:rsidRDefault="004D139B" w:rsidP="0082293B">
      <w:pPr>
        <w:spacing w:after="120"/>
        <w:ind w:left="1418" w:right="1134"/>
        <w:jc w:val="both"/>
        <w:rPr>
          <w:lang w:val="en-GB"/>
        </w:rPr>
      </w:pPr>
      <w:r w:rsidRPr="005803F2">
        <w:rPr>
          <w:lang w:val="en-GB"/>
        </w:rPr>
        <w:t>(c)</w:t>
      </w:r>
      <w:r w:rsidR="00E74BD9">
        <w:rPr>
          <w:lang w:val="en-GB"/>
        </w:rPr>
        <w:t xml:space="preserve"> PTO </w:t>
      </w:r>
      <w:proofErr w:type="spellStart"/>
      <w:r w:rsidR="00E74BD9">
        <w:rPr>
          <w:lang w:val="en-GB"/>
        </w:rPr>
        <w:t>definition</w:t>
      </w:r>
      <w:proofErr w:type="gramStart"/>
      <w:r w:rsidR="00E74BD9">
        <w:rPr>
          <w:lang w:val="en-GB"/>
        </w:rPr>
        <w:t>,v</w:t>
      </w:r>
      <w:r w:rsidR="007430F2" w:rsidRPr="005803F2">
        <w:rPr>
          <w:lang w:val="en-GB"/>
        </w:rPr>
        <w:t>irtual</w:t>
      </w:r>
      <w:proofErr w:type="spellEnd"/>
      <w:proofErr w:type="gramEnd"/>
      <w:r w:rsidR="007430F2" w:rsidRPr="005803F2">
        <w:rPr>
          <w:lang w:val="en-GB"/>
        </w:rPr>
        <w:t xml:space="preserve"> distance definition and Part C verification method of reported virtual distance</w:t>
      </w:r>
    </w:p>
    <w:p w14:paraId="59CF9AF0" w14:textId="77777777" w:rsidR="00A001A3" w:rsidRPr="005803F2" w:rsidRDefault="004D139B" w:rsidP="0082293B">
      <w:pPr>
        <w:spacing w:after="120"/>
        <w:ind w:left="1418" w:right="1134"/>
        <w:jc w:val="both"/>
        <w:rPr>
          <w:lang w:val="en-GB"/>
        </w:rPr>
      </w:pPr>
      <w:r w:rsidRPr="005803F2">
        <w:rPr>
          <w:lang w:val="en-GB"/>
        </w:rPr>
        <w:t>(d)</w:t>
      </w:r>
      <w:r w:rsidRPr="005803F2">
        <w:rPr>
          <w:lang w:val="en-GB"/>
        </w:rPr>
        <w:tab/>
        <w:t xml:space="preserve">Finalisation of </w:t>
      </w:r>
      <w:r w:rsidR="007430F2" w:rsidRPr="005803F2">
        <w:rPr>
          <w:lang w:val="en-GB"/>
        </w:rPr>
        <w:t xml:space="preserve">the boundary </w:t>
      </w:r>
      <w:r w:rsidR="00425EC3" w:rsidRPr="005803F2">
        <w:rPr>
          <w:lang w:val="en-GB"/>
        </w:rPr>
        <w:t xml:space="preserve">conditions </w:t>
      </w:r>
      <w:r w:rsidR="007430F2" w:rsidRPr="005803F2">
        <w:rPr>
          <w:lang w:val="en-GB"/>
        </w:rPr>
        <w:t>for the several test Methods defined in the GTR</w:t>
      </w:r>
    </w:p>
    <w:p w14:paraId="0E842D7A" w14:textId="7F64F31F" w:rsidR="004D139B" w:rsidRPr="005803F2" w:rsidRDefault="00A001A3" w:rsidP="0082293B">
      <w:pPr>
        <w:spacing w:after="120"/>
        <w:ind w:left="1418" w:right="1134"/>
        <w:jc w:val="both"/>
        <w:rPr>
          <w:lang w:val="en-GB"/>
        </w:rPr>
      </w:pPr>
      <w:r w:rsidRPr="005803F2">
        <w:rPr>
          <w:lang w:val="en-GB"/>
        </w:rPr>
        <w:t>(e)</w:t>
      </w:r>
      <w:r w:rsidR="00E74BD9">
        <w:rPr>
          <w:lang w:val="en-GB"/>
        </w:rPr>
        <w:t xml:space="preserve"> Finalisation of the MPR values for category 1-2, metric discussion and reorganisation of the optional Annex 4.</w:t>
      </w:r>
    </w:p>
    <w:p w14:paraId="0098F65A" w14:textId="612568DD" w:rsidR="004D139B" w:rsidRPr="005803F2" w:rsidRDefault="004D139B" w:rsidP="00EA677D">
      <w:pPr>
        <w:spacing w:after="120"/>
        <w:ind w:left="1134" w:right="1134"/>
        <w:jc w:val="both"/>
        <w:rPr>
          <w:lang w:val="en-GB"/>
        </w:rPr>
      </w:pPr>
      <w:r w:rsidRPr="005803F2">
        <w:rPr>
          <w:lang w:val="en-GB"/>
        </w:rPr>
        <w:t>2</w:t>
      </w:r>
      <w:r w:rsidR="00FA28FF" w:rsidRPr="005803F2">
        <w:rPr>
          <w:lang w:val="en-GB"/>
        </w:rPr>
        <w:t>9</w:t>
      </w:r>
      <w:r w:rsidRPr="005803F2">
        <w:rPr>
          <w:lang w:val="en-GB"/>
        </w:rPr>
        <w:t>.</w:t>
      </w:r>
      <w:r w:rsidR="007430F2" w:rsidRPr="005803F2">
        <w:rPr>
          <w:lang w:val="en-GB"/>
        </w:rPr>
        <w:tab/>
      </w:r>
      <w:r w:rsidRPr="005803F2">
        <w:rPr>
          <w:lang w:val="en-GB"/>
        </w:rPr>
        <w:t xml:space="preserve">The subject of vehicle-to-grid </w:t>
      </w:r>
      <w:r w:rsidR="007430F2" w:rsidRPr="005803F2">
        <w:rPr>
          <w:lang w:val="en-GB"/>
        </w:rPr>
        <w:t xml:space="preserve">and/or PTO and/or non-traction purposes </w:t>
      </w:r>
      <w:r w:rsidRPr="005803F2">
        <w:rPr>
          <w:lang w:val="en-GB"/>
        </w:rPr>
        <w:t xml:space="preserve">was discussed, and </w:t>
      </w:r>
      <w:r w:rsidR="007430F2" w:rsidRPr="005803F2">
        <w:rPr>
          <w:lang w:val="en-GB"/>
        </w:rPr>
        <w:t>a</w:t>
      </w:r>
      <w:r w:rsidRPr="005803F2">
        <w:rPr>
          <w:lang w:val="en-GB"/>
        </w:rPr>
        <w:t xml:space="preserve">n equation was devised to calculate a ‘virtual </w:t>
      </w:r>
      <w:r w:rsidR="00E05525" w:rsidRPr="005803F2">
        <w:rPr>
          <w:lang w:val="en-GB"/>
        </w:rPr>
        <w:t xml:space="preserve">distance’ </w:t>
      </w:r>
      <w:r w:rsidRPr="005803F2">
        <w:rPr>
          <w:lang w:val="en-GB"/>
        </w:rPr>
        <w:t xml:space="preserve">value for vehicles designed for </w:t>
      </w:r>
      <w:r w:rsidR="007430F2" w:rsidRPr="005803F2">
        <w:rPr>
          <w:lang w:val="en-GB"/>
        </w:rPr>
        <w:t>this</w:t>
      </w:r>
      <w:r w:rsidRPr="005803F2">
        <w:rPr>
          <w:lang w:val="en-GB"/>
        </w:rPr>
        <w:t xml:space="preserve"> usage, which could be summed with the </w:t>
      </w:r>
      <w:r w:rsidR="00E05525" w:rsidRPr="005803F2">
        <w:rPr>
          <w:lang w:val="en-GB"/>
        </w:rPr>
        <w:t>distance</w:t>
      </w:r>
      <w:r w:rsidRPr="005803F2">
        <w:rPr>
          <w:lang w:val="en-GB"/>
        </w:rPr>
        <w:t xml:space="preserve"> driven to establish a total </w:t>
      </w:r>
      <w:r w:rsidR="00E05525" w:rsidRPr="005803F2">
        <w:rPr>
          <w:lang w:val="en-GB"/>
        </w:rPr>
        <w:t>distance</w:t>
      </w:r>
      <w:r w:rsidRPr="005803F2">
        <w:rPr>
          <w:lang w:val="en-GB"/>
        </w:rPr>
        <w:t>.</w:t>
      </w:r>
    </w:p>
    <w:p w14:paraId="072F9990" w14:textId="691C352D" w:rsidR="004D139B" w:rsidRPr="005803F2" w:rsidRDefault="00FA28FF" w:rsidP="0082293B">
      <w:pPr>
        <w:spacing w:after="120"/>
        <w:ind w:left="1134" w:right="1134"/>
        <w:jc w:val="both"/>
        <w:rPr>
          <w:lang w:val="en-GB"/>
        </w:rPr>
      </w:pPr>
      <w:r w:rsidRPr="005803F2">
        <w:rPr>
          <w:lang w:val="en-GB"/>
        </w:rPr>
        <w:t>30</w:t>
      </w:r>
      <w:r w:rsidR="004D139B" w:rsidRPr="005803F2">
        <w:rPr>
          <w:lang w:val="en-GB"/>
        </w:rPr>
        <w:t>.</w:t>
      </w:r>
      <w:r w:rsidR="004D139B" w:rsidRPr="005803F2">
        <w:rPr>
          <w:lang w:val="en-GB"/>
        </w:rPr>
        <w:tab/>
        <w:t xml:space="preserve">A finalised version of the GTR is to be presented by the IWG on EVE at the </w:t>
      </w:r>
      <w:r w:rsidR="001C3455" w:rsidRPr="005803F2">
        <w:rPr>
          <w:lang w:val="en-GB"/>
        </w:rPr>
        <w:t>92</w:t>
      </w:r>
      <w:r w:rsidR="001C3455" w:rsidRPr="005803F2">
        <w:rPr>
          <w:vertAlign w:val="superscript"/>
          <w:lang w:val="en-GB"/>
        </w:rPr>
        <w:t>nd</w:t>
      </w:r>
      <w:r w:rsidR="004D139B" w:rsidRPr="005803F2">
        <w:rPr>
          <w:lang w:val="en-GB"/>
        </w:rPr>
        <w:t xml:space="preserve"> session of GRPE</w:t>
      </w:r>
      <w:r w:rsidR="002A4543" w:rsidRPr="002A4543">
        <w:rPr>
          <w:lang w:val="en-GB"/>
        </w:rPr>
        <w:t xml:space="preserve"> </w:t>
      </w:r>
      <w:r w:rsidR="002A4543">
        <w:rPr>
          <w:lang w:val="en-GB"/>
        </w:rPr>
        <w:t>for endorsement of the proposal to be considered by the WP.29</w:t>
      </w:r>
      <w:r w:rsidR="002A4543" w:rsidRPr="000E45B3">
        <w:rPr>
          <w:lang w:val="en-GB"/>
        </w:rPr>
        <w:t>.</w:t>
      </w:r>
    </w:p>
    <w:p w14:paraId="1E216FE2" w14:textId="457D22FE" w:rsidR="00F8673A" w:rsidRPr="005803F2" w:rsidRDefault="004D139B" w:rsidP="0082293B">
      <w:pPr>
        <w:spacing w:after="120"/>
        <w:ind w:left="1134" w:right="1134"/>
        <w:jc w:val="both"/>
        <w:rPr>
          <w:szCs w:val="24"/>
          <w:lang w:val="en-GB"/>
        </w:rPr>
      </w:pPr>
      <w:r w:rsidRPr="005803F2">
        <w:rPr>
          <w:lang w:val="en-GB"/>
        </w:rPr>
        <w:t>3</w:t>
      </w:r>
      <w:r w:rsidR="00FA28FF" w:rsidRPr="005803F2">
        <w:rPr>
          <w:lang w:val="en-GB"/>
        </w:rPr>
        <w:t>1</w:t>
      </w:r>
      <w:r w:rsidRPr="005803F2">
        <w:rPr>
          <w:lang w:val="en-GB"/>
        </w:rPr>
        <w:t>.</w:t>
      </w:r>
      <w:r w:rsidRPr="005803F2">
        <w:rPr>
          <w:lang w:val="en-GB"/>
        </w:rPr>
        <w:tab/>
        <w:t>More detailed discussion of the technical approaches considered by the IWG on EVE can be found in the Technical Background section of this UN GTR.</w:t>
      </w:r>
    </w:p>
    <w:p w14:paraId="3776EE3D" w14:textId="689E6756" w:rsidR="00156431" w:rsidRPr="005803F2" w:rsidRDefault="00156431" w:rsidP="00156431">
      <w:pPr>
        <w:spacing w:before="240"/>
        <w:jc w:val="center"/>
        <w:rPr>
          <w:u w:val="single"/>
          <w:lang w:val="en-GB"/>
        </w:rPr>
      </w:pPr>
      <w:r w:rsidRPr="005803F2">
        <w:rPr>
          <w:u w:val="single"/>
          <w:lang w:val="en-GB"/>
        </w:rPr>
        <w:tab/>
      </w:r>
      <w:r w:rsidRPr="005803F2">
        <w:rPr>
          <w:u w:val="single"/>
          <w:lang w:val="en-GB"/>
        </w:rPr>
        <w:tab/>
      </w:r>
      <w:r w:rsidRPr="005803F2">
        <w:rPr>
          <w:u w:val="single"/>
          <w:lang w:val="en-GB"/>
        </w:rPr>
        <w:tab/>
      </w:r>
    </w:p>
    <w:sectPr w:rsidR="00156431" w:rsidRPr="005803F2" w:rsidSect="00BA5FAF">
      <w:headerReference w:type="even" r:id="rId12"/>
      <w:headerReference w:type="default" r:id="rId13"/>
      <w:footerReference w:type="even" r:id="rId14"/>
      <w:footerReference w:type="defaul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83FE5" w16cid:durableId="47A43F48"/>
  <w16cid:commentId w16cid:paraId="236CBEE9" w16cid:durableId="6076904D"/>
  <w16cid:commentId w16cid:paraId="3F54C87D" w16cid:durableId="64253100"/>
  <w16cid:commentId w16cid:paraId="6EF8CAE9" w16cid:durableId="084595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7496" w14:textId="77777777" w:rsidR="006423F8" w:rsidRDefault="006423F8"/>
  </w:endnote>
  <w:endnote w:type="continuationSeparator" w:id="0">
    <w:p w14:paraId="5AB548B1" w14:textId="77777777" w:rsidR="006423F8" w:rsidRDefault="006423F8"/>
  </w:endnote>
  <w:endnote w:type="continuationNotice" w:id="1">
    <w:p w14:paraId="191D47BC" w14:textId="77777777" w:rsidR="006423F8" w:rsidRDefault="00642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SGothicM">
    <w:altName w:val="HGSｺﾞｼｯｸM"/>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214B" w14:textId="30F6E458" w:rsidR="00D13B2E" w:rsidRPr="009A6A9E" w:rsidRDefault="00D13B2E" w:rsidP="009A6A9E">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D15FF7">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FD40" w14:textId="29FF68E9" w:rsidR="00D13B2E" w:rsidRPr="009A6A9E" w:rsidRDefault="00D13B2E" w:rsidP="009A6A9E">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D15FF7">
      <w:rPr>
        <w:b/>
        <w:noProof/>
        <w:sz w:val="18"/>
      </w:rPr>
      <w:t>3</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871A" w14:textId="77777777" w:rsidR="006423F8" w:rsidRPr="00D27D5E" w:rsidRDefault="006423F8" w:rsidP="00D27D5E">
      <w:pPr>
        <w:tabs>
          <w:tab w:val="right" w:pos="2155"/>
        </w:tabs>
        <w:spacing w:after="80"/>
        <w:ind w:left="680"/>
        <w:rPr>
          <w:u w:val="single"/>
        </w:rPr>
      </w:pPr>
      <w:r>
        <w:rPr>
          <w:u w:val="single"/>
        </w:rPr>
        <w:tab/>
      </w:r>
    </w:p>
  </w:footnote>
  <w:footnote w:type="continuationSeparator" w:id="0">
    <w:p w14:paraId="2A27106C" w14:textId="77777777" w:rsidR="006423F8" w:rsidRDefault="006423F8">
      <w:r>
        <w:rPr>
          <w:u w:val="single"/>
        </w:rPr>
        <w:tab/>
      </w:r>
      <w:r>
        <w:rPr>
          <w:u w:val="single"/>
        </w:rPr>
        <w:tab/>
      </w:r>
      <w:r>
        <w:rPr>
          <w:u w:val="single"/>
        </w:rPr>
        <w:tab/>
      </w:r>
      <w:r>
        <w:rPr>
          <w:u w:val="single"/>
        </w:rPr>
        <w:tab/>
      </w:r>
    </w:p>
  </w:footnote>
  <w:footnote w:type="continuationNotice" w:id="1">
    <w:p w14:paraId="21DB11AF" w14:textId="77777777" w:rsidR="006423F8" w:rsidRDefault="006423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0751" w14:textId="6DD6B1D1" w:rsidR="00D13B2E" w:rsidRDefault="00D13B2E" w:rsidP="009556DB">
    <w:pPr>
      <w:pStyle w:val="Header"/>
      <w:rPr>
        <w:lang w:val="en-US"/>
      </w:rPr>
    </w:pPr>
  </w:p>
  <w:p w14:paraId="12CD0E13" w14:textId="77777777" w:rsidR="00717D24" w:rsidRPr="00717D24" w:rsidRDefault="00717D24" w:rsidP="00717D2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0AF8B" w14:textId="77777777" w:rsidR="006423F8" w:rsidRDefault="0064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EC4FEB"/>
    <w:multiLevelType w:val="multilevel"/>
    <w:tmpl w:val="0409001D"/>
    <w:numStyleLink w:val="1ai"/>
  </w:abstractNum>
  <w:abstractNum w:abstractNumId="4" w15:restartNumberingAfterBreak="0">
    <w:nsid w:val="19836ED1"/>
    <w:multiLevelType w:val="hybridMultilevel"/>
    <w:tmpl w:val="2DC42AAE"/>
    <w:lvl w:ilvl="0" w:tplc="6BF4CC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3104C5"/>
    <w:multiLevelType w:val="hybridMultilevel"/>
    <w:tmpl w:val="66C2A596"/>
    <w:lvl w:ilvl="0" w:tplc="4956FAF6">
      <w:start w:val="1"/>
      <w:numFmt w:val="lowerLetter"/>
      <w:lvlText w:val="(%1)"/>
      <w:lvlJc w:val="left"/>
      <w:pPr>
        <w:ind w:left="2251" w:hanging="55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4C1931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C7B1E"/>
    <w:multiLevelType w:val="hybridMultilevel"/>
    <w:tmpl w:val="9930754C"/>
    <w:lvl w:ilvl="0" w:tplc="9938A93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1"/>
  </w:num>
  <w:num w:numId="2">
    <w:abstractNumId w:val="6"/>
  </w:num>
  <w:num w:numId="3">
    <w:abstractNumId w:val="8"/>
  </w:num>
  <w:num w:numId="4">
    <w:abstractNumId w:val="2"/>
  </w:num>
  <w:num w:numId="5">
    <w:abstractNumId w:val="1"/>
  </w:num>
  <w:num w:numId="6">
    <w:abstractNumId w:val="0"/>
  </w:num>
  <w:num w:numId="7">
    <w:abstractNumId w:val="9"/>
  </w:num>
  <w:num w:numId="8">
    <w:abstractNumId w:val="7"/>
  </w:num>
  <w:num w:numId="9">
    <w:abstractNumId w:val="3"/>
  </w:num>
  <w:num w:numId="10">
    <w:abstractNumId w:val="10"/>
  </w:num>
  <w:num w:numId="11">
    <w:abstractNumId w:val="4"/>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3A13"/>
    <w:rsid w:val="000004FF"/>
    <w:rsid w:val="000014CF"/>
    <w:rsid w:val="00001673"/>
    <w:rsid w:val="00001E10"/>
    <w:rsid w:val="000026AF"/>
    <w:rsid w:val="000026FC"/>
    <w:rsid w:val="00003A95"/>
    <w:rsid w:val="00003BAD"/>
    <w:rsid w:val="000047D9"/>
    <w:rsid w:val="00004EBE"/>
    <w:rsid w:val="00004F57"/>
    <w:rsid w:val="000056CA"/>
    <w:rsid w:val="00005710"/>
    <w:rsid w:val="00005AFD"/>
    <w:rsid w:val="0000603C"/>
    <w:rsid w:val="00006F3D"/>
    <w:rsid w:val="00007466"/>
    <w:rsid w:val="00007FAF"/>
    <w:rsid w:val="00010972"/>
    <w:rsid w:val="0001199A"/>
    <w:rsid w:val="00011EEB"/>
    <w:rsid w:val="000126F2"/>
    <w:rsid w:val="00013231"/>
    <w:rsid w:val="00014959"/>
    <w:rsid w:val="00014AF2"/>
    <w:rsid w:val="00016AC5"/>
    <w:rsid w:val="00020252"/>
    <w:rsid w:val="00020AB9"/>
    <w:rsid w:val="00020CD4"/>
    <w:rsid w:val="000215B9"/>
    <w:rsid w:val="00022A3B"/>
    <w:rsid w:val="00022D47"/>
    <w:rsid w:val="00026B70"/>
    <w:rsid w:val="00026C25"/>
    <w:rsid w:val="00027D4C"/>
    <w:rsid w:val="00030ADE"/>
    <w:rsid w:val="00030E2E"/>
    <w:rsid w:val="000312C0"/>
    <w:rsid w:val="0003142B"/>
    <w:rsid w:val="00031CA3"/>
    <w:rsid w:val="00031E15"/>
    <w:rsid w:val="00031EFC"/>
    <w:rsid w:val="0003317F"/>
    <w:rsid w:val="00033336"/>
    <w:rsid w:val="000338E1"/>
    <w:rsid w:val="00035F50"/>
    <w:rsid w:val="000403DA"/>
    <w:rsid w:val="00040DFF"/>
    <w:rsid w:val="000434A9"/>
    <w:rsid w:val="00044002"/>
    <w:rsid w:val="00044EC0"/>
    <w:rsid w:val="00052C97"/>
    <w:rsid w:val="00052F65"/>
    <w:rsid w:val="00053AD5"/>
    <w:rsid w:val="000542D8"/>
    <w:rsid w:val="00056173"/>
    <w:rsid w:val="00056751"/>
    <w:rsid w:val="00056841"/>
    <w:rsid w:val="000571C0"/>
    <w:rsid w:val="00057396"/>
    <w:rsid w:val="00057CFF"/>
    <w:rsid w:val="00061ABC"/>
    <w:rsid w:val="000629F4"/>
    <w:rsid w:val="00063D37"/>
    <w:rsid w:val="00066DC1"/>
    <w:rsid w:val="0007053C"/>
    <w:rsid w:val="00070A6D"/>
    <w:rsid w:val="000721D0"/>
    <w:rsid w:val="00072556"/>
    <w:rsid w:val="00074793"/>
    <w:rsid w:val="00074C2D"/>
    <w:rsid w:val="000758F4"/>
    <w:rsid w:val="00075A2F"/>
    <w:rsid w:val="00075C17"/>
    <w:rsid w:val="00076815"/>
    <w:rsid w:val="00080850"/>
    <w:rsid w:val="00081562"/>
    <w:rsid w:val="00082C36"/>
    <w:rsid w:val="00082D40"/>
    <w:rsid w:val="0008393C"/>
    <w:rsid w:val="00083F5E"/>
    <w:rsid w:val="00084B17"/>
    <w:rsid w:val="00085054"/>
    <w:rsid w:val="00086FF5"/>
    <w:rsid w:val="000873D2"/>
    <w:rsid w:val="00087E39"/>
    <w:rsid w:val="00090AA8"/>
    <w:rsid w:val="000912DD"/>
    <w:rsid w:val="00091A11"/>
    <w:rsid w:val="00091E84"/>
    <w:rsid w:val="00091F44"/>
    <w:rsid w:val="0009234E"/>
    <w:rsid w:val="00093ECB"/>
    <w:rsid w:val="00095EB1"/>
    <w:rsid w:val="00096362"/>
    <w:rsid w:val="00097C31"/>
    <w:rsid w:val="000A1272"/>
    <w:rsid w:val="000A1317"/>
    <w:rsid w:val="000A2564"/>
    <w:rsid w:val="000A25E7"/>
    <w:rsid w:val="000A268E"/>
    <w:rsid w:val="000A2C0C"/>
    <w:rsid w:val="000A2D72"/>
    <w:rsid w:val="000A3F9C"/>
    <w:rsid w:val="000A500E"/>
    <w:rsid w:val="000A5442"/>
    <w:rsid w:val="000A59AC"/>
    <w:rsid w:val="000B016E"/>
    <w:rsid w:val="000B2475"/>
    <w:rsid w:val="000B422A"/>
    <w:rsid w:val="000B45D5"/>
    <w:rsid w:val="000B4982"/>
    <w:rsid w:val="000B4C98"/>
    <w:rsid w:val="000B6003"/>
    <w:rsid w:val="000B62BC"/>
    <w:rsid w:val="000B6A12"/>
    <w:rsid w:val="000B6BFB"/>
    <w:rsid w:val="000B6C0C"/>
    <w:rsid w:val="000B6EE4"/>
    <w:rsid w:val="000B76AC"/>
    <w:rsid w:val="000C1D17"/>
    <w:rsid w:val="000C376D"/>
    <w:rsid w:val="000C62A5"/>
    <w:rsid w:val="000D0093"/>
    <w:rsid w:val="000D1046"/>
    <w:rsid w:val="000D22C8"/>
    <w:rsid w:val="000D2C26"/>
    <w:rsid w:val="000D4C4A"/>
    <w:rsid w:val="000D6089"/>
    <w:rsid w:val="000E2333"/>
    <w:rsid w:val="000E29C0"/>
    <w:rsid w:val="000E40FD"/>
    <w:rsid w:val="000E4374"/>
    <w:rsid w:val="000E45B3"/>
    <w:rsid w:val="000E4DEA"/>
    <w:rsid w:val="000E5B23"/>
    <w:rsid w:val="000E7498"/>
    <w:rsid w:val="000E7A9C"/>
    <w:rsid w:val="000E7BF2"/>
    <w:rsid w:val="000F190F"/>
    <w:rsid w:val="000F1FA0"/>
    <w:rsid w:val="000F270F"/>
    <w:rsid w:val="000F2A46"/>
    <w:rsid w:val="000F3C75"/>
    <w:rsid w:val="000F41F2"/>
    <w:rsid w:val="000F5226"/>
    <w:rsid w:val="000F6114"/>
    <w:rsid w:val="000F755E"/>
    <w:rsid w:val="00100890"/>
    <w:rsid w:val="00100F9C"/>
    <w:rsid w:val="001053C5"/>
    <w:rsid w:val="0010544E"/>
    <w:rsid w:val="00111661"/>
    <w:rsid w:val="001138D6"/>
    <w:rsid w:val="001138F1"/>
    <w:rsid w:val="0011447A"/>
    <w:rsid w:val="001153AA"/>
    <w:rsid w:val="001161EB"/>
    <w:rsid w:val="00116992"/>
    <w:rsid w:val="00116BCE"/>
    <w:rsid w:val="00116C69"/>
    <w:rsid w:val="00120502"/>
    <w:rsid w:val="00121E37"/>
    <w:rsid w:val="0012207D"/>
    <w:rsid w:val="00122BAD"/>
    <w:rsid w:val="00122BBA"/>
    <w:rsid w:val="00122F16"/>
    <w:rsid w:val="001249D5"/>
    <w:rsid w:val="00126CAC"/>
    <w:rsid w:val="00127A1B"/>
    <w:rsid w:val="00130D9B"/>
    <w:rsid w:val="00131376"/>
    <w:rsid w:val="001319D1"/>
    <w:rsid w:val="0013403F"/>
    <w:rsid w:val="00135C0D"/>
    <w:rsid w:val="00136077"/>
    <w:rsid w:val="0014040C"/>
    <w:rsid w:val="001421C7"/>
    <w:rsid w:val="00142654"/>
    <w:rsid w:val="001426D9"/>
    <w:rsid w:val="0014372B"/>
    <w:rsid w:val="001441DB"/>
    <w:rsid w:val="001441FD"/>
    <w:rsid w:val="001462C7"/>
    <w:rsid w:val="001467C6"/>
    <w:rsid w:val="00147163"/>
    <w:rsid w:val="001509B1"/>
    <w:rsid w:val="001529E2"/>
    <w:rsid w:val="00152E01"/>
    <w:rsid w:val="001534D0"/>
    <w:rsid w:val="00153756"/>
    <w:rsid w:val="00154296"/>
    <w:rsid w:val="001555D2"/>
    <w:rsid w:val="001556F0"/>
    <w:rsid w:val="00156431"/>
    <w:rsid w:val="001564D8"/>
    <w:rsid w:val="0015714F"/>
    <w:rsid w:val="00160540"/>
    <w:rsid w:val="00160C64"/>
    <w:rsid w:val="00161A5C"/>
    <w:rsid w:val="00162600"/>
    <w:rsid w:val="00162C1A"/>
    <w:rsid w:val="00164677"/>
    <w:rsid w:val="00164B1E"/>
    <w:rsid w:val="00165489"/>
    <w:rsid w:val="0017009F"/>
    <w:rsid w:val="0017182C"/>
    <w:rsid w:val="001724D4"/>
    <w:rsid w:val="00172B48"/>
    <w:rsid w:val="00173BD8"/>
    <w:rsid w:val="00174AC2"/>
    <w:rsid w:val="00175458"/>
    <w:rsid w:val="00177007"/>
    <w:rsid w:val="0018055C"/>
    <w:rsid w:val="001808C0"/>
    <w:rsid w:val="0018316B"/>
    <w:rsid w:val="00184D5F"/>
    <w:rsid w:val="00186C01"/>
    <w:rsid w:val="00186EE9"/>
    <w:rsid w:val="0018775C"/>
    <w:rsid w:val="001901A6"/>
    <w:rsid w:val="00190C0A"/>
    <w:rsid w:val="00191307"/>
    <w:rsid w:val="00192EEB"/>
    <w:rsid w:val="001930D6"/>
    <w:rsid w:val="00193D17"/>
    <w:rsid w:val="00193D41"/>
    <w:rsid w:val="001A1371"/>
    <w:rsid w:val="001A20FB"/>
    <w:rsid w:val="001A293E"/>
    <w:rsid w:val="001A2F0A"/>
    <w:rsid w:val="001A3BD8"/>
    <w:rsid w:val="001A4CFF"/>
    <w:rsid w:val="001A4F1F"/>
    <w:rsid w:val="001A7FA6"/>
    <w:rsid w:val="001B03B6"/>
    <w:rsid w:val="001B094F"/>
    <w:rsid w:val="001B1513"/>
    <w:rsid w:val="001B2947"/>
    <w:rsid w:val="001B2B2E"/>
    <w:rsid w:val="001B6F40"/>
    <w:rsid w:val="001C1C2A"/>
    <w:rsid w:val="001C1FD7"/>
    <w:rsid w:val="001C3455"/>
    <w:rsid w:val="001C35D9"/>
    <w:rsid w:val="001C4FD8"/>
    <w:rsid w:val="001C60AE"/>
    <w:rsid w:val="001C6712"/>
    <w:rsid w:val="001C7674"/>
    <w:rsid w:val="001C785B"/>
    <w:rsid w:val="001D0D93"/>
    <w:rsid w:val="001D1FF2"/>
    <w:rsid w:val="001D31F0"/>
    <w:rsid w:val="001D4B4E"/>
    <w:rsid w:val="001D7056"/>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4D53"/>
    <w:rsid w:val="001F5C85"/>
    <w:rsid w:val="001F6A57"/>
    <w:rsid w:val="001F70BF"/>
    <w:rsid w:val="001F70DB"/>
    <w:rsid w:val="001F718A"/>
    <w:rsid w:val="001F7563"/>
    <w:rsid w:val="002013C5"/>
    <w:rsid w:val="00206B01"/>
    <w:rsid w:val="002071B9"/>
    <w:rsid w:val="00207580"/>
    <w:rsid w:val="00210916"/>
    <w:rsid w:val="00210F1B"/>
    <w:rsid w:val="00211504"/>
    <w:rsid w:val="00214DDB"/>
    <w:rsid w:val="00215F7F"/>
    <w:rsid w:val="00216B0A"/>
    <w:rsid w:val="00217631"/>
    <w:rsid w:val="00217A86"/>
    <w:rsid w:val="00217C5A"/>
    <w:rsid w:val="00217FD9"/>
    <w:rsid w:val="00220B19"/>
    <w:rsid w:val="00221FEE"/>
    <w:rsid w:val="0022213D"/>
    <w:rsid w:val="00222EC1"/>
    <w:rsid w:val="002232AF"/>
    <w:rsid w:val="002235DE"/>
    <w:rsid w:val="00223B89"/>
    <w:rsid w:val="00224EB0"/>
    <w:rsid w:val="002258D9"/>
    <w:rsid w:val="00225A8C"/>
    <w:rsid w:val="00226A36"/>
    <w:rsid w:val="00227537"/>
    <w:rsid w:val="00227853"/>
    <w:rsid w:val="00227CF0"/>
    <w:rsid w:val="00230500"/>
    <w:rsid w:val="00232EE1"/>
    <w:rsid w:val="00233A73"/>
    <w:rsid w:val="00234945"/>
    <w:rsid w:val="00234A8A"/>
    <w:rsid w:val="00234F39"/>
    <w:rsid w:val="00235EA2"/>
    <w:rsid w:val="00236080"/>
    <w:rsid w:val="00236B01"/>
    <w:rsid w:val="002375DC"/>
    <w:rsid w:val="002414BC"/>
    <w:rsid w:val="0024298F"/>
    <w:rsid w:val="00244494"/>
    <w:rsid w:val="00244861"/>
    <w:rsid w:val="00244B9C"/>
    <w:rsid w:val="0024566B"/>
    <w:rsid w:val="00246D93"/>
    <w:rsid w:val="00247143"/>
    <w:rsid w:val="00251356"/>
    <w:rsid w:val="00251FEA"/>
    <w:rsid w:val="002528D2"/>
    <w:rsid w:val="00255B35"/>
    <w:rsid w:val="00256BE1"/>
    <w:rsid w:val="00257EDD"/>
    <w:rsid w:val="0026002A"/>
    <w:rsid w:val="0026282B"/>
    <w:rsid w:val="0026323B"/>
    <w:rsid w:val="00264ABF"/>
    <w:rsid w:val="002659F1"/>
    <w:rsid w:val="0026653D"/>
    <w:rsid w:val="00266AA5"/>
    <w:rsid w:val="00267552"/>
    <w:rsid w:val="00271C7C"/>
    <w:rsid w:val="00271E2D"/>
    <w:rsid w:val="002723F9"/>
    <w:rsid w:val="00273210"/>
    <w:rsid w:val="002736BC"/>
    <w:rsid w:val="00275704"/>
    <w:rsid w:val="0027587B"/>
    <w:rsid w:val="00275CE6"/>
    <w:rsid w:val="00280B52"/>
    <w:rsid w:val="00281F8D"/>
    <w:rsid w:val="00282B0D"/>
    <w:rsid w:val="00284604"/>
    <w:rsid w:val="0028491A"/>
    <w:rsid w:val="002850E4"/>
    <w:rsid w:val="00285232"/>
    <w:rsid w:val="0028555E"/>
    <w:rsid w:val="00286096"/>
    <w:rsid w:val="002864FF"/>
    <w:rsid w:val="00286EE7"/>
    <w:rsid w:val="002873BA"/>
    <w:rsid w:val="00287B39"/>
    <w:rsid w:val="00287E79"/>
    <w:rsid w:val="00290450"/>
    <w:rsid w:val="0029070F"/>
    <w:rsid w:val="0029084B"/>
    <w:rsid w:val="00290DE0"/>
    <w:rsid w:val="00290E5E"/>
    <w:rsid w:val="00291021"/>
    <w:rsid w:val="002928F9"/>
    <w:rsid w:val="00293F81"/>
    <w:rsid w:val="00294131"/>
    <w:rsid w:val="0029413F"/>
    <w:rsid w:val="00294D05"/>
    <w:rsid w:val="00297966"/>
    <w:rsid w:val="002A06B9"/>
    <w:rsid w:val="002A073F"/>
    <w:rsid w:val="002A0C4C"/>
    <w:rsid w:val="002A3620"/>
    <w:rsid w:val="002A375C"/>
    <w:rsid w:val="002A3BB5"/>
    <w:rsid w:val="002A4543"/>
    <w:rsid w:val="002A49E3"/>
    <w:rsid w:val="002A566E"/>
    <w:rsid w:val="002A5D07"/>
    <w:rsid w:val="002B1577"/>
    <w:rsid w:val="002B1A69"/>
    <w:rsid w:val="002B2097"/>
    <w:rsid w:val="002B36D8"/>
    <w:rsid w:val="002B3C10"/>
    <w:rsid w:val="002B3F15"/>
    <w:rsid w:val="002B4602"/>
    <w:rsid w:val="002B49CF"/>
    <w:rsid w:val="002B4C06"/>
    <w:rsid w:val="002B4E46"/>
    <w:rsid w:val="002B50B3"/>
    <w:rsid w:val="002B5D55"/>
    <w:rsid w:val="002B678A"/>
    <w:rsid w:val="002B6B5B"/>
    <w:rsid w:val="002C0C96"/>
    <w:rsid w:val="002C20C9"/>
    <w:rsid w:val="002C2BCA"/>
    <w:rsid w:val="002C2DDE"/>
    <w:rsid w:val="002C48F0"/>
    <w:rsid w:val="002C52F8"/>
    <w:rsid w:val="002D188C"/>
    <w:rsid w:val="002D18D5"/>
    <w:rsid w:val="002D1E85"/>
    <w:rsid w:val="002D25F8"/>
    <w:rsid w:val="002D2D6F"/>
    <w:rsid w:val="002D30C5"/>
    <w:rsid w:val="002D4FC2"/>
    <w:rsid w:val="002D505E"/>
    <w:rsid w:val="002D668A"/>
    <w:rsid w:val="002D7E40"/>
    <w:rsid w:val="002E07AF"/>
    <w:rsid w:val="002E130D"/>
    <w:rsid w:val="002E289D"/>
    <w:rsid w:val="002E36D6"/>
    <w:rsid w:val="002E5A56"/>
    <w:rsid w:val="002E6450"/>
    <w:rsid w:val="002F03FC"/>
    <w:rsid w:val="002F06C9"/>
    <w:rsid w:val="002F149D"/>
    <w:rsid w:val="002F2D51"/>
    <w:rsid w:val="002F3160"/>
    <w:rsid w:val="002F32A9"/>
    <w:rsid w:val="002F55CB"/>
    <w:rsid w:val="002F6D83"/>
    <w:rsid w:val="002F7163"/>
    <w:rsid w:val="00300FF7"/>
    <w:rsid w:val="003016B7"/>
    <w:rsid w:val="0030185D"/>
    <w:rsid w:val="00303BFD"/>
    <w:rsid w:val="0030729C"/>
    <w:rsid w:val="00307921"/>
    <w:rsid w:val="00310241"/>
    <w:rsid w:val="00310F0B"/>
    <w:rsid w:val="0031206A"/>
    <w:rsid w:val="00312868"/>
    <w:rsid w:val="00313F8C"/>
    <w:rsid w:val="00314912"/>
    <w:rsid w:val="00315358"/>
    <w:rsid w:val="00315AC1"/>
    <w:rsid w:val="00317CE1"/>
    <w:rsid w:val="0032003D"/>
    <w:rsid w:val="00320A63"/>
    <w:rsid w:val="003223B1"/>
    <w:rsid w:val="003245AA"/>
    <w:rsid w:val="00324ADA"/>
    <w:rsid w:val="00324D10"/>
    <w:rsid w:val="00324ED2"/>
    <w:rsid w:val="0032688E"/>
    <w:rsid w:val="00326BAA"/>
    <w:rsid w:val="00326D49"/>
    <w:rsid w:val="003278BE"/>
    <w:rsid w:val="00330B02"/>
    <w:rsid w:val="00330F9C"/>
    <w:rsid w:val="003316C9"/>
    <w:rsid w:val="00332171"/>
    <w:rsid w:val="003321F0"/>
    <w:rsid w:val="00333F78"/>
    <w:rsid w:val="00333FC8"/>
    <w:rsid w:val="00334869"/>
    <w:rsid w:val="00334A30"/>
    <w:rsid w:val="003360FB"/>
    <w:rsid w:val="00336E96"/>
    <w:rsid w:val="003373EC"/>
    <w:rsid w:val="00337A82"/>
    <w:rsid w:val="00340C35"/>
    <w:rsid w:val="003417C9"/>
    <w:rsid w:val="00341A51"/>
    <w:rsid w:val="00342FE6"/>
    <w:rsid w:val="003433EF"/>
    <w:rsid w:val="00344278"/>
    <w:rsid w:val="00346E8B"/>
    <w:rsid w:val="003479CF"/>
    <w:rsid w:val="003505CC"/>
    <w:rsid w:val="003515AA"/>
    <w:rsid w:val="003516B6"/>
    <w:rsid w:val="00352E3F"/>
    <w:rsid w:val="00352EAF"/>
    <w:rsid w:val="003530BB"/>
    <w:rsid w:val="00353757"/>
    <w:rsid w:val="00354022"/>
    <w:rsid w:val="0035447D"/>
    <w:rsid w:val="0035451F"/>
    <w:rsid w:val="00355C82"/>
    <w:rsid w:val="003566F3"/>
    <w:rsid w:val="003613E8"/>
    <w:rsid w:val="003616B6"/>
    <w:rsid w:val="00362494"/>
    <w:rsid w:val="00363CC2"/>
    <w:rsid w:val="003641AA"/>
    <w:rsid w:val="003664DB"/>
    <w:rsid w:val="00366BB7"/>
    <w:rsid w:val="00370E0F"/>
    <w:rsid w:val="0037364C"/>
    <w:rsid w:val="00374106"/>
    <w:rsid w:val="003757EB"/>
    <w:rsid w:val="003759C0"/>
    <w:rsid w:val="00376583"/>
    <w:rsid w:val="00377B82"/>
    <w:rsid w:val="003810F1"/>
    <w:rsid w:val="00381329"/>
    <w:rsid w:val="0038132C"/>
    <w:rsid w:val="00381537"/>
    <w:rsid w:val="00382247"/>
    <w:rsid w:val="003822EB"/>
    <w:rsid w:val="00382712"/>
    <w:rsid w:val="00382C2B"/>
    <w:rsid w:val="00382D9C"/>
    <w:rsid w:val="00384E17"/>
    <w:rsid w:val="00385095"/>
    <w:rsid w:val="00385A09"/>
    <w:rsid w:val="00385AD0"/>
    <w:rsid w:val="003865FE"/>
    <w:rsid w:val="0038715D"/>
    <w:rsid w:val="00387337"/>
    <w:rsid w:val="00387B27"/>
    <w:rsid w:val="00392EF2"/>
    <w:rsid w:val="00395DFE"/>
    <w:rsid w:val="003961AC"/>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3C66"/>
    <w:rsid w:val="003B4150"/>
    <w:rsid w:val="003B425C"/>
    <w:rsid w:val="003B4DAE"/>
    <w:rsid w:val="003B4E7F"/>
    <w:rsid w:val="003B687A"/>
    <w:rsid w:val="003B6F35"/>
    <w:rsid w:val="003B6F42"/>
    <w:rsid w:val="003B71BA"/>
    <w:rsid w:val="003C5FF9"/>
    <w:rsid w:val="003C6965"/>
    <w:rsid w:val="003C6E91"/>
    <w:rsid w:val="003C77FD"/>
    <w:rsid w:val="003D0881"/>
    <w:rsid w:val="003D0FE4"/>
    <w:rsid w:val="003D1DF3"/>
    <w:rsid w:val="003D31FE"/>
    <w:rsid w:val="003D329B"/>
    <w:rsid w:val="003D3BBA"/>
    <w:rsid w:val="003D3FFB"/>
    <w:rsid w:val="003D4183"/>
    <w:rsid w:val="003D46A7"/>
    <w:rsid w:val="003D67DD"/>
    <w:rsid w:val="003D6C68"/>
    <w:rsid w:val="003D77CD"/>
    <w:rsid w:val="003D7981"/>
    <w:rsid w:val="003E0C77"/>
    <w:rsid w:val="003E121D"/>
    <w:rsid w:val="003E2DD0"/>
    <w:rsid w:val="003E4109"/>
    <w:rsid w:val="003E4A29"/>
    <w:rsid w:val="003E4C2C"/>
    <w:rsid w:val="003E54DA"/>
    <w:rsid w:val="003E5FD6"/>
    <w:rsid w:val="003F0013"/>
    <w:rsid w:val="003F0AFE"/>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0E39"/>
    <w:rsid w:val="00411A77"/>
    <w:rsid w:val="00412F22"/>
    <w:rsid w:val="004130A2"/>
    <w:rsid w:val="004147D1"/>
    <w:rsid w:val="004159D0"/>
    <w:rsid w:val="00415CB3"/>
    <w:rsid w:val="004206C2"/>
    <w:rsid w:val="00420992"/>
    <w:rsid w:val="004220C4"/>
    <w:rsid w:val="00422687"/>
    <w:rsid w:val="00423A31"/>
    <w:rsid w:val="004249E7"/>
    <w:rsid w:val="00424BCE"/>
    <w:rsid w:val="00425B1F"/>
    <w:rsid w:val="00425EC3"/>
    <w:rsid w:val="0042677D"/>
    <w:rsid w:val="00426C6C"/>
    <w:rsid w:val="00427493"/>
    <w:rsid w:val="00427A74"/>
    <w:rsid w:val="004302BF"/>
    <w:rsid w:val="00430390"/>
    <w:rsid w:val="004305CC"/>
    <w:rsid w:val="0043072D"/>
    <w:rsid w:val="00430B6C"/>
    <w:rsid w:val="00430E44"/>
    <w:rsid w:val="0043114C"/>
    <w:rsid w:val="00433A25"/>
    <w:rsid w:val="004346E7"/>
    <w:rsid w:val="00434F04"/>
    <w:rsid w:val="00434FE2"/>
    <w:rsid w:val="00440AA6"/>
    <w:rsid w:val="00440D4C"/>
    <w:rsid w:val="004411E2"/>
    <w:rsid w:val="004446D7"/>
    <w:rsid w:val="00444F64"/>
    <w:rsid w:val="0044538B"/>
    <w:rsid w:val="004456D6"/>
    <w:rsid w:val="00447D77"/>
    <w:rsid w:val="00450FE0"/>
    <w:rsid w:val="00451D74"/>
    <w:rsid w:val="004526AB"/>
    <w:rsid w:val="004538FB"/>
    <w:rsid w:val="00453AEE"/>
    <w:rsid w:val="004542DD"/>
    <w:rsid w:val="00455ADF"/>
    <w:rsid w:val="00457AA3"/>
    <w:rsid w:val="004615C9"/>
    <w:rsid w:val="00461C7B"/>
    <w:rsid w:val="0046586D"/>
    <w:rsid w:val="0046637D"/>
    <w:rsid w:val="004672F9"/>
    <w:rsid w:val="00467E41"/>
    <w:rsid w:val="0047052B"/>
    <w:rsid w:val="004720B1"/>
    <w:rsid w:val="00473A1A"/>
    <w:rsid w:val="00473A46"/>
    <w:rsid w:val="00473A8F"/>
    <w:rsid w:val="00473B95"/>
    <w:rsid w:val="00473D03"/>
    <w:rsid w:val="00474636"/>
    <w:rsid w:val="00474CC3"/>
    <w:rsid w:val="004774D5"/>
    <w:rsid w:val="00477766"/>
    <w:rsid w:val="00477F99"/>
    <w:rsid w:val="004802A5"/>
    <w:rsid w:val="00481F61"/>
    <w:rsid w:val="0048239C"/>
    <w:rsid w:val="00484D67"/>
    <w:rsid w:val="00485D32"/>
    <w:rsid w:val="00487482"/>
    <w:rsid w:val="00490450"/>
    <w:rsid w:val="00491A0E"/>
    <w:rsid w:val="00491CC6"/>
    <w:rsid w:val="00491EF7"/>
    <w:rsid w:val="004936E1"/>
    <w:rsid w:val="004952ED"/>
    <w:rsid w:val="00495E6B"/>
    <w:rsid w:val="004A0551"/>
    <w:rsid w:val="004A11ED"/>
    <w:rsid w:val="004A3ECD"/>
    <w:rsid w:val="004A4841"/>
    <w:rsid w:val="004A4F67"/>
    <w:rsid w:val="004A53A1"/>
    <w:rsid w:val="004A659B"/>
    <w:rsid w:val="004A6D80"/>
    <w:rsid w:val="004A7442"/>
    <w:rsid w:val="004B016B"/>
    <w:rsid w:val="004B1250"/>
    <w:rsid w:val="004B2711"/>
    <w:rsid w:val="004B4A7F"/>
    <w:rsid w:val="004C0D3F"/>
    <w:rsid w:val="004C1A2F"/>
    <w:rsid w:val="004C335D"/>
    <w:rsid w:val="004C350D"/>
    <w:rsid w:val="004C49FF"/>
    <w:rsid w:val="004C772B"/>
    <w:rsid w:val="004D139B"/>
    <w:rsid w:val="004D1440"/>
    <w:rsid w:val="004D2005"/>
    <w:rsid w:val="004D3124"/>
    <w:rsid w:val="004D51C1"/>
    <w:rsid w:val="004D6F75"/>
    <w:rsid w:val="004E22AE"/>
    <w:rsid w:val="004E37D4"/>
    <w:rsid w:val="004E3A0F"/>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B2A"/>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4DBB"/>
    <w:rsid w:val="00515329"/>
    <w:rsid w:val="00517465"/>
    <w:rsid w:val="00520E3E"/>
    <w:rsid w:val="00521FA0"/>
    <w:rsid w:val="005227DD"/>
    <w:rsid w:val="00524746"/>
    <w:rsid w:val="0052484D"/>
    <w:rsid w:val="00524975"/>
    <w:rsid w:val="005266E4"/>
    <w:rsid w:val="00527164"/>
    <w:rsid w:val="0053032B"/>
    <w:rsid w:val="00532F20"/>
    <w:rsid w:val="00533050"/>
    <w:rsid w:val="0053585A"/>
    <w:rsid w:val="005368BB"/>
    <w:rsid w:val="00537205"/>
    <w:rsid w:val="005374DB"/>
    <w:rsid w:val="005374EF"/>
    <w:rsid w:val="00537B8D"/>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6372"/>
    <w:rsid w:val="0055705C"/>
    <w:rsid w:val="00561109"/>
    <w:rsid w:val="00565134"/>
    <w:rsid w:val="00566215"/>
    <w:rsid w:val="005677A3"/>
    <w:rsid w:val="00567A90"/>
    <w:rsid w:val="005703C9"/>
    <w:rsid w:val="00570A19"/>
    <w:rsid w:val="0057146D"/>
    <w:rsid w:val="00571F41"/>
    <w:rsid w:val="00571FCA"/>
    <w:rsid w:val="00574006"/>
    <w:rsid w:val="005740D6"/>
    <w:rsid w:val="005745CB"/>
    <w:rsid w:val="00574797"/>
    <w:rsid w:val="005747E6"/>
    <w:rsid w:val="00575BDF"/>
    <w:rsid w:val="00577105"/>
    <w:rsid w:val="0057717F"/>
    <w:rsid w:val="005803F2"/>
    <w:rsid w:val="00580D4D"/>
    <w:rsid w:val="0058232E"/>
    <w:rsid w:val="00582735"/>
    <w:rsid w:val="005837D4"/>
    <w:rsid w:val="00586086"/>
    <w:rsid w:val="00586F91"/>
    <w:rsid w:val="005873D4"/>
    <w:rsid w:val="0059056D"/>
    <w:rsid w:val="0059140F"/>
    <w:rsid w:val="00591B2E"/>
    <w:rsid w:val="00592189"/>
    <w:rsid w:val="00592787"/>
    <w:rsid w:val="00593AE3"/>
    <w:rsid w:val="005940A9"/>
    <w:rsid w:val="00594DBE"/>
    <w:rsid w:val="00595576"/>
    <w:rsid w:val="005955AC"/>
    <w:rsid w:val="005955D4"/>
    <w:rsid w:val="00595A9D"/>
    <w:rsid w:val="00595BE4"/>
    <w:rsid w:val="00595E9B"/>
    <w:rsid w:val="00595FDF"/>
    <w:rsid w:val="0059709A"/>
    <w:rsid w:val="00597B73"/>
    <w:rsid w:val="005A3CDD"/>
    <w:rsid w:val="005A59AF"/>
    <w:rsid w:val="005A59B9"/>
    <w:rsid w:val="005A5D25"/>
    <w:rsid w:val="005A6107"/>
    <w:rsid w:val="005A636F"/>
    <w:rsid w:val="005A744A"/>
    <w:rsid w:val="005A7474"/>
    <w:rsid w:val="005B1865"/>
    <w:rsid w:val="005B27C4"/>
    <w:rsid w:val="005B29E5"/>
    <w:rsid w:val="005B3A4B"/>
    <w:rsid w:val="005B4A47"/>
    <w:rsid w:val="005B5842"/>
    <w:rsid w:val="005B6B4E"/>
    <w:rsid w:val="005B76A3"/>
    <w:rsid w:val="005B7C28"/>
    <w:rsid w:val="005B7C94"/>
    <w:rsid w:val="005C198B"/>
    <w:rsid w:val="005C3DAE"/>
    <w:rsid w:val="005C5325"/>
    <w:rsid w:val="005C56F1"/>
    <w:rsid w:val="005C5C67"/>
    <w:rsid w:val="005C5DEB"/>
    <w:rsid w:val="005C647F"/>
    <w:rsid w:val="005C6DD6"/>
    <w:rsid w:val="005D1EB2"/>
    <w:rsid w:val="005D23D8"/>
    <w:rsid w:val="005D3C69"/>
    <w:rsid w:val="005D4546"/>
    <w:rsid w:val="005D4FDB"/>
    <w:rsid w:val="005D62EF"/>
    <w:rsid w:val="005D7FAF"/>
    <w:rsid w:val="005E00E6"/>
    <w:rsid w:val="005E278D"/>
    <w:rsid w:val="005E2BE9"/>
    <w:rsid w:val="005E2FF0"/>
    <w:rsid w:val="005E3880"/>
    <w:rsid w:val="005E5D1F"/>
    <w:rsid w:val="005E70B7"/>
    <w:rsid w:val="005E7A0D"/>
    <w:rsid w:val="005F0D33"/>
    <w:rsid w:val="005F131D"/>
    <w:rsid w:val="005F4443"/>
    <w:rsid w:val="005F4B14"/>
    <w:rsid w:val="005F583F"/>
    <w:rsid w:val="005F5902"/>
    <w:rsid w:val="005F5C4D"/>
    <w:rsid w:val="005F61D5"/>
    <w:rsid w:val="005F6722"/>
    <w:rsid w:val="005F69A2"/>
    <w:rsid w:val="005F7B67"/>
    <w:rsid w:val="006029D7"/>
    <w:rsid w:val="00603391"/>
    <w:rsid w:val="006051C6"/>
    <w:rsid w:val="00605A76"/>
    <w:rsid w:val="00611457"/>
    <w:rsid w:val="00611D43"/>
    <w:rsid w:val="00612849"/>
    <w:rsid w:val="00612D48"/>
    <w:rsid w:val="006142EA"/>
    <w:rsid w:val="00614877"/>
    <w:rsid w:val="00615307"/>
    <w:rsid w:val="00615552"/>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454"/>
    <w:rsid w:val="00634E1A"/>
    <w:rsid w:val="00637019"/>
    <w:rsid w:val="006373CC"/>
    <w:rsid w:val="006373FD"/>
    <w:rsid w:val="00641056"/>
    <w:rsid w:val="006423F8"/>
    <w:rsid w:val="006439EC"/>
    <w:rsid w:val="00644577"/>
    <w:rsid w:val="00644813"/>
    <w:rsid w:val="00647831"/>
    <w:rsid w:val="00651A05"/>
    <w:rsid w:val="006523E9"/>
    <w:rsid w:val="00653AC8"/>
    <w:rsid w:val="00653DFE"/>
    <w:rsid w:val="006543D8"/>
    <w:rsid w:val="00654A53"/>
    <w:rsid w:val="00654A61"/>
    <w:rsid w:val="00654D1C"/>
    <w:rsid w:val="0065530F"/>
    <w:rsid w:val="00656290"/>
    <w:rsid w:val="00656EAF"/>
    <w:rsid w:val="00661205"/>
    <w:rsid w:val="00661275"/>
    <w:rsid w:val="00662497"/>
    <w:rsid w:val="00666B23"/>
    <w:rsid w:val="00667294"/>
    <w:rsid w:val="00667476"/>
    <w:rsid w:val="00667781"/>
    <w:rsid w:val="006731C6"/>
    <w:rsid w:val="0067568A"/>
    <w:rsid w:val="0068157D"/>
    <w:rsid w:val="006819FF"/>
    <w:rsid w:val="00682317"/>
    <w:rsid w:val="0068252A"/>
    <w:rsid w:val="006826ED"/>
    <w:rsid w:val="0068285B"/>
    <w:rsid w:val="006833F6"/>
    <w:rsid w:val="006834D1"/>
    <w:rsid w:val="00683C79"/>
    <w:rsid w:val="00683F05"/>
    <w:rsid w:val="00683F89"/>
    <w:rsid w:val="0068426A"/>
    <w:rsid w:val="006844DE"/>
    <w:rsid w:val="00685843"/>
    <w:rsid w:val="006863E9"/>
    <w:rsid w:val="0068710D"/>
    <w:rsid w:val="0069079F"/>
    <w:rsid w:val="006919F2"/>
    <w:rsid w:val="006942B2"/>
    <w:rsid w:val="00694917"/>
    <w:rsid w:val="00696277"/>
    <w:rsid w:val="00696525"/>
    <w:rsid w:val="0069778A"/>
    <w:rsid w:val="006A12E1"/>
    <w:rsid w:val="006A3430"/>
    <w:rsid w:val="006A4E46"/>
    <w:rsid w:val="006A57AE"/>
    <w:rsid w:val="006A5867"/>
    <w:rsid w:val="006B0D40"/>
    <w:rsid w:val="006B0D9D"/>
    <w:rsid w:val="006B1399"/>
    <w:rsid w:val="006B1531"/>
    <w:rsid w:val="006B289F"/>
    <w:rsid w:val="006B4590"/>
    <w:rsid w:val="006B4B33"/>
    <w:rsid w:val="006B59C7"/>
    <w:rsid w:val="006B74FE"/>
    <w:rsid w:val="006B7504"/>
    <w:rsid w:val="006C0BC6"/>
    <w:rsid w:val="006C325F"/>
    <w:rsid w:val="006C340C"/>
    <w:rsid w:val="006C6D72"/>
    <w:rsid w:val="006D09AF"/>
    <w:rsid w:val="006D1D1C"/>
    <w:rsid w:val="006D39E1"/>
    <w:rsid w:val="006D41DF"/>
    <w:rsid w:val="006D5776"/>
    <w:rsid w:val="006D5E16"/>
    <w:rsid w:val="006D640A"/>
    <w:rsid w:val="006D666F"/>
    <w:rsid w:val="006D6C2E"/>
    <w:rsid w:val="006E101B"/>
    <w:rsid w:val="006E1570"/>
    <w:rsid w:val="006E2B95"/>
    <w:rsid w:val="006E3228"/>
    <w:rsid w:val="006E335F"/>
    <w:rsid w:val="006E5FC7"/>
    <w:rsid w:val="006E6626"/>
    <w:rsid w:val="006E6AED"/>
    <w:rsid w:val="006E6BDB"/>
    <w:rsid w:val="006E7BEC"/>
    <w:rsid w:val="006F22A2"/>
    <w:rsid w:val="006F235A"/>
    <w:rsid w:val="006F2DF8"/>
    <w:rsid w:val="006F38BE"/>
    <w:rsid w:val="006F3FA6"/>
    <w:rsid w:val="006F707A"/>
    <w:rsid w:val="006F73F4"/>
    <w:rsid w:val="006F7CD1"/>
    <w:rsid w:val="006F7F03"/>
    <w:rsid w:val="0070249B"/>
    <w:rsid w:val="00702644"/>
    <w:rsid w:val="0070347C"/>
    <w:rsid w:val="00703CD1"/>
    <w:rsid w:val="00704677"/>
    <w:rsid w:val="0070499C"/>
    <w:rsid w:val="00706101"/>
    <w:rsid w:val="00706385"/>
    <w:rsid w:val="007077CC"/>
    <w:rsid w:val="00710302"/>
    <w:rsid w:val="0071150F"/>
    <w:rsid w:val="0071179A"/>
    <w:rsid w:val="00712A3F"/>
    <w:rsid w:val="00712A77"/>
    <w:rsid w:val="007133A6"/>
    <w:rsid w:val="007133B7"/>
    <w:rsid w:val="007156AB"/>
    <w:rsid w:val="007156D8"/>
    <w:rsid w:val="0071659A"/>
    <w:rsid w:val="007175C6"/>
    <w:rsid w:val="007176C1"/>
    <w:rsid w:val="00717D24"/>
    <w:rsid w:val="0072047B"/>
    <w:rsid w:val="00721699"/>
    <w:rsid w:val="00722EA0"/>
    <w:rsid w:val="00724DA7"/>
    <w:rsid w:val="0072637B"/>
    <w:rsid w:val="0072656C"/>
    <w:rsid w:val="007278D7"/>
    <w:rsid w:val="0072796F"/>
    <w:rsid w:val="007279A6"/>
    <w:rsid w:val="00730966"/>
    <w:rsid w:val="00732610"/>
    <w:rsid w:val="00733675"/>
    <w:rsid w:val="007338CE"/>
    <w:rsid w:val="00735A4A"/>
    <w:rsid w:val="00735C56"/>
    <w:rsid w:val="00736313"/>
    <w:rsid w:val="007365F5"/>
    <w:rsid w:val="00737C31"/>
    <w:rsid w:val="00741615"/>
    <w:rsid w:val="00742696"/>
    <w:rsid w:val="00742B2A"/>
    <w:rsid w:val="007430F2"/>
    <w:rsid w:val="00744998"/>
    <w:rsid w:val="00746F5E"/>
    <w:rsid w:val="00747AF0"/>
    <w:rsid w:val="00750CA2"/>
    <w:rsid w:val="007512D2"/>
    <w:rsid w:val="00752303"/>
    <w:rsid w:val="00752869"/>
    <w:rsid w:val="00752E98"/>
    <w:rsid w:val="00754D6F"/>
    <w:rsid w:val="00754FCB"/>
    <w:rsid w:val="00755E58"/>
    <w:rsid w:val="00756D1A"/>
    <w:rsid w:val="00756FE9"/>
    <w:rsid w:val="0076047B"/>
    <w:rsid w:val="00760986"/>
    <w:rsid w:val="00760E48"/>
    <w:rsid w:val="00762229"/>
    <w:rsid w:val="00763866"/>
    <w:rsid w:val="00763C21"/>
    <w:rsid w:val="00764136"/>
    <w:rsid w:val="00765A25"/>
    <w:rsid w:val="00766D06"/>
    <w:rsid w:val="00766E2D"/>
    <w:rsid w:val="0077044E"/>
    <w:rsid w:val="00770873"/>
    <w:rsid w:val="00772738"/>
    <w:rsid w:val="00773B1A"/>
    <w:rsid w:val="00774408"/>
    <w:rsid w:val="007748A1"/>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AF9"/>
    <w:rsid w:val="00792EED"/>
    <w:rsid w:val="007944C3"/>
    <w:rsid w:val="007947B8"/>
    <w:rsid w:val="00794F5C"/>
    <w:rsid w:val="00796A95"/>
    <w:rsid w:val="007A4735"/>
    <w:rsid w:val="007A4C56"/>
    <w:rsid w:val="007A4F58"/>
    <w:rsid w:val="007A680D"/>
    <w:rsid w:val="007A6D5C"/>
    <w:rsid w:val="007B0442"/>
    <w:rsid w:val="007B262A"/>
    <w:rsid w:val="007B4780"/>
    <w:rsid w:val="007B495C"/>
    <w:rsid w:val="007B4EEF"/>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2DFE"/>
    <w:rsid w:val="007E336B"/>
    <w:rsid w:val="007E543C"/>
    <w:rsid w:val="007E5E8D"/>
    <w:rsid w:val="007E794B"/>
    <w:rsid w:val="007E7A4F"/>
    <w:rsid w:val="007E7AD9"/>
    <w:rsid w:val="007F0EDF"/>
    <w:rsid w:val="007F14A8"/>
    <w:rsid w:val="007F211A"/>
    <w:rsid w:val="007F21F2"/>
    <w:rsid w:val="007F2BB5"/>
    <w:rsid w:val="007F2BD9"/>
    <w:rsid w:val="007F3451"/>
    <w:rsid w:val="007F4161"/>
    <w:rsid w:val="007F43AA"/>
    <w:rsid w:val="007F47FC"/>
    <w:rsid w:val="007F500F"/>
    <w:rsid w:val="007F55CB"/>
    <w:rsid w:val="007F5C89"/>
    <w:rsid w:val="007F659C"/>
    <w:rsid w:val="007F75D4"/>
    <w:rsid w:val="008001FE"/>
    <w:rsid w:val="00800F23"/>
    <w:rsid w:val="008034C9"/>
    <w:rsid w:val="00803E45"/>
    <w:rsid w:val="00804B6F"/>
    <w:rsid w:val="0081002F"/>
    <w:rsid w:val="008113EE"/>
    <w:rsid w:val="00811E60"/>
    <w:rsid w:val="00812C1A"/>
    <w:rsid w:val="00812E10"/>
    <w:rsid w:val="00813409"/>
    <w:rsid w:val="00813D06"/>
    <w:rsid w:val="00814573"/>
    <w:rsid w:val="008146CB"/>
    <w:rsid w:val="00814D60"/>
    <w:rsid w:val="0081503D"/>
    <w:rsid w:val="008161E4"/>
    <w:rsid w:val="00816460"/>
    <w:rsid w:val="0081684C"/>
    <w:rsid w:val="00816B02"/>
    <w:rsid w:val="00816F91"/>
    <w:rsid w:val="00817E17"/>
    <w:rsid w:val="0082022E"/>
    <w:rsid w:val="00820B33"/>
    <w:rsid w:val="00821AE9"/>
    <w:rsid w:val="0082293B"/>
    <w:rsid w:val="00822F79"/>
    <w:rsid w:val="008237D3"/>
    <w:rsid w:val="008237EB"/>
    <w:rsid w:val="00824601"/>
    <w:rsid w:val="00825763"/>
    <w:rsid w:val="00826B0A"/>
    <w:rsid w:val="00826F41"/>
    <w:rsid w:val="00830A28"/>
    <w:rsid w:val="008317F6"/>
    <w:rsid w:val="00831F87"/>
    <w:rsid w:val="008366D7"/>
    <w:rsid w:val="00836DF9"/>
    <w:rsid w:val="00841310"/>
    <w:rsid w:val="00842FBE"/>
    <w:rsid w:val="00843097"/>
    <w:rsid w:val="00844750"/>
    <w:rsid w:val="0084488A"/>
    <w:rsid w:val="0084609A"/>
    <w:rsid w:val="008473B4"/>
    <w:rsid w:val="008475EC"/>
    <w:rsid w:val="00852B4D"/>
    <w:rsid w:val="00852F5C"/>
    <w:rsid w:val="00853C6B"/>
    <w:rsid w:val="00854F31"/>
    <w:rsid w:val="008555F7"/>
    <w:rsid w:val="00855B64"/>
    <w:rsid w:val="00856B6B"/>
    <w:rsid w:val="00856D39"/>
    <w:rsid w:val="00857E87"/>
    <w:rsid w:val="00860332"/>
    <w:rsid w:val="00861912"/>
    <w:rsid w:val="00862445"/>
    <w:rsid w:val="008625A5"/>
    <w:rsid w:val="00862738"/>
    <w:rsid w:val="008631C4"/>
    <w:rsid w:val="00863322"/>
    <w:rsid w:val="008638A2"/>
    <w:rsid w:val="00864575"/>
    <w:rsid w:val="00866A05"/>
    <w:rsid w:val="00866AAE"/>
    <w:rsid w:val="00867AAA"/>
    <w:rsid w:val="00867C56"/>
    <w:rsid w:val="00870707"/>
    <w:rsid w:val="00870AA1"/>
    <w:rsid w:val="008714FE"/>
    <w:rsid w:val="00873CE3"/>
    <w:rsid w:val="00873FD6"/>
    <w:rsid w:val="008742CA"/>
    <w:rsid w:val="00880C0E"/>
    <w:rsid w:val="0088411C"/>
    <w:rsid w:val="00884EC1"/>
    <w:rsid w:val="008878ED"/>
    <w:rsid w:val="00887CB8"/>
    <w:rsid w:val="00890250"/>
    <w:rsid w:val="00891FA6"/>
    <w:rsid w:val="008923BE"/>
    <w:rsid w:val="00893025"/>
    <w:rsid w:val="00895497"/>
    <w:rsid w:val="008962BF"/>
    <w:rsid w:val="00896428"/>
    <w:rsid w:val="00896604"/>
    <w:rsid w:val="00896BF4"/>
    <w:rsid w:val="008A008A"/>
    <w:rsid w:val="008A0BBD"/>
    <w:rsid w:val="008A2F31"/>
    <w:rsid w:val="008A3266"/>
    <w:rsid w:val="008A51BA"/>
    <w:rsid w:val="008A5C53"/>
    <w:rsid w:val="008A6088"/>
    <w:rsid w:val="008B0FF5"/>
    <w:rsid w:val="008B2C53"/>
    <w:rsid w:val="008B44C4"/>
    <w:rsid w:val="008B623C"/>
    <w:rsid w:val="008B6473"/>
    <w:rsid w:val="008B755A"/>
    <w:rsid w:val="008B7879"/>
    <w:rsid w:val="008C06D6"/>
    <w:rsid w:val="008C2181"/>
    <w:rsid w:val="008C333E"/>
    <w:rsid w:val="008C3758"/>
    <w:rsid w:val="008C39AC"/>
    <w:rsid w:val="008C52FB"/>
    <w:rsid w:val="008C726C"/>
    <w:rsid w:val="008C750E"/>
    <w:rsid w:val="008D1566"/>
    <w:rsid w:val="008D3919"/>
    <w:rsid w:val="008D4766"/>
    <w:rsid w:val="008D633C"/>
    <w:rsid w:val="008D6B47"/>
    <w:rsid w:val="008D7293"/>
    <w:rsid w:val="008E21DC"/>
    <w:rsid w:val="008E23EB"/>
    <w:rsid w:val="008E254C"/>
    <w:rsid w:val="008E421A"/>
    <w:rsid w:val="008E4410"/>
    <w:rsid w:val="008E4BC1"/>
    <w:rsid w:val="008E65BE"/>
    <w:rsid w:val="008E7FAE"/>
    <w:rsid w:val="008E7FF3"/>
    <w:rsid w:val="008F0F36"/>
    <w:rsid w:val="008F273B"/>
    <w:rsid w:val="008F40F0"/>
    <w:rsid w:val="008F52B9"/>
    <w:rsid w:val="008F65D5"/>
    <w:rsid w:val="008F7654"/>
    <w:rsid w:val="00900333"/>
    <w:rsid w:val="00901556"/>
    <w:rsid w:val="009015C1"/>
    <w:rsid w:val="0090221C"/>
    <w:rsid w:val="0090234E"/>
    <w:rsid w:val="00902B7D"/>
    <w:rsid w:val="0090452B"/>
    <w:rsid w:val="0090498A"/>
    <w:rsid w:val="0090537B"/>
    <w:rsid w:val="00905FBF"/>
    <w:rsid w:val="00906137"/>
    <w:rsid w:val="00906D1B"/>
    <w:rsid w:val="009072E7"/>
    <w:rsid w:val="00907709"/>
    <w:rsid w:val="009117E5"/>
    <w:rsid w:val="00911BF7"/>
    <w:rsid w:val="00914243"/>
    <w:rsid w:val="009142A9"/>
    <w:rsid w:val="009145B8"/>
    <w:rsid w:val="00915524"/>
    <w:rsid w:val="00915924"/>
    <w:rsid w:val="00917113"/>
    <w:rsid w:val="009200A6"/>
    <w:rsid w:val="009211D4"/>
    <w:rsid w:val="00921A6F"/>
    <w:rsid w:val="0092264B"/>
    <w:rsid w:val="00922924"/>
    <w:rsid w:val="00922FEB"/>
    <w:rsid w:val="00923B33"/>
    <w:rsid w:val="009256F3"/>
    <w:rsid w:val="0092636B"/>
    <w:rsid w:val="009267F1"/>
    <w:rsid w:val="009269A7"/>
    <w:rsid w:val="00926ED4"/>
    <w:rsid w:val="00927449"/>
    <w:rsid w:val="009279E7"/>
    <w:rsid w:val="0093043B"/>
    <w:rsid w:val="00931BBE"/>
    <w:rsid w:val="00932E6A"/>
    <w:rsid w:val="00933855"/>
    <w:rsid w:val="00934D4C"/>
    <w:rsid w:val="009356B2"/>
    <w:rsid w:val="00936612"/>
    <w:rsid w:val="00936AEC"/>
    <w:rsid w:val="00936F5A"/>
    <w:rsid w:val="009403B5"/>
    <w:rsid w:val="00940519"/>
    <w:rsid w:val="00941474"/>
    <w:rsid w:val="009427D0"/>
    <w:rsid w:val="00942927"/>
    <w:rsid w:val="00947028"/>
    <w:rsid w:val="009470BD"/>
    <w:rsid w:val="009470D4"/>
    <w:rsid w:val="00947FEC"/>
    <w:rsid w:val="00952FDB"/>
    <w:rsid w:val="009543F6"/>
    <w:rsid w:val="00955275"/>
    <w:rsid w:val="009556DB"/>
    <w:rsid w:val="00955888"/>
    <w:rsid w:val="00955E22"/>
    <w:rsid w:val="0096030F"/>
    <w:rsid w:val="00961692"/>
    <w:rsid w:val="009617B3"/>
    <w:rsid w:val="0096457A"/>
    <w:rsid w:val="0096487B"/>
    <w:rsid w:val="00965573"/>
    <w:rsid w:val="00966C87"/>
    <w:rsid w:val="00970910"/>
    <w:rsid w:val="00970F6B"/>
    <w:rsid w:val="00974560"/>
    <w:rsid w:val="00975749"/>
    <w:rsid w:val="00976576"/>
    <w:rsid w:val="00977EC8"/>
    <w:rsid w:val="00980780"/>
    <w:rsid w:val="0098109C"/>
    <w:rsid w:val="00981C43"/>
    <w:rsid w:val="009837A7"/>
    <w:rsid w:val="00983DA0"/>
    <w:rsid w:val="00984632"/>
    <w:rsid w:val="009864A3"/>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F07"/>
    <w:rsid w:val="009A09FE"/>
    <w:rsid w:val="009A1AC9"/>
    <w:rsid w:val="009A2F78"/>
    <w:rsid w:val="009A321F"/>
    <w:rsid w:val="009A39D2"/>
    <w:rsid w:val="009A6A9E"/>
    <w:rsid w:val="009A6CAC"/>
    <w:rsid w:val="009A7026"/>
    <w:rsid w:val="009A7909"/>
    <w:rsid w:val="009B1997"/>
    <w:rsid w:val="009B4422"/>
    <w:rsid w:val="009B56D2"/>
    <w:rsid w:val="009B59BD"/>
    <w:rsid w:val="009B6249"/>
    <w:rsid w:val="009B6614"/>
    <w:rsid w:val="009B7AE1"/>
    <w:rsid w:val="009C00A3"/>
    <w:rsid w:val="009C0AEF"/>
    <w:rsid w:val="009C111C"/>
    <w:rsid w:val="009C112F"/>
    <w:rsid w:val="009C2E6F"/>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567"/>
    <w:rsid w:val="009E4EC5"/>
    <w:rsid w:val="009E5F97"/>
    <w:rsid w:val="009E7344"/>
    <w:rsid w:val="009E78BE"/>
    <w:rsid w:val="009E7956"/>
    <w:rsid w:val="009E7B93"/>
    <w:rsid w:val="009E7C39"/>
    <w:rsid w:val="009F06D7"/>
    <w:rsid w:val="009F21F9"/>
    <w:rsid w:val="009F336E"/>
    <w:rsid w:val="009F3A13"/>
    <w:rsid w:val="009F491D"/>
    <w:rsid w:val="009F5977"/>
    <w:rsid w:val="009F6506"/>
    <w:rsid w:val="009F6C79"/>
    <w:rsid w:val="009F74FC"/>
    <w:rsid w:val="00A001A3"/>
    <w:rsid w:val="00A00448"/>
    <w:rsid w:val="00A00472"/>
    <w:rsid w:val="00A00AA3"/>
    <w:rsid w:val="00A00E5C"/>
    <w:rsid w:val="00A01F3B"/>
    <w:rsid w:val="00A02502"/>
    <w:rsid w:val="00A0313F"/>
    <w:rsid w:val="00A03B33"/>
    <w:rsid w:val="00A04774"/>
    <w:rsid w:val="00A04F71"/>
    <w:rsid w:val="00A05025"/>
    <w:rsid w:val="00A050FA"/>
    <w:rsid w:val="00A06A3B"/>
    <w:rsid w:val="00A06B7D"/>
    <w:rsid w:val="00A06D69"/>
    <w:rsid w:val="00A0791B"/>
    <w:rsid w:val="00A103AF"/>
    <w:rsid w:val="00A109DA"/>
    <w:rsid w:val="00A10A82"/>
    <w:rsid w:val="00A10C5A"/>
    <w:rsid w:val="00A130E1"/>
    <w:rsid w:val="00A16465"/>
    <w:rsid w:val="00A2129B"/>
    <w:rsid w:val="00A21A8C"/>
    <w:rsid w:val="00A21D61"/>
    <w:rsid w:val="00A2205A"/>
    <w:rsid w:val="00A231B8"/>
    <w:rsid w:val="00A239E6"/>
    <w:rsid w:val="00A23CD3"/>
    <w:rsid w:val="00A2492E"/>
    <w:rsid w:val="00A24ECB"/>
    <w:rsid w:val="00A24FEE"/>
    <w:rsid w:val="00A27054"/>
    <w:rsid w:val="00A27564"/>
    <w:rsid w:val="00A31E3F"/>
    <w:rsid w:val="00A326FA"/>
    <w:rsid w:val="00A33FE8"/>
    <w:rsid w:val="00A34891"/>
    <w:rsid w:val="00A34EA6"/>
    <w:rsid w:val="00A35E18"/>
    <w:rsid w:val="00A36FF4"/>
    <w:rsid w:val="00A372A5"/>
    <w:rsid w:val="00A40F0B"/>
    <w:rsid w:val="00A4200B"/>
    <w:rsid w:val="00A42CF3"/>
    <w:rsid w:val="00A43C91"/>
    <w:rsid w:val="00A44CBC"/>
    <w:rsid w:val="00A454D0"/>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5782F"/>
    <w:rsid w:val="00A6018E"/>
    <w:rsid w:val="00A60D62"/>
    <w:rsid w:val="00A62D08"/>
    <w:rsid w:val="00A636DB"/>
    <w:rsid w:val="00A64631"/>
    <w:rsid w:val="00A64E23"/>
    <w:rsid w:val="00A65836"/>
    <w:rsid w:val="00A664AB"/>
    <w:rsid w:val="00A6652C"/>
    <w:rsid w:val="00A666DA"/>
    <w:rsid w:val="00A67063"/>
    <w:rsid w:val="00A67496"/>
    <w:rsid w:val="00A67548"/>
    <w:rsid w:val="00A70163"/>
    <w:rsid w:val="00A70B81"/>
    <w:rsid w:val="00A70EF3"/>
    <w:rsid w:val="00A71547"/>
    <w:rsid w:val="00A71823"/>
    <w:rsid w:val="00A735D5"/>
    <w:rsid w:val="00A759B0"/>
    <w:rsid w:val="00A77634"/>
    <w:rsid w:val="00A81CFD"/>
    <w:rsid w:val="00A825BE"/>
    <w:rsid w:val="00A83EB5"/>
    <w:rsid w:val="00A85E2F"/>
    <w:rsid w:val="00A900EE"/>
    <w:rsid w:val="00A90EA8"/>
    <w:rsid w:val="00A91547"/>
    <w:rsid w:val="00A91C44"/>
    <w:rsid w:val="00A92B70"/>
    <w:rsid w:val="00A92D2C"/>
    <w:rsid w:val="00A945F7"/>
    <w:rsid w:val="00A97264"/>
    <w:rsid w:val="00AA03AE"/>
    <w:rsid w:val="00AA0F25"/>
    <w:rsid w:val="00AA1369"/>
    <w:rsid w:val="00AA2CD8"/>
    <w:rsid w:val="00AA477F"/>
    <w:rsid w:val="00AA4811"/>
    <w:rsid w:val="00AA4854"/>
    <w:rsid w:val="00AA4BE8"/>
    <w:rsid w:val="00AA5797"/>
    <w:rsid w:val="00AA596A"/>
    <w:rsid w:val="00AA6EED"/>
    <w:rsid w:val="00AA700E"/>
    <w:rsid w:val="00AB1023"/>
    <w:rsid w:val="00AB1261"/>
    <w:rsid w:val="00AB1F08"/>
    <w:rsid w:val="00AB21D5"/>
    <w:rsid w:val="00AB7415"/>
    <w:rsid w:val="00AC0701"/>
    <w:rsid w:val="00AC0B8C"/>
    <w:rsid w:val="00AC133C"/>
    <w:rsid w:val="00AC2D5F"/>
    <w:rsid w:val="00AC3388"/>
    <w:rsid w:val="00AC67A1"/>
    <w:rsid w:val="00AC6BD8"/>
    <w:rsid w:val="00AC7977"/>
    <w:rsid w:val="00AC7F9F"/>
    <w:rsid w:val="00AD0233"/>
    <w:rsid w:val="00AD05C5"/>
    <w:rsid w:val="00AD0861"/>
    <w:rsid w:val="00AD195B"/>
    <w:rsid w:val="00AD32DA"/>
    <w:rsid w:val="00AD3944"/>
    <w:rsid w:val="00AD56A1"/>
    <w:rsid w:val="00AD5BF7"/>
    <w:rsid w:val="00AD655E"/>
    <w:rsid w:val="00AD6894"/>
    <w:rsid w:val="00AD79AF"/>
    <w:rsid w:val="00AE017E"/>
    <w:rsid w:val="00AE1636"/>
    <w:rsid w:val="00AE344A"/>
    <w:rsid w:val="00AE352C"/>
    <w:rsid w:val="00AE3CD3"/>
    <w:rsid w:val="00AE46F2"/>
    <w:rsid w:val="00AE471B"/>
    <w:rsid w:val="00AE546E"/>
    <w:rsid w:val="00AE5BE1"/>
    <w:rsid w:val="00AE656F"/>
    <w:rsid w:val="00AE6C9F"/>
    <w:rsid w:val="00AE794F"/>
    <w:rsid w:val="00AF0051"/>
    <w:rsid w:val="00AF12ED"/>
    <w:rsid w:val="00AF154C"/>
    <w:rsid w:val="00AF163A"/>
    <w:rsid w:val="00AF2205"/>
    <w:rsid w:val="00AF2A5D"/>
    <w:rsid w:val="00AF2CB6"/>
    <w:rsid w:val="00AF357C"/>
    <w:rsid w:val="00AF4693"/>
    <w:rsid w:val="00AF5028"/>
    <w:rsid w:val="00AF53F8"/>
    <w:rsid w:val="00AF5974"/>
    <w:rsid w:val="00AF5FC2"/>
    <w:rsid w:val="00AF6CD8"/>
    <w:rsid w:val="00AF7776"/>
    <w:rsid w:val="00B008E5"/>
    <w:rsid w:val="00B01D76"/>
    <w:rsid w:val="00B02185"/>
    <w:rsid w:val="00B04C3D"/>
    <w:rsid w:val="00B05362"/>
    <w:rsid w:val="00B054AC"/>
    <w:rsid w:val="00B05529"/>
    <w:rsid w:val="00B05C24"/>
    <w:rsid w:val="00B06D18"/>
    <w:rsid w:val="00B11FED"/>
    <w:rsid w:val="00B127ED"/>
    <w:rsid w:val="00B13BA0"/>
    <w:rsid w:val="00B13EB4"/>
    <w:rsid w:val="00B14B9E"/>
    <w:rsid w:val="00B1539F"/>
    <w:rsid w:val="00B154BE"/>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88E"/>
    <w:rsid w:val="00B37674"/>
    <w:rsid w:val="00B37AF1"/>
    <w:rsid w:val="00B40320"/>
    <w:rsid w:val="00B412F8"/>
    <w:rsid w:val="00B421FC"/>
    <w:rsid w:val="00B42B76"/>
    <w:rsid w:val="00B4466B"/>
    <w:rsid w:val="00B5303E"/>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78BF"/>
    <w:rsid w:val="00B80BAB"/>
    <w:rsid w:val="00B82010"/>
    <w:rsid w:val="00B8212B"/>
    <w:rsid w:val="00B84533"/>
    <w:rsid w:val="00B847AB"/>
    <w:rsid w:val="00B84A6F"/>
    <w:rsid w:val="00B84CF0"/>
    <w:rsid w:val="00B8587B"/>
    <w:rsid w:val="00B85AC0"/>
    <w:rsid w:val="00B85D99"/>
    <w:rsid w:val="00B85F65"/>
    <w:rsid w:val="00B86747"/>
    <w:rsid w:val="00B86DEB"/>
    <w:rsid w:val="00B90B75"/>
    <w:rsid w:val="00B93127"/>
    <w:rsid w:val="00B93E72"/>
    <w:rsid w:val="00B945F6"/>
    <w:rsid w:val="00B97DD0"/>
    <w:rsid w:val="00BA070A"/>
    <w:rsid w:val="00BA38A9"/>
    <w:rsid w:val="00BA4CAC"/>
    <w:rsid w:val="00BA5929"/>
    <w:rsid w:val="00BA5FAF"/>
    <w:rsid w:val="00BB14FC"/>
    <w:rsid w:val="00BB1E2D"/>
    <w:rsid w:val="00BB2062"/>
    <w:rsid w:val="00BB572B"/>
    <w:rsid w:val="00BB58DD"/>
    <w:rsid w:val="00BB71A7"/>
    <w:rsid w:val="00BB7ED4"/>
    <w:rsid w:val="00BC2568"/>
    <w:rsid w:val="00BC3CA6"/>
    <w:rsid w:val="00BC3E29"/>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782"/>
    <w:rsid w:val="00BF4DA3"/>
    <w:rsid w:val="00BF5007"/>
    <w:rsid w:val="00BF50C3"/>
    <w:rsid w:val="00BF5778"/>
    <w:rsid w:val="00BF7165"/>
    <w:rsid w:val="00BF7620"/>
    <w:rsid w:val="00BF7B79"/>
    <w:rsid w:val="00C000F3"/>
    <w:rsid w:val="00C02294"/>
    <w:rsid w:val="00C02CCE"/>
    <w:rsid w:val="00C04A87"/>
    <w:rsid w:val="00C05A00"/>
    <w:rsid w:val="00C05A6B"/>
    <w:rsid w:val="00C061E3"/>
    <w:rsid w:val="00C06622"/>
    <w:rsid w:val="00C07F85"/>
    <w:rsid w:val="00C07FEE"/>
    <w:rsid w:val="00C13162"/>
    <w:rsid w:val="00C15C20"/>
    <w:rsid w:val="00C15C47"/>
    <w:rsid w:val="00C17138"/>
    <w:rsid w:val="00C17154"/>
    <w:rsid w:val="00C178F6"/>
    <w:rsid w:val="00C17B18"/>
    <w:rsid w:val="00C17D36"/>
    <w:rsid w:val="00C200F0"/>
    <w:rsid w:val="00C21796"/>
    <w:rsid w:val="00C22A5C"/>
    <w:rsid w:val="00C23B00"/>
    <w:rsid w:val="00C23C95"/>
    <w:rsid w:val="00C2487F"/>
    <w:rsid w:val="00C24B53"/>
    <w:rsid w:val="00C24E22"/>
    <w:rsid w:val="00C250F8"/>
    <w:rsid w:val="00C261F8"/>
    <w:rsid w:val="00C2665A"/>
    <w:rsid w:val="00C266DC"/>
    <w:rsid w:val="00C267DB"/>
    <w:rsid w:val="00C26CFE"/>
    <w:rsid w:val="00C271C9"/>
    <w:rsid w:val="00C31FB9"/>
    <w:rsid w:val="00C320D3"/>
    <w:rsid w:val="00C322A0"/>
    <w:rsid w:val="00C324DB"/>
    <w:rsid w:val="00C32C56"/>
    <w:rsid w:val="00C33100"/>
    <w:rsid w:val="00C33148"/>
    <w:rsid w:val="00C33C9D"/>
    <w:rsid w:val="00C33CFF"/>
    <w:rsid w:val="00C344F9"/>
    <w:rsid w:val="00C377E5"/>
    <w:rsid w:val="00C37939"/>
    <w:rsid w:val="00C40B6A"/>
    <w:rsid w:val="00C40F37"/>
    <w:rsid w:val="00C4127C"/>
    <w:rsid w:val="00C4413B"/>
    <w:rsid w:val="00C460CC"/>
    <w:rsid w:val="00C46F28"/>
    <w:rsid w:val="00C500A0"/>
    <w:rsid w:val="00C5031E"/>
    <w:rsid w:val="00C50868"/>
    <w:rsid w:val="00C52846"/>
    <w:rsid w:val="00C52995"/>
    <w:rsid w:val="00C53421"/>
    <w:rsid w:val="00C53BAF"/>
    <w:rsid w:val="00C53CCE"/>
    <w:rsid w:val="00C54AA6"/>
    <w:rsid w:val="00C557E5"/>
    <w:rsid w:val="00C56563"/>
    <w:rsid w:val="00C60530"/>
    <w:rsid w:val="00C60F3C"/>
    <w:rsid w:val="00C61DD7"/>
    <w:rsid w:val="00C62CDC"/>
    <w:rsid w:val="00C63328"/>
    <w:rsid w:val="00C63AD2"/>
    <w:rsid w:val="00C64D5B"/>
    <w:rsid w:val="00C658A5"/>
    <w:rsid w:val="00C65CB1"/>
    <w:rsid w:val="00C66040"/>
    <w:rsid w:val="00C6664E"/>
    <w:rsid w:val="00C666A3"/>
    <w:rsid w:val="00C66EE1"/>
    <w:rsid w:val="00C6734B"/>
    <w:rsid w:val="00C70623"/>
    <w:rsid w:val="00C70CA1"/>
    <w:rsid w:val="00C70E4A"/>
    <w:rsid w:val="00C713B2"/>
    <w:rsid w:val="00C71920"/>
    <w:rsid w:val="00C71FD7"/>
    <w:rsid w:val="00C75A27"/>
    <w:rsid w:val="00C7630C"/>
    <w:rsid w:val="00C77363"/>
    <w:rsid w:val="00C773AB"/>
    <w:rsid w:val="00C77729"/>
    <w:rsid w:val="00C80611"/>
    <w:rsid w:val="00C81884"/>
    <w:rsid w:val="00C821B9"/>
    <w:rsid w:val="00C833D7"/>
    <w:rsid w:val="00C83515"/>
    <w:rsid w:val="00C8410B"/>
    <w:rsid w:val="00C86F0C"/>
    <w:rsid w:val="00C87E09"/>
    <w:rsid w:val="00C90890"/>
    <w:rsid w:val="00C90C3B"/>
    <w:rsid w:val="00C91629"/>
    <w:rsid w:val="00C91F72"/>
    <w:rsid w:val="00C940E9"/>
    <w:rsid w:val="00C94120"/>
    <w:rsid w:val="00C95441"/>
    <w:rsid w:val="00C958F9"/>
    <w:rsid w:val="00CA095F"/>
    <w:rsid w:val="00CA0976"/>
    <w:rsid w:val="00CA1678"/>
    <w:rsid w:val="00CA2F94"/>
    <w:rsid w:val="00CA49A6"/>
    <w:rsid w:val="00CA4C8D"/>
    <w:rsid w:val="00CA53AD"/>
    <w:rsid w:val="00CA55DF"/>
    <w:rsid w:val="00CA6C08"/>
    <w:rsid w:val="00CB0FEF"/>
    <w:rsid w:val="00CB1F1C"/>
    <w:rsid w:val="00CB20D5"/>
    <w:rsid w:val="00CB250B"/>
    <w:rsid w:val="00CB2E27"/>
    <w:rsid w:val="00CB322A"/>
    <w:rsid w:val="00CB6267"/>
    <w:rsid w:val="00CC0EBF"/>
    <w:rsid w:val="00CC103C"/>
    <w:rsid w:val="00CC1082"/>
    <w:rsid w:val="00CC3D35"/>
    <w:rsid w:val="00CC4BD4"/>
    <w:rsid w:val="00CC4D91"/>
    <w:rsid w:val="00CC671B"/>
    <w:rsid w:val="00CC7432"/>
    <w:rsid w:val="00CC7BAE"/>
    <w:rsid w:val="00CD0268"/>
    <w:rsid w:val="00CD1A71"/>
    <w:rsid w:val="00CD1FBB"/>
    <w:rsid w:val="00CD29C6"/>
    <w:rsid w:val="00CD6189"/>
    <w:rsid w:val="00CD6450"/>
    <w:rsid w:val="00CD7B96"/>
    <w:rsid w:val="00CE0819"/>
    <w:rsid w:val="00CE0B21"/>
    <w:rsid w:val="00CE1C27"/>
    <w:rsid w:val="00CE32FE"/>
    <w:rsid w:val="00CE396F"/>
    <w:rsid w:val="00CE5A9C"/>
    <w:rsid w:val="00CE678F"/>
    <w:rsid w:val="00CE67E4"/>
    <w:rsid w:val="00CE68C4"/>
    <w:rsid w:val="00CE6D4D"/>
    <w:rsid w:val="00CE7227"/>
    <w:rsid w:val="00CF1FD3"/>
    <w:rsid w:val="00CF257E"/>
    <w:rsid w:val="00CF3277"/>
    <w:rsid w:val="00CF36EA"/>
    <w:rsid w:val="00CF43C4"/>
    <w:rsid w:val="00CF4B46"/>
    <w:rsid w:val="00CF7825"/>
    <w:rsid w:val="00D00D17"/>
    <w:rsid w:val="00D016B5"/>
    <w:rsid w:val="00D0170F"/>
    <w:rsid w:val="00D01FC7"/>
    <w:rsid w:val="00D0268D"/>
    <w:rsid w:val="00D030CC"/>
    <w:rsid w:val="00D034F1"/>
    <w:rsid w:val="00D07667"/>
    <w:rsid w:val="00D07DB2"/>
    <w:rsid w:val="00D1086E"/>
    <w:rsid w:val="00D11B17"/>
    <w:rsid w:val="00D11BEB"/>
    <w:rsid w:val="00D11DC3"/>
    <w:rsid w:val="00D1302D"/>
    <w:rsid w:val="00D1387A"/>
    <w:rsid w:val="00D13B2E"/>
    <w:rsid w:val="00D142CE"/>
    <w:rsid w:val="00D14345"/>
    <w:rsid w:val="00D145D3"/>
    <w:rsid w:val="00D14BF9"/>
    <w:rsid w:val="00D15A60"/>
    <w:rsid w:val="00D15ED1"/>
    <w:rsid w:val="00D15FF7"/>
    <w:rsid w:val="00D1660C"/>
    <w:rsid w:val="00D17433"/>
    <w:rsid w:val="00D17C33"/>
    <w:rsid w:val="00D20C35"/>
    <w:rsid w:val="00D218F8"/>
    <w:rsid w:val="00D21AF8"/>
    <w:rsid w:val="00D22106"/>
    <w:rsid w:val="00D246FE"/>
    <w:rsid w:val="00D247EA"/>
    <w:rsid w:val="00D24F7F"/>
    <w:rsid w:val="00D263F1"/>
    <w:rsid w:val="00D27D5E"/>
    <w:rsid w:val="00D301FC"/>
    <w:rsid w:val="00D30ABC"/>
    <w:rsid w:val="00D3293B"/>
    <w:rsid w:val="00D33093"/>
    <w:rsid w:val="00D33F2B"/>
    <w:rsid w:val="00D371F4"/>
    <w:rsid w:val="00D43775"/>
    <w:rsid w:val="00D47A16"/>
    <w:rsid w:val="00D50FEF"/>
    <w:rsid w:val="00D52760"/>
    <w:rsid w:val="00D52B50"/>
    <w:rsid w:val="00D52F2A"/>
    <w:rsid w:val="00D544B1"/>
    <w:rsid w:val="00D551E3"/>
    <w:rsid w:val="00D55DE4"/>
    <w:rsid w:val="00D568F9"/>
    <w:rsid w:val="00D569A4"/>
    <w:rsid w:val="00D57082"/>
    <w:rsid w:val="00D57C1E"/>
    <w:rsid w:val="00D57F5B"/>
    <w:rsid w:val="00D60301"/>
    <w:rsid w:val="00D604F1"/>
    <w:rsid w:val="00D60A3F"/>
    <w:rsid w:val="00D6191C"/>
    <w:rsid w:val="00D6246A"/>
    <w:rsid w:val="00D62ED8"/>
    <w:rsid w:val="00D64202"/>
    <w:rsid w:val="00D64256"/>
    <w:rsid w:val="00D6454D"/>
    <w:rsid w:val="00D64EAF"/>
    <w:rsid w:val="00D660EB"/>
    <w:rsid w:val="00D66103"/>
    <w:rsid w:val="00D6627D"/>
    <w:rsid w:val="00D665E8"/>
    <w:rsid w:val="00D6707F"/>
    <w:rsid w:val="00D6796C"/>
    <w:rsid w:val="00D67F98"/>
    <w:rsid w:val="00D70A1B"/>
    <w:rsid w:val="00D70CC0"/>
    <w:rsid w:val="00D71BB9"/>
    <w:rsid w:val="00D722EF"/>
    <w:rsid w:val="00D72950"/>
    <w:rsid w:val="00D72D55"/>
    <w:rsid w:val="00D74C4B"/>
    <w:rsid w:val="00D762B3"/>
    <w:rsid w:val="00D773BA"/>
    <w:rsid w:val="00D774C8"/>
    <w:rsid w:val="00D777A9"/>
    <w:rsid w:val="00D77D39"/>
    <w:rsid w:val="00D81761"/>
    <w:rsid w:val="00D84D21"/>
    <w:rsid w:val="00D8648E"/>
    <w:rsid w:val="00D86731"/>
    <w:rsid w:val="00D909E9"/>
    <w:rsid w:val="00D90D12"/>
    <w:rsid w:val="00D91A12"/>
    <w:rsid w:val="00D93BBE"/>
    <w:rsid w:val="00D9454D"/>
    <w:rsid w:val="00D95807"/>
    <w:rsid w:val="00D95E12"/>
    <w:rsid w:val="00D96184"/>
    <w:rsid w:val="00D96343"/>
    <w:rsid w:val="00D965BF"/>
    <w:rsid w:val="00D96AB5"/>
    <w:rsid w:val="00DA0CA9"/>
    <w:rsid w:val="00DA153B"/>
    <w:rsid w:val="00DA25A4"/>
    <w:rsid w:val="00DA309C"/>
    <w:rsid w:val="00DA3544"/>
    <w:rsid w:val="00DA57B1"/>
    <w:rsid w:val="00DA57D4"/>
    <w:rsid w:val="00DA628F"/>
    <w:rsid w:val="00DA7636"/>
    <w:rsid w:val="00DA7672"/>
    <w:rsid w:val="00DA76F2"/>
    <w:rsid w:val="00DA7820"/>
    <w:rsid w:val="00DA7D5F"/>
    <w:rsid w:val="00DB41CE"/>
    <w:rsid w:val="00DB4793"/>
    <w:rsid w:val="00DB57ED"/>
    <w:rsid w:val="00DB6BA1"/>
    <w:rsid w:val="00DC03CD"/>
    <w:rsid w:val="00DC0CBC"/>
    <w:rsid w:val="00DC0FAD"/>
    <w:rsid w:val="00DC1260"/>
    <w:rsid w:val="00DC13DC"/>
    <w:rsid w:val="00DC4500"/>
    <w:rsid w:val="00DC728C"/>
    <w:rsid w:val="00DD04E1"/>
    <w:rsid w:val="00DD4580"/>
    <w:rsid w:val="00DD5323"/>
    <w:rsid w:val="00DD620B"/>
    <w:rsid w:val="00DD6E2C"/>
    <w:rsid w:val="00DD798E"/>
    <w:rsid w:val="00DE01E3"/>
    <w:rsid w:val="00DE17DD"/>
    <w:rsid w:val="00DE17E5"/>
    <w:rsid w:val="00DE329F"/>
    <w:rsid w:val="00DE3857"/>
    <w:rsid w:val="00DE41A3"/>
    <w:rsid w:val="00DE429A"/>
    <w:rsid w:val="00DE65C2"/>
    <w:rsid w:val="00DE6D90"/>
    <w:rsid w:val="00DE7073"/>
    <w:rsid w:val="00DE7B66"/>
    <w:rsid w:val="00DF002F"/>
    <w:rsid w:val="00DF0045"/>
    <w:rsid w:val="00DF1466"/>
    <w:rsid w:val="00DF1F3D"/>
    <w:rsid w:val="00DF1FA1"/>
    <w:rsid w:val="00DF2254"/>
    <w:rsid w:val="00DF3E13"/>
    <w:rsid w:val="00DF4673"/>
    <w:rsid w:val="00DF638D"/>
    <w:rsid w:val="00DF70E6"/>
    <w:rsid w:val="00DF79B9"/>
    <w:rsid w:val="00DF7C4C"/>
    <w:rsid w:val="00E0045E"/>
    <w:rsid w:val="00E00595"/>
    <w:rsid w:val="00E00749"/>
    <w:rsid w:val="00E00A35"/>
    <w:rsid w:val="00E020E0"/>
    <w:rsid w:val="00E0244D"/>
    <w:rsid w:val="00E02A4F"/>
    <w:rsid w:val="00E03D1D"/>
    <w:rsid w:val="00E04CA6"/>
    <w:rsid w:val="00E05525"/>
    <w:rsid w:val="00E0727F"/>
    <w:rsid w:val="00E1103B"/>
    <w:rsid w:val="00E117DD"/>
    <w:rsid w:val="00E13A73"/>
    <w:rsid w:val="00E14106"/>
    <w:rsid w:val="00E15261"/>
    <w:rsid w:val="00E16C22"/>
    <w:rsid w:val="00E171BA"/>
    <w:rsid w:val="00E17BA7"/>
    <w:rsid w:val="00E20C48"/>
    <w:rsid w:val="00E21D16"/>
    <w:rsid w:val="00E23086"/>
    <w:rsid w:val="00E23C22"/>
    <w:rsid w:val="00E24682"/>
    <w:rsid w:val="00E259A2"/>
    <w:rsid w:val="00E25CEE"/>
    <w:rsid w:val="00E2613F"/>
    <w:rsid w:val="00E26A35"/>
    <w:rsid w:val="00E27742"/>
    <w:rsid w:val="00E30C44"/>
    <w:rsid w:val="00E35030"/>
    <w:rsid w:val="00E357F2"/>
    <w:rsid w:val="00E36953"/>
    <w:rsid w:val="00E37CB5"/>
    <w:rsid w:val="00E40656"/>
    <w:rsid w:val="00E408D2"/>
    <w:rsid w:val="00E4127D"/>
    <w:rsid w:val="00E41CDF"/>
    <w:rsid w:val="00E42753"/>
    <w:rsid w:val="00E42D23"/>
    <w:rsid w:val="00E42F9B"/>
    <w:rsid w:val="00E4343C"/>
    <w:rsid w:val="00E43F62"/>
    <w:rsid w:val="00E4491D"/>
    <w:rsid w:val="00E44F2D"/>
    <w:rsid w:val="00E4543A"/>
    <w:rsid w:val="00E46429"/>
    <w:rsid w:val="00E467D9"/>
    <w:rsid w:val="00E46B92"/>
    <w:rsid w:val="00E533DF"/>
    <w:rsid w:val="00E53DAC"/>
    <w:rsid w:val="00E55247"/>
    <w:rsid w:val="00E55D71"/>
    <w:rsid w:val="00E560B7"/>
    <w:rsid w:val="00E56EDF"/>
    <w:rsid w:val="00E572A2"/>
    <w:rsid w:val="00E609D6"/>
    <w:rsid w:val="00E61025"/>
    <w:rsid w:val="00E61A2F"/>
    <w:rsid w:val="00E62037"/>
    <w:rsid w:val="00E627B5"/>
    <w:rsid w:val="00E632D5"/>
    <w:rsid w:val="00E63421"/>
    <w:rsid w:val="00E63929"/>
    <w:rsid w:val="00E65778"/>
    <w:rsid w:val="00E667D2"/>
    <w:rsid w:val="00E67430"/>
    <w:rsid w:val="00E67BA4"/>
    <w:rsid w:val="00E708FB"/>
    <w:rsid w:val="00E711B3"/>
    <w:rsid w:val="00E726D3"/>
    <w:rsid w:val="00E72A5D"/>
    <w:rsid w:val="00E73900"/>
    <w:rsid w:val="00E74BD9"/>
    <w:rsid w:val="00E80853"/>
    <w:rsid w:val="00E8089F"/>
    <w:rsid w:val="00E808B7"/>
    <w:rsid w:val="00E81887"/>
    <w:rsid w:val="00E81E94"/>
    <w:rsid w:val="00E82607"/>
    <w:rsid w:val="00E82BA9"/>
    <w:rsid w:val="00E83B16"/>
    <w:rsid w:val="00E840F4"/>
    <w:rsid w:val="00E8441C"/>
    <w:rsid w:val="00E845F3"/>
    <w:rsid w:val="00E8491D"/>
    <w:rsid w:val="00E84BE7"/>
    <w:rsid w:val="00E84E79"/>
    <w:rsid w:val="00E8510B"/>
    <w:rsid w:val="00E86C0D"/>
    <w:rsid w:val="00E86D85"/>
    <w:rsid w:val="00E87079"/>
    <w:rsid w:val="00E90EA6"/>
    <w:rsid w:val="00E92E1B"/>
    <w:rsid w:val="00E931D7"/>
    <w:rsid w:val="00EA1745"/>
    <w:rsid w:val="00EA230F"/>
    <w:rsid w:val="00EA233B"/>
    <w:rsid w:val="00EA31C2"/>
    <w:rsid w:val="00EA38AE"/>
    <w:rsid w:val="00EA49D4"/>
    <w:rsid w:val="00EA5630"/>
    <w:rsid w:val="00EA677D"/>
    <w:rsid w:val="00EA7714"/>
    <w:rsid w:val="00EB04A0"/>
    <w:rsid w:val="00EB0DE6"/>
    <w:rsid w:val="00EB187A"/>
    <w:rsid w:val="00EB5434"/>
    <w:rsid w:val="00EB66C4"/>
    <w:rsid w:val="00EB72C9"/>
    <w:rsid w:val="00EB79F3"/>
    <w:rsid w:val="00EB7C7C"/>
    <w:rsid w:val="00EC0910"/>
    <w:rsid w:val="00EC10F4"/>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5C39"/>
    <w:rsid w:val="00ED64FA"/>
    <w:rsid w:val="00ED707E"/>
    <w:rsid w:val="00EE080E"/>
    <w:rsid w:val="00EE0A2B"/>
    <w:rsid w:val="00EE2EA3"/>
    <w:rsid w:val="00EE4721"/>
    <w:rsid w:val="00EE6D11"/>
    <w:rsid w:val="00EE7E85"/>
    <w:rsid w:val="00EF1486"/>
    <w:rsid w:val="00EF2CAC"/>
    <w:rsid w:val="00EF37FC"/>
    <w:rsid w:val="00EF3A5B"/>
    <w:rsid w:val="00EF6183"/>
    <w:rsid w:val="00EF73A7"/>
    <w:rsid w:val="00EF7903"/>
    <w:rsid w:val="00F00678"/>
    <w:rsid w:val="00F01516"/>
    <w:rsid w:val="00F049E2"/>
    <w:rsid w:val="00F06C2A"/>
    <w:rsid w:val="00F07B09"/>
    <w:rsid w:val="00F11975"/>
    <w:rsid w:val="00F145B6"/>
    <w:rsid w:val="00F15385"/>
    <w:rsid w:val="00F15C00"/>
    <w:rsid w:val="00F15EAE"/>
    <w:rsid w:val="00F1612A"/>
    <w:rsid w:val="00F1644D"/>
    <w:rsid w:val="00F16AC6"/>
    <w:rsid w:val="00F16B81"/>
    <w:rsid w:val="00F20C8B"/>
    <w:rsid w:val="00F21980"/>
    <w:rsid w:val="00F22E5C"/>
    <w:rsid w:val="00F2438C"/>
    <w:rsid w:val="00F24AEF"/>
    <w:rsid w:val="00F24C9F"/>
    <w:rsid w:val="00F260DE"/>
    <w:rsid w:val="00F30372"/>
    <w:rsid w:val="00F30D47"/>
    <w:rsid w:val="00F31480"/>
    <w:rsid w:val="00F3201D"/>
    <w:rsid w:val="00F32F3E"/>
    <w:rsid w:val="00F36266"/>
    <w:rsid w:val="00F43193"/>
    <w:rsid w:val="00F437B8"/>
    <w:rsid w:val="00F4402D"/>
    <w:rsid w:val="00F44CBD"/>
    <w:rsid w:val="00F44EAA"/>
    <w:rsid w:val="00F5070F"/>
    <w:rsid w:val="00F50B23"/>
    <w:rsid w:val="00F53329"/>
    <w:rsid w:val="00F55242"/>
    <w:rsid w:val="00F55E23"/>
    <w:rsid w:val="00F56037"/>
    <w:rsid w:val="00F5635C"/>
    <w:rsid w:val="00F56F99"/>
    <w:rsid w:val="00F57129"/>
    <w:rsid w:val="00F573B1"/>
    <w:rsid w:val="00F578B2"/>
    <w:rsid w:val="00F610A1"/>
    <w:rsid w:val="00F614CA"/>
    <w:rsid w:val="00F619FB"/>
    <w:rsid w:val="00F6284B"/>
    <w:rsid w:val="00F62DA4"/>
    <w:rsid w:val="00F62EB8"/>
    <w:rsid w:val="00F62FE3"/>
    <w:rsid w:val="00F63E7E"/>
    <w:rsid w:val="00F651B9"/>
    <w:rsid w:val="00F6679D"/>
    <w:rsid w:val="00F66822"/>
    <w:rsid w:val="00F704DB"/>
    <w:rsid w:val="00F70BDE"/>
    <w:rsid w:val="00F72F89"/>
    <w:rsid w:val="00F739E6"/>
    <w:rsid w:val="00F74474"/>
    <w:rsid w:val="00F745CA"/>
    <w:rsid w:val="00F766CB"/>
    <w:rsid w:val="00F76F68"/>
    <w:rsid w:val="00F77043"/>
    <w:rsid w:val="00F775DA"/>
    <w:rsid w:val="00F80AD3"/>
    <w:rsid w:val="00F822AD"/>
    <w:rsid w:val="00F838E8"/>
    <w:rsid w:val="00F83AD4"/>
    <w:rsid w:val="00F83B50"/>
    <w:rsid w:val="00F856CE"/>
    <w:rsid w:val="00F8673A"/>
    <w:rsid w:val="00F870FA"/>
    <w:rsid w:val="00F87BC6"/>
    <w:rsid w:val="00F913A0"/>
    <w:rsid w:val="00F938CC"/>
    <w:rsid w:val="00F96B3F"/>
    <w:rsid w:val="00FA1873"/>
    <w:rsid w:val="00FA28FF"/>
    <w:rsid w:val="00FA4E0E"/>
    <w:rsid w:val="00FA5A79"/>
    <w:rsid w:val="00FA6733"/>
    <w:rsid w:val="00FA6E4F"/>
    <w:rsid w:val="00FA7D1F"/>
    <w:rsid w:val="00FB00CB"/>
    <w:rsid w:val="00FB01E3"/>
    <w:rsid w:val="00FB0BFE"/>
    <w:rsid w:val="00FB0C01"/>
    <w:rsid w:val="00FB122F"/>
    <w:rsid w:val="00FB1D9F"/>
    <w:rsid w:val="00FB43DE"/>
    <w:rsid w:val="00FB4C51"/>
    <w:rsid w:val="00FB72C1"/>
    <w:rsid w:val="00FB786B"/>
    <w:rsid w:val="00FC08AD"/>
    <w:rsid w:val="00FC0F63"/>
    <w:rsid w:val="00FC2A5A"/>
    <w:rsid w:val="00FC3500"/>
    <w:rsid w:val="00FC54B8"/>
    <w:rsid w:val="00FC67BF"/>
    <w:rsid w:val="00FD0726"/>
    <w:rsid w:val="00FD4189"/>
    <w:rsid w:val="00FD42A0"/>
    <w:rsid w:val="00FD4CEE"/>
    <w:rsid w:val="00FD74C2"/>
    <w:rsid w:val="00FD795B"/>
    <w:rsid w:val="00FE0465"/>
    <w:rsid w:val="00FE19D6"/>
    <w:rsid w:val="00FE20D9"/>
    <w:rsid w:val="00FE2AFA"/>
    <w:rsid w:val="00FE30B5"/>
    <w:rsid w:val="00FE5748"/>
    <w:rsid w:val="00FE63D4"/>
    <w:rsid w:val="00FF0EFD"/>
    <w:rsid w:val="00FF1DBD"/>
    <w:rsid w:val="00FF2A3F"/>
    <w:rsid w:val="00FF621C"/>
    <w:rsid w:val="00FF661A"/>
    <w:rsid w:val="00FF6916"/>
    <w:rsid w:val="00FF6C8C"/>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39C5F188"/>
  <w15:docId w15:val="{EED8FB24-C4B1-41E6-B3C0-632233DB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29070F"/>
    <w:rPr>
      <w:sz w:val="16"/>
      <w:szCs w:val="16"/>
    </w:rPr>
  </w:style>
  <w:style w:type="paragraph" w:styleId="CommentText">
    <w:name w:val="annotation text"/>
    <w:basedOn w:val="Normal"/>
    <w:link w:val="CommentTextChar"/>
    <w:uiPriority w:val="99"/>
    <w:qFormat/>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uiPriority w:val="99"/>
    <w:rsid w:val="002B1577"/>
    <w:rPr>
      <w:rFonts w:cs="Courier New"/>
      <w:lang w:val="en-GB"/>
    </w:rPr>
  </w:style>
  <w:style w:type="character" w:customStyle="1" w:styleId="PlainTextChar">
    <w:name w:val="Plain Text Char"/>
    <w:link w:val="PlainText"/>
    <w:uiPriority w:val="99"/>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qFormat/>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val="en-GB"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5064113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81215884">
      <w:bodyDiv w:val="1"/>
      <w:marLeft w:val="0"/>
      <w:marRight w:val="0"/>
      <w:marTop w:val="0"/>
      <w:marBottom w:val="0"/>
      <w:divBdr>
        <w:top w:val="none" w:sz="0" w:space="0" w:color="auto"/>
        <w:left w:val="none" w:sz="0" w:space="0" w:color="auto"/>
        <w:bottom w:val="none" w:sz="0" w:space="0" w:color="auto"/>
        <w:right w:val="none" w:sz="0" w:space="0" w:color="auto"/>
      </w:divBdr>
    </w:div>
    <w:div w:id="1257396221">
      <w:bodyDiv w:val="1"/>
      <w:marLeft w:val="0"/>
      <w:marRight w:val="0"/>
      <w:marTop w:val="0"/>
      <w:marBottom w:val="0"/>
      <w:divBdr>
        <w:top w:val="none" w:sz="0" w:space="0" w:color="auto"/>
        <w:left w:val="none" w:sz="0" w:space="0" w:color="auto"/>
        <w:bottom w:val="none" w:sz="0" w:space="0" w:color="auto"/>
        <w:right w:val="none" w:sz="0" w:space="0" w:color="auto"/>
      </w:divBdr>
    </w:div>
    <w:div w:id="1482380871">
      <w:bodyDiv w:val="1"/>
      <w:marLeft w:val="0"/>
      <w:marRight w:val="0"/>
      <w:marTop w:val="0"/>
      <w:marBottom w:val="0"/>
      <w:divBdr>
        <w:top w:val="none" w:sz="0" w:space="0" w:color="auto"/>
        <w:left w:val="none" w:sz="0" w:space="0" w:color="auto"/>
        <w:bottom w:val="none" w:sz="0" w:space="0" w:color="auto"/>
        <w:right w:val="none" w:sz="0" w:space="0" w:color="auto"/>
      </w:divBdr>
    </w:div>
    <w:div w:id="1680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ece.org/pages/viewpage.action?pageId=25231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4A31-07AF-4A32-B4E0-D6807CD473BF}">
  <ds:schemaRefs>
    <ds:schemaRef ds:uri="http://schemas.microsoft.com/sharepoint/v3/contenttype/forms"/>
  </ds:schemaRefs>
</ds:datastoreItem>
</file>

<file path=customXml/itemProps2.xml><?xml version="1.0" encoding="utf-8"?>
<ds:datastoreItem xmlns:ds="http://schemas.openxmlformats.org/officeDocument/2006/customXml" ds:itemID="{798850EF-3D75-491F-B923-A6904464BE75}"/>
</file>

<file path=customXml/itemProps3.xml><?xml version="1.0" encoding="utf-8"?>
<ds:datastoreItem xmlns:ds="http://schemas.openxmlformats.org/officeDocument/2006/customXml" ds:itemID="{DF14EF32-2D66-4654-9EF9-568FE4603929}">
  <ds:schemaRefs>
    <ds:schemaRef ds:uri="http://purl.org/dc/elements/1.1/"/>
    <ds:schemaRef ds:uri="4b4a1c0d-4a69-4996-a84a-fc699b9f49de"/>
    <ds:schemaRef ds:uri="acccb6d4-dbe5-46d2-b4d3-5733603d8cc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A5BE563-F38A-47FE-B8A1-3586320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2683</Words>
  <Characters>14520</Characters>
  <Application>Microsoft Office Word</Application>
  <DocSecurity>0</DocSecurity>
  <Lines>242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17130</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creator>Corinne</dc:creator>
  <cp:lastModifiedBy>Elena PAFFUMI</cp:lastModifiedBy>
  <cp:revision>3</cp:revision>
  <cp:lastPrinted>2019-12-30T16:49:00Z</cp:lastPrinted>
  <dcterms:created xsi:type="dcterms:W3CDTF">2025-03-25T07:39:00Z</dcterms:created>
  <dcterms:modified xsi:type="dcterms:W3CDTF">2025-03-25T11:27:00Z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