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29E3" w14:textId="77777777" w:rsidR="00625D9F" w:rsidRDefault="00625D9F" w:rsidP="00514836">
      <w:pPr>
        <w:pStyle w:val="HChG"/>
      </w:pPr>
    </w:p>
    <w:p w14:paraId="2F605D56" w14:textId="34FDECFB" w:rsidR="00514836" w:rsidRDefault="00514836" w:rsidP="00514836">
      <w:pPr>
        <w:pStyle w:val="HChG"/>
      </w:pPr>
      <w:r>
        <w:tab/>
      </w:r>
      <w:r>
        <w:tab/>
      </w:r>
      <w:r w:rsidRPr="0079666C">
        <w:t xml:space="preserve">Proposal for </w:t>
      </w:r>
      <w:r w:rsidR="00E42379" w:rsidRPr="00625D9F">
        <w:rPr>
          <w:strike/>
          <w:color w:val="FF0000"/>
        </w:rPr>
        <w:t xml:space="preserve">supplement 1 to the 10 series of amendments, for supplement 2 to the 11 series and for </w:t>
      </w:r>
      <w:r w:rsidR="00E42379" w:rsidRPr="00287BDD">
        <w:t xml:space="preserve">supplement 1 to the 12 series of amendments to </w:t>
      </w:r>
      <w:bookmarkStart w:id="0" w:name="_Hlk207285447"/>
      <w:r w:rsidR="00E42379" w:rsidRPr="00287BDD">
        <w:t>UN Regulation No. 17</w:t>
      </w:r>
      <w:r w:rsidR="00E42379" w:rsidRPr="0079666C">
        <w:t xml:space="preserve"> </w:t>
      </w:r>
      <w:r w:rsidR="00E42379" w:rsidRPr="006344F3">
        <w:t>(Strength of seats</w:t>
      </w:r>
      <w:bookmarkEnd w:id="0"/>
      <w:r w:rsidR="00E42379" w:rsidRPr="001C6A15">
        <w:t>, their anchorages and head restraints</w:t>
      </w:r>
      <w:r w:rsidR="00E42379" w:rsidRPr="009246C2">
        <w:t>)</w:t>
      </w:r>
    </w:p>
    <w:p w14:paraId="1EE96A6F" w14:textId="3BE47D94" w:rsidR="00514836" w:rsidRDefault="00514836" w:rsidP="00514836">
      <w:pPr>
        <w:pStyle w:val="H1G"/>
        <w:rPr>
          <w:sz w:val="20"/>
        </w:rPr>
      </w:pPr>
      <w:r>
        <w:tab/>
      </w:r>
      <w:r>
        <w:tab/>
        <w:t xml:space="preserve">Submitted by the </w:t>
      </w:r>
      <w:r>
        <w:rPr>
          <w:spacing w:val="-4"/>
        </w:rPr>
        <w:t>expert from</w:t>
      </w:r>
      <w:r w:rsidR="00D97B36" w:rsidRPr="00D97B36">
        <w:t xml:space="preserve"> </w:t>
      </w:r>
      <w:r w:rsidR="00D97B36" w:rsidRPr="003172C7">
        <w:t xml:space="preserve">Germany on behalf of the </w:t>
      </w:r>
      <w:r w:rsidR="00D97B36" w:rsidRPr="00CD08B8">
        <w:t>GRSP Task Force on Automated Vehicles Regulation Screening</w:t>
      </w:r>
      <w:r w:rsidR="00D97B36">
        <w:t xml:space="preserve"> </w:t>
      </w:r>
      <w:r w:rsidR="00D97B36" w:rsidRPr="00CD08B8">
        <w:t>(</w:t>
      </w:r>
      <w:r w:rsidR="00D97B36">
        <w:t>TF-</w:t>
      </w:r>
      <w:r w:rsidR="00D97B36" w:rsidRPr="00CD08B8">
        <w:t>AVRS)</w:t>
      </w:r>
      <w:r>
        <w:rPr>
          <w:spacing w:val="-4"/>
        </w:rPr>
        <w:t xml:space="preserve"> </w:t>
      </w:r>
      <w:r w:rsidRPr="00122355">
        <w:rPr>
          <w:rStyle w:val="FootnoteReference"/>
          <w:sz w:val="20"/>
          <w:vertAlign w:val="baseline"/>
        </w:rPr>
        <w:footnoteReference w:customMarkFollows="1" w:id="2"/>
        <w:t>*</w:t>
      </w:r>
    </w:p>
    <w:p w14:paraId="7BA4F505" w14:textId="06722C54" w:rsidR="00514836" w:rsidRDefault="00514836" w:rsidP="000B002D">
      <w:pPr>
        <w:pStyle w:val="SingleTxtG"/>
      </w:pPr>
      <w:r>
        <w:rPr>
          <w:rStyle w:val="FootnoteReference"/>
          <w:sz w:val="20"/>
          <w:vertAlign w:val="baseline"/>
        </w:rPr>
        <w:tab/>
      </w:r>
      <w:r w:rsidRPr="004E3F12">
        <w:rPr>
          <w:rStyle w:val="FootnoteReference"/>
          <w:sz w:val="20"/>
          <w:vertAlign w:val="baseline"/>
        </w:rPr>
        <w:t xml:space="preserve">The text reproduced below </w:t>
      </w:r>
      <w:r w:rsidR="00513D89" w:rsidRPr="00143CF1">
        <w:t xml:space="preserve">was prepared by the </w:t>
      </w:r>
      <w:r w:rsidR="00513D89">
        <w:t>expert from Germany on behalf of</w:t>
      </w:r>
      <w:r w:rsidR="00E65538" w:rsidRPr="00E65538">
        <w:t xml:space="preserve"> </w:t>
      </w:r>
      <w:r w:rsidR="00E65538">
        <w:t>TF-</w:t>
      </w:r>
      <w:r w:rsidR="00E65538" w:rsidRPr="00CD08B8">
        <w:t>AVRS</w:t>
      </w:r>
      <w:r w:rsidR="00513D89">
        <w:t xml:space="preserve">, </w:t>
      </w:r>
      <w:r w:rsidR="00513D89" w:rsidRPr="00A772BD">
        <w:t xml:space="preserve">to enable the application of the regulation to vehicles equipped with an </w:t>
      </w:r>
      <w:r w:rsidR="000B002D" w:rsidRPr="000B002D">
        <w:t>Automated Driving System (ADS)</w:t>
      </w:r>
      <w:r w:rsidR="00513D89" w:rsidRPr="00A772BD">
        <w:t>.</w:t>
      </w:r>
      <w:r w:rsidR="00513D89" w:rsidRPr="00143CF1">
        <w:t xml:space="preserve"> The modifications to the existing text of the UN Regulation are marked in </w:t>
      </w:r>
      <w:r w:rsidR="00513D89" w:rsidRPr="004D6B96">
        <w:rPr>
          <w:bCs/>
        </w:rPr>
        <w:t>bold</w:t>
      </w:r>
      <w:r w:rsidR="00513D89">
        <w:t xml:space="preserve"> </w:t>
      </w:r>
      <w:r w:rsidR="00513D89" w:rsidRPr="00143CF1">
        <w:t>for new or strikethrough for deleted characters</w:t>
      </w:r>
      <w:r w:rsidR="00513D89" w:rsidRPr="00103A12">
        <w:t xml:space="preserve">. </w:t>
      </w:r>
      <w:bookmarkStart w:id="1" w:name="_Hlk214981588"/>
      <w:r w:rsidR="00625D9F" w:rsidRPr="00106E2E">
        <w:rPr>
          <w:color w:val="FF0000"/>
        </w:rPr>
        <w:t>This document is superseding</w:t>
      </w:r>
      <w:r w:rsidR="00625D9F">
        <w:rPr>
          <w:rFonts w:hint="eastAsia"/>
          <w:color w:val="FF0000"/>
          <w:lang w:eastAsia="ja-JP"/>
        </w:rPr>
        <w:t xml:space="preserve"> working </w:t>
      </w:r>
      <w:r w:rsidR="00625D9F" w:rsidRPr="00106E2E">
        <w:rPr>
          <w:color w:val="FF0000"/>
        </w:rPr>
        <w:t>document ECE/TRANS/WP.29/GRSP/2025/1</w:t>
      </w:r>
      <w:r w:rsidR="00625D9F">
        <w:rPr>
          <w:rFonts w:hint="eastAsia"/>
          <w:color w:val="FF0000"/>
          <w:lang w:eastAsia="ja-JP"/>
        </w:rPr>
        <w:t>6</w:t>
      </w:r>
      <w:r w:rsidR="00625D9F" w:rsidRPr="00106E2E">
        <w:rPr>
          <w:color w:val="FF0000"/>
        </w:rPr>
        <w:t>.</w:t>
      </w:r>
      <w:bookmarkEnd w:id="1"/>
    </w:p>
    <w:p w14:paraId="0258B2B6" w14:textId="77777777" w:rsidR="00514836" w:rsidRDefault="00514836" w:rsidP="00514836">
      <w:r>
        <w:br w:type="page"/>
      </w:r>
    </w:p>
    <w:p w14:paraId="1FCCA731" w14:textId="77777777" w:rsidR="00514836" w:rsidRPr="004E3F12" w:rsidRDefault="00514836" w:rsidP="00514836">
      <w:pPr>
        <w:pStyle w:val="HChG"/>
      </w:pPr>
      <w:r>
        <w:lastRenderedPageBreak/>
        <w:tab/>
        <w:t>I.</w:t>
      </w:r>
      <w:r>
        <w:tab/>
      </w:r>
      <w:r w:rsidRPr="004E3F12">
        <w:t>Proposal</w:t>
      </w:r>
    </w:p>
    <w:p w14:paraId="056F54E4" w14:textId="0D374D92" w:rsidR="00E41051" w:rsidRPr="007455C2" w:rsidRDefault="00E41051" w:rsidP="00E41051">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1B18563E" w14:textId="77777777" w:rsidR="00E41051" w:rsidRPr="00005E8E" w:rsidRDefault="00E41051" w:rsidP="00E41051">
      <w:pPr>
        <w:pStyle w:val="SingleTxtG"/>
        <w:tabs>
          <w:tab w:val="clear" w:pos="1701"/>
          <w:tab w:val="clear" w:pos="2268"/>
          <w:tab w:val="clear" w:pos="2835"/>
        </w:tabs>
        <w:ind w:left="2268" w:hanging="1134"/>
        <w:rPr>
          <w:rFonts w:eastAsiaTheme="minorEastAsia"/>
          <w:b/>
          <w:bCs/>
          <w:sz w:val="28"/>
          <w:szCs w:val="28"/>
        </w:rPr>
      </w:pPr>
      <w:r w:rsidRPr="00005E8E">
        <w:rPr>
          <w:rFonts w:eastAsiaTheme="minorEastAsia"/>
          <w:b/>
          <w:bCs/>
          <w:sz w:val="28"/>
          <w:szCs w:val="28"/>
        </w:rPr>
        <w:t>“0.</w:t>
      </w:r>
      <w:r w:rsidRPr="00005E8E">
        <w:rPr>
          <w:rFonts w:eastAsiaTheme="minorEastAsia"/>
          <w:b/>
          <w:bCs/>
          <w:sz w:val="28"/>
          <w:szCs w:val="28"/>
        </w:rPr>
        <w:tab/>
        <w:t xml:space="preserve">Introduction </w:t>
      </w:r>
    </w:p>
    <w:p w14:paraId="0FB150D5" w14:textId="38C265D0" w:rsidR="00E41051" w:rsidRPr="00005E8E" w:rsidRDefault="00E41051" w:rsidP="00E41051">
      <w:pPr>
        <w:pStyle w:val="SingleTxtG"/>
        <w:tabs>
          <w:tab w:val="clear" w:pos="1701"/>
          <w:tab w:val="clear" w:pos="2268"/>
          <w:tab w:val="clear" w:pos="2835"/>
        </w:tabs>
        <w:ind w:left="2268" w:hanging="1134"/>
        <w:rPr>
          <w:rFonts w:eastAsiaTheme="minorEastAsia"/>
        </w:rPr>
      </w:pPr>
      <w:r w:rsidRPr="00005E8E">
        <w:rPr>
          <w:rFonts w:eastAsiaTheme="minorEastAsia"/>
        </w:rPr>
        <w:t>0.1.</w:t>
      </w:r>
      <w:r w:rsidRPr="00005E8E">
        <w:rPr>
          <w:rFonts w:eastAsiaTheme="minorEastAsia"/>
        </w:rPr>
        <w:tab/>
        <w:t xml:space="preserve">For </w:t>
      </w:r>
      <w:r w:rsidRPr="00625D9F">
        <w:rPr>
          <w:strike/>
          <w:color w:val="FF0000"/>
        </w:rPr>
        <w:t xml:space="preserve">supplement 1 to the 10 series, supplement 2 of the 11 series and </w:t>
      </w:r>
      <w:r w:rsidRPr="00005E8E">
        <w:t>supplement 1 to the 12 series of amendments:</w:t>
      </w:r>
    </w:p>
    <w:p w14:paraId="2076B9B9" w14:textId="77777777" w:rsidR="00E41051" w:rsidRPr="00005E8E" w:rsidRDefault="00E41051" w:rsidP="00005E8E">
      <w:pPr>
        <w:pStyle w:val="SingleTxtG"/>
        <w:tabs>
          <w:tab w:val="clear" w:pos="1701"/>
          <w:tab w:val="clear" w:pos="2268"/>
          <w:tab w:val="clear" w:pos="2835"/>
        </w:tabs>
        <w:ind w:left="2268" w:hanging="1134"/>
        <w:rPr>
          <w:rFonts w:eastAsiaTheme="minorEastAsia"/>
        </w:rPr>
      </w:pPr>
      <w:r w:rsidRPr="00005E8E">
        <w:rPr>
          <w:rFonts w:eastAsiaTheme="minorEastAsia"/>
        </w:rPr>
        <w:t>0.1.1.</w:t>
      </w:r>
      <w:r w:rsidRPr="00005E8E">
        <w:rPr>
          <w:rFonts w:eastAsiaTheme="minorEastAsia"/>
        </w:rPr>
        <w:tab/>
      </w:r>
      <w:bookmarkStart w:id="2" w:name="_Hlk188257662"/>
      <w:r w:rsidRPr="00005E8E">
        <w:rPr>
          <w:lang w:val="en-US"/>
        </w:rPr>
        <w:t xml:space="preserve">The Regulation is amended to account for vehicles of category </w:t>
      </w:r>
      <w:bookmarkEnd w:id="2"/>
      <w:r w:rsidRPr="00005E8E">
        <w:rPr>
          <w:rFonts w:eastAsiaTheme="minorEastAsia"/>
        </w:rPr>
        <w:t>X</w:t>
      </w:r>
      <w:r w:rsidRPr="00005E8E">
        <w:rPr>
          <w:rFonts w:eastAsiaTheme="minorEastAsia"/>
          <w:vertAlign w:val="superscript"/>
        </w:rPr>
        <w:t>1</w:t>
      </w:r>
      <w:r w:rsidRPr="00005E8E">
        <w:rPr>
          <w:rFonts w:eastAsiaTheme="minorEastAsia"/>
        </w:rPr>
        <w:t>. Vehicles of category Y</w:t>
      </w:r>
      <w:r w:rsidRPr="00005E8E">
        <w:rPr>
          <w:rFonts w:eastAsiaTheme="minorEastAsia"/>
          <w:vertAlign w:val="superscript"/>
        </w:rPr>
        <w:t>1</w:t>
      </w:r>
      <w:r w:rsidRPr="00005E8E">
        <w:rPr>
          <w:rFonts w:eastAsiaTheme="minorEastAsia"/>
        </w:rPr>
        <w:t xml:space="preserve"> are not in the scope of this Regulation.</w:t>
      </w:r>
    </w:p>
    <w:p w14:paraId="24627FF9" w14:textId="77777777" w:rsidR="00E41051" w:rsidRPr="00005E8E" w:rsidRDefault="00E41051" w:rsidP="00E41051">
      <w:pPr>
        <w:pStyle w:val="SingleTxtG"/>
        <w:tabs>
          <w:tab w:val="clear" w:pos="1701"/>
          <w:tab w:val="clear" w:pos="2268"/>
          <w:tab w:val="clear" w:pos="2835"/>
        </w:tabs>
        <w:ind w:left="2268" w:hanging="1134"/>
      </w:pPr>
      <w:r w:rsidRPr="00005E8E">
        <w:t>0.1.2.</w:t>
      </w:r>
      <w:r w:rsidRPr="00005E8E">
        <w:tab/>
        <w:t xml:space="preserve">The Regulation was originally drafted for vehicles with driver and manual driving </w:t>
      </w:r>
      <w:proofErr w:type="gramStart"/>
      <w:r w:rsidRPr="00005E8E">
        <w:t>controls</w:t>
      </w:r>
      <w:proofErr w:type="gramEnd"/>
      <w:r w:rsidRPr="00005E8E">
        <w:t xml:space="preserve"> and it is the intention of this </w:t>
      </w:r>
      <w:r w:rsidRPr="00625D9F">
        <w:rPr>
          <w:strike/>
          <w:color w:val="FF0000"/>
        </w:rPr>
        <w:t xml:space="preserve">new </w:t>
      </w:r>
      <w:r w:rsidRPr="00005E8E">
        <w:t xml:space="preserve">amendment to keep the spirit of the regulation and to extend its application to vehicles without driver and manual driving controls. In the absence of driver/manual driving controls, provisions related to them shall not be </w:t>
      </w:r>
      <w:proofErr w:type="gramStart"/>
      <w:r w:rsidRPr="00005E8E">
        <w:t>taken into account</w:t>
      </w:r>
      <w:proofErr w:type="gramEnd"/>
      <w:r w:rsidRPr="00005E8E">
        <w:t xml:space="preserve"> if not already covered by this amendment.</w:t>
      </w:r>
    </w:p>
    <w:p w14:paraId="71D42B47" w14:textId="198B4535" w:rsidR="00E41051" w:rsidRPr="00005E8E" w:rsidRDefault="00E41051" w:rsidP="00E41051">
      <w:pPr>
        <w:pStyle w:val="SingleTxtG"/>
        <w:tabs>
          <w:tab w:val="clear" w:pos="1701"/>
          <w:tab w:val="clear" w:pos="2268"/>
          <w:tab w:val="clear" w:pos="2835"/>
        </w:tabs>
        <w:ind w:left="2268" w:hanging="1134"/>
        <w:rPr>
          <w:rFonts w:eastAsiaTheme="minorEastAsia"/>
        </w:rPr>
      </w:pPr>
      <w:r w:rsidRPr="00005E8E">
        <w:rPr>
          <w:rFonts w:eastAsiaTheme="minorEastAsia"/>
        </w:rPr>
        <w:t xml:space="preserve">0.1.3. </w:t>
      </w:r>
      <w:r w:rsidRPr="00005E8E">
        <w:rPr>
          <w:rFonts w:eastAsiaTheme="minorEastAsia"/>
        </w:rPr>
        <w:tab/>
        <w:t>In case of vehicles equipped with an Automated Driving System (ADS)</w:t>
      </w:r>
      <w:r w:rsidRPr="00005E8E">
        <w:rPr>
          <w:rFonts w:eastAsiaTheme="minorEastAsia"/>
          <w:vertAlign w:val="superscript"/>
        </w:rPr>
        <w:t>1</w:t>
      </w:r>
      <w:r w:rsidRPr="00005E8E">
        <w:rPr>
          <w:rFonts w:eastAsiaTheme="minorEastAsia"/>
        </w:rPr>
        <w:t xml:space="preserve"> other than vehicles of </w:t>
      </w:r>
      <w:r w:rsidR="00F44B99" w:rsidRPr="00F44B99">
        <w:rPr>
          <w:rFonts w:hint="eastAsia"/>
          <w:b/>
          <w:bCs/>
          <w:color w:val="FF0000"/>
          <w:lang w:eastAsia="ja-JP"/>
        </w:rPr>
        <w:t>category X</w:t>
      </w:r>
      <w:r w:rsidR="00F44B99" w:rsidRPr="00F44B99">
        <w:rPr>
          <w:rFonts w:hint="eastAsia"/>
          <w:color w:val="FF0000"/>
          <w:lang w:eastAsia="ja-JP"/>
        </w:rPr>
        <w:t xml:space="preserve"> </w:t>
      </w:r>
      <w:r w:rsidRPr="00F44B99">
        <w:rPr>
          <w:rFonts w:eastAsiaTheme="minorEastAsia"/>
          <w:strike/>
          <w:color w:val="FF0000"/>
        </w:rPr>
        <w:t>categories X and Y</w:t>
      </w:r>
      <w:r w:rsidRPr="00005E8E">
        <w:rPr>
          <w:rFonts w:eastAsiaTheme="minorEastAsia"/>
        </w:rPr>
        <w:t>, in the manual driving mode no special provisions or exemptions apply. In a mode where an ADS feature is active the relevant ADS requirements apply.</w:t>
      </w:r>
      <w:r w:rsidR="00005E8E" w:rsidRPr="00005E8E">
        <w:rPr>
          <w:rFonts w:eastAsiaTheme="minorEastAsia"/>
        </w:rPr>
        <w:t>”</w:t>
      </w:r>
    </w:p>
    <w:p w14:paraId="41BBA6BE" w14:textId="037811C8" w:rsidR="00627FC6" w:rsidRPr="00005E8E" w:rsidRDefault="00627FC6" w:rsidP="00627FC6">
      <w:pPr>
        <w:pStyle w:val="SingleTxtG"/>
        <w:keepNext/>
        <w:tabs>
          <w:tab w:val="clear" w:pos="1701"/>
          <w:tab w:val="clear" w:pos="2268"/>
          <w:tab w:val="clear" w:pos="2835"/>
        </w:tabs>
      </w:pPr>
      <w:r w:rsidRPr="00F252A8">
        <w:rPr>
          <w:i/>
        </w:rPr>
        <w:t>Paragraph</w:t>
      </w:r>
      <w:r>
        <w:rPr>
          <w:i/>
        </w:rPr>
        <w:t xml:space="preserve"> 1.</w:t>
      </w:r>
      <w:r w:rsidRPr="00F252A8">
        <w:rPr>
          <w:i/>
          <w:iCs/>
        </w:rPr>
        <w:t>,</w:t>
      </w:r>
      <w:r>
        <w:rPr>
          <w:i/>
          <w:iCs/>
        </w:rPr>
        <w:t xml:space="preserve"> </w:t>
      </w:r>
      <w:r w:rsidR="00005E8E" w:rsidRPr="00005E8E">
        <w:t>at the end, add a new paragraph</w:t>
      </w:r>
      <w:r w:rsidRPr="00005E8E">
        <w:t xml:space="preserve"> to read:</w:t>
      </w:r>
    </w:p>
    <w:p w14:paraId="0FD76D9D" w14:textId="3926C75D" w:rsidR="00627FC6" w:rsidRPr="00005E8E" w:rsidRDefault="00627FC6" w:rsidP="00005E8E">
      <w:pPr>
        <w:pStyle w:val="SingleTxtG"/>
        <w:tabs>
          <w:tab w:val="clear" w:pos="1701"/>
          <w:tab w:val="clear" w:pos="2268"/>
          <w:tab w:val="clear" w:pos="2835"/>
        </w:tabs>
        <w:ind w:left="2268" w:hanging="1134"/>
      </w:pPr>
      <w:r w:rsidRPr="00005E8E">
        <w:t>“</w:t>
      </w:r>
      <w:r w:rsidR="00005E8E" w:rsidRPr="00005E8E">
        <w:tab/>
      </w:r>
      <w:r w:rsidRPr="00005E8E">
        <w:t>This Regulation does not apply to vehicles of category Y.”</w:t>
      </w:r>
    </w:p>
    <w:p w14:paraId="26499CDA" w14:textId="77777777" w:rsidR="00627FC6" w:rsidRDefault="00627FC6" w:rsidP="00627FC6">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193AA5">
        <w:t>amend</w:t>
      </w:r>
      <w:r w:rsidRPr="00310475">
        <w:rPr>
          <w:rFonts w:eastAsia="DengXian"/>
          <w:iCs/>
          <w:lang w:eastAsia="zh-CN"/>
        </w:rPr>
        <w:t xml:space="preserve"> to read:</w:t>
      </w:r>
    </w:p>
    <w:p w14:paraId="71130FEA" w14:textId="77777777" w:rsidR="00627FC6" w:rsidRPr="00414B22" w:rsidRDefault="00627FC6" w:rsidP="00627FC6">
      <w:pPr>
        <w:pStyle w:val="SingleTxtG"/>
        <w:tabs>
          <w:tab w:val="clear" w:pos="1701"/>
          <w:tab w:val="clear" w:pos="2268"/>
          <w:tab w:val="clear" w:pos="2835"/>
        </w:tabs>
        <w:ind w:left="2268" w:hanging="1134"/>
        <w:rPr>
          <w:iCs/>
          <w:color w:val="0000FF"/>
          <w:szCs w:val="18"/>
        </w:rPr>
      </w:pPr>
      <w:r w:rsidRPr="00C0664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193AA5">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1" w:history="1">
        <w:r w:rsidRPr="00414B22">
          <w:rPr>
            <w:rStyle w:val="Hyperlink"/>
            <w:szCs w:val="18"/>
          </w:rPr>
          <w:t>https://unece.org/transport/vehicle-regulations/wp29/resolutions</w:t>
        </w:r>
      </w:hyperlink>
      <w:r>
        <w:rPr>
          <w:rStyle w:val="Hyperlink"/>
          <w:iCs/>
          <w:color w:val="auto"/>
          <w:szCs w:val="18"/>
        </w:rPr>
        <w:t>”</w:t>
      </w:r>
    </w:p>
    <w:p w14:paraId="72DCEB01" w14:textId="77777777" w:rsidR="005E0D6B" w:rsidRPr="00F44B99" w:rsidRDefault="005E0D6B" w:rsidP="005E0D6B">
      <w:pPr>
        <w:pStyle w:val="SingleTxtG"/>
        <w:keepNext/>
        <w:rPr>
          <w:i/>
          <w:iCs/>
          <w:color w:val="FF0000"/>
          <w:lang w:val="en-US"/>
        </w:rPr>
      </w:pPr>
      <w:r w:rsidRPr="00F44B99">
        <w:rPr>
          <w:i/>
          <w:iCs/>
          <w:color w:val="FF0000"/>
        </w:rPr>
        <w:t>Paragraph 4.4.1 footnote 2</w:t>
      </w:r>
      <w:r w:rsidRPr="00F44B99">
        <w:rPr>
          <w:i/>
          <w:iCs/>
          <w:color w:val="FF0000"/>
          <w:lang w:val="en-US"/>
        </w:rPr>
        <w:t xml:space="preserve">, </w:t>
      </w:r>
      <w:r w:rsidRPr="00F44B99">
        <w:rPr>
          <w:color w:val="FF0000"/>
        </w:rPr>
        <w:t>amend to read:</w:t>
      </w:r>
      <w:r w:rsidRPr="00F44B99">
        <w:rPr>
          <w:color w:val="FF0000"/>
          <w:lang w:val="en-US"/>
        </w:rPr>
        <w:t> </w:t>
      </w:r>
      <w:r w:rsidRPr="00F44B99">
        <w:rPr>
          <w:i/>
          <w:iCs/>
          <w:color w:val="FF0000"/>
          <w:lang w:val="en-US"/>
        </w:rPr>
        <w:t> </w:t>
      </w:r>
    </w:p>
    <w:p w14:paraId="203082DF" w14:textId="53434E18" w:rsidR="005E0D6B" w:rsidRPr="00F44B99" w:rsidRDefault="005E0D6B" w:rsidP="00B87479">
      <w:pPr>
        <w:pStyle w:val="SingleTxtG"/>
        <w:keepNext/>
        <w:tabs>
          <w:tab w:val="clear" w:pos="1701"/>
        </w:tabs>
        <w:ind w:leftChars="567" w:left="2268" w:hangingChars="567" w:hanging="1134"/>
        <w:rPr>
          <w:color w:val="FF0000"/>
          <w:lang w:val="en-US"/>
        </w:rPr>
      </w:pPr>
      <w:r w:rsidRPr="00F44B99">
        <w:rPr>
          <w:color w:val="FF0000"/>
          <w:lang w:val="en-US"/>
        </w:rPr>
        <w:t>“</w:t>
      </w:r>
      <w:r w:rsidRPr="00F44B99">
        <w:rPr>
          <w:color w:val="FF0000"/>
          <w:vertAlign w:val="superscript"/>
        </w:rPr>
        <w:t>2</w:t>
      </w:r>
      <w:r w:rsidRPr="00F44B99">
        <w:rPr>
          <w:color w:val="FF0000"/>
          <w:lang w:val="en-US"/>
        </w:rPr>
        <w:tab/>
      </w:r>
      <w:r w:rsidRPr="00F44B99">
        <w:rPr>
          <w:color w:val="FF0000"/>
        </w:rPr>
        <w:t>The distinguishing numbers of the Contracting Parties to the 1958 Agreement are reproduced in Annex 3 to</w:t>
      </w:r>
      <w:r w:rsidRPr="00F44B99">
        <w:rPr>
          <w:color w:val="FF0000"/>
          <w:lang w:val="en-US"/>
        </w:rPr>
        <w:t xml:space="preserve"> </w:t>
      </w:r>
      <w:r w:rsidRPr="00F44B99">
        <w:rPr>
          <w:color w:val="FF0000"/>
        </w:rPr>
        <w:t>the Consolidated Resolution on the Construction of Vehicles (R.E.3), document ECE/TRANS/WP.29/78/Rev.</w:t>
      </w:r>
      <w:r w:rsidRPr="00F44B99">
        <w:rPr>
          <w:strike/>
          <w:color w:val="FF0000"/>
        </w:rPr>
        <w:t>7</w:t>
      </w:r>
      <w:r w:rsidRPr="00F44B99">
        <w:rPr>
          <w:b/>
          <w:bCs/>
          <w:color w:val="FF0000"/>
        </w:rPr>
        <w:t>8</w:t>
      </w:r>
      <w:r w:rsidRPr="00F44B99">
        <w:rPr>
          <w:color w:val="FF0000"/>
          <w:lang w:val="en-US"/>
        </w:rPr>
        <w:t xml:space="preserve">, </w:t>
      </w:r>
      <w:r w:rsidRPr="00F44B99">
        <w:rPr>
          <w:color w:val="FF0000"/>
        </w:rPr>
        <w:t>Annex 3</w:t>
      </w:r>
      <w:r w:rsidRPr="00F44B99">
        <w:rPr>
          <w:color w:val="FF0000"/>
          <w:lang w:val="en-US"/>
        </w:rPr>
        <w:t xml:space="preserve"> </w:t>
      </w:r>
      <w:r w:rsidRPr="00F44B99">
        <w:rPr>
          <w:color w:val="FF0000"/>
        </w:rPr>
        <w:t>- https://unece.org/transport/vehicle-regulations/wp29/resolutions</w:t>
      </w:r>
      <w:r w:rsidRPr="00F44B99">
        <w:rPr>
          <w:color w:val="FF0000"/>
          <w:lang w:val="en-US"/>
        </w:rPr>
        <w:t>”</w:t>
      </w:r>
    </w:p>
    <w:p w14:paraId="263DDE45" w14:textId="1C91C32A" w:rsidR="00627FC6" w:rsidRDefault="00627FC6" w:rsidP="00627FC6">
      <w:pPr>
        <w:pStyle w:val="SingleTxtG"/>
        <w:keepNext/>
        <w:tabs>
          <w:tab w:val="clear" w:pos="1701"/>
          <w:tab w:val="clear" w:pos="2268"/>
          <w:tab w:val="clear" w:pos="2835"/>
        </w:tabs>
        <w:rPr>
          <w:i/>
          <w:iCs/>
        </w:rPr>
      </w:pPr>
      <w:r>
        <w:rPr>
          <w:i/>
          <w:iCs/>
        </w:rPr>
        <w:t xml:space="preserve">Annex 14, </w:t>
      </w:r>
      <w:r w:rsidRPr="00CC48B3">
        <w:rPr>
          <w:i/>
          <w:iCs/>
        </w:rPr>
        <w:t>paragraph</w:t>
      </w:r>
      <w:r>
        <w:rPr>
          <w:i/>
          <w:iCs/>
        </w:rPr>
        <w:t xml:space="preserve"> </w:t>
      </w:r>
      <w:r w:rsidRPr="00CA1AD8">
        <w:rPr>
          <w:i/>
          <w:iCs/>
        </w:rPr>
        <w:t>3.1.7.8.</w:t>
      </w:r>
      <w:r>
        <w:rPr>
          <w:i/>
          <w:iCs/>
        </w:rPr>
        <w:t xml:space="preserve">, </w:t>
      </w:r>
      <w:r w:rsidRPr="00193AA5">
        <w:t>amend</w:t>
      </w:r>
      <w:r w:rsidRPr="00C35EFB">
        <w:rPr>
          <w:iCs/>
        </w:rPr>
        <w:t xml:space="preserve"> to read:</w:t>
      </w:r>
    </w:p>
    <w:p w14:paraId="2E84BF28" w14:textId="77777777" w:rsidR="00627FC6" w:rsidRPr="00CA1AD8" w:rsidRDefault="00627FC6" w:rsidP="00627FC6">
      <w:pPr>
        <w:pStyle w:val="SingleTxtG"/>
        <w:tabs>
          <w:tab w:val="clear" w:pos="1701"/>
          <w:tab w:val="clear" w:pos="2268"/>
          <w:tab w:val="clear" w:pos="2835"/>
        </w:tabs>
        <w:ind w:left="2268" w:hanging="1134"/>
        <w:rPr>
          <w:lang w:val="en-IE"/>
        </w:rPr>
      </w:pPr>
      <w:r>
        <w:t>“</w:t>
      </w:r>
      <w:r w:rsidRPr="00CA1AD8">
        <w:t>3.1.7.8.</w:t>
      </w:r>
      <w:r>
        <w:tab/>
      </w:r>
      <w:r w:rsidRPr="00CA1AD8">
        <w:t xml:space="preserve">The upper legs of the </w:t>
      </w:r>
      <w:r w:rsidRPr="00625D9F">
        <w:rPr>
          <w:strike/>
        </w:rPr>
        <w:t>driver</w:t>
      </w:r>
      <w:r w:rsidRPr="00625D9F">
        <w:t xml:space="preserve"> </w:t>
      </w:r>
      <w:r w:rsidRPr="00CA1AD8">
        <w:t>dummy shall rest against the seat cushion to the extent permitted by placement of the feet. Adjust the spacing of the legs so that the centreline of the knees and ankles is 200 mm (±10mm) apart and ensure that the knees are level.</w:t>
      </w:r>
      <w:r>
        <w:t>”</w:t>
      </w:r>
    </w:p>
    <w:p w14:paraId="40B171B1" w14:textId="77777777" w:rsidR="00627FC6" w:rsidRPr="00193AA5" w:rsidRDefault="00627FC6" w:rsidP="00627FC6">
      <w:pPr>
        <w:pStyle w:val="SingleTxtG"/>
        <w:keepNext/>
        <w:tabs>
          <w:tab w:val="clear" w:pos="1701"/>
          <w:tab w:val="clear" w:pos="2268"/>
          <w:tab w:val="clear" w:pos="2835"/>
        </w:tabs>
      </w:pPr>
      <w:r>
        <w:rPr>
          <w:i/>
          <w:iCs/>
        </w:rPr>
        <w:t>Annex 15,</w:t>
      </w:r>
      <w:r w:rsidRPr="00CC48B3">
        <w:rPr>
          <w:i/>
          <w:iCs/>
        </w:rPr>
        <w:t xml:space="preserve"> paragraph</w:t>
      </w:r>
      <w:r>
        <w:rPr>
          <w:i/>
          <w:iCs/>
        </w:rPr>
        <w:t xml:space="preserve"> 1</w:t>
      </w:r>
      <w:r w:rsidRPr="00CA1AD8">
        <w:rPr>
          <w:i/>
          <w:iCs/>
        </w:rPr>
        <w:t>.</w:t>
      </w:r>
      <w:r>
        <w:rPr>
          <w:i/>
          <w:iCs/>
        </w:rPr>
        <w:t>,</w:t>
      </w:r>
      <w:r w:rsidRPr="00193AA5">
        <w:t xml:space="preserve"> amend to read:</w:t>
      </w:r>
    </w:p>
    <w:p w14:paraId="72635DDA" w14:textId="77777777" w:rsidR="00627FC6" w:rsidRPr="006344F3" w:rsidRDefault="00627FC6" w:rsidP="00627FC6">
      <w:pPr>
        <w:pStyle w:val="SingleTxtG"/>
        <w:tabs>
          <w:tab w:val="clear" w:pos="1701"/>
          <w:tab w:val="clear" w:pos="2268"/>
          <w:tab w:val="clear" w:pos="2835"/>
        </w:tabs>
        <w:ind w:left="2268" w:hanging="1134"/>
      </w:pPr>
      <w:r>
        <w:t>“1.</w:t>
      </w:r>
      <w:r>
        <w:tab/>
      </w:r>
      <w:r w:rsidRPr="006344F3">
        <w:t>Purpose</w:t>
      </w:r>
    </w:p>
    <w:p w14:paraId="69146A21" w14:textId="77777777" w:rsidR="00627FC6" w:rsidRPr="006344F3" w:rsidRDefault="00627FC6" w:rsidP="00627FC6">
      <w:pPr>
        <w:pStyle w:val="SingleTxtG"/>
        <w:tabs>
          <w:tab w:val="clear" w:pos="1701"/>
          <w:tab w:val="clear" w:pos="2268"/>
          <w:tab w:val="clear" w:pos="2835"/>
        </w:tabs>
        <w:ind w:left="2268" w:hanging="1134"/>
      </w:pPr>
      <w:r>
        <w:tab/>
      </w:r>
      <w:r>
        <w:tab/>
      </w:r>
      <w:r w:rsidRPr="006344F3">
        <w:t xml:space="preserve">Procedures for folding or retracting head restraints in all designated seating positions equipped with head restraints, except </w:t>
      </w:r>
      <w:proofErr w:type="gramStart"/>
      <w:r w:rsidRPr="00411099">
        <w:rPr>
          <w:strike/>
        </w:rPr>
        <w:t>the</w:t>
      </w:r>
      <w:r w:rsidRPr="006344F3">
        <w:t xml:space="preserve"> </w:t>
      </w:r>
      <w:r w:rsidRPr="00411099">
        <w:rPr>
          <w:b/>
          <w:bCs/>
        </w:rPr>
        <w:t>a</w:t>
      </w:r>
      <w:proofErr w:type="gramEnd"/>
      <w:r w:rsidRPr="006344F3">
        <w:t xml:space="preserve"> driver’s designated seating position.</w:t>
      </w:r>
      <w:r>
        <w:t>”</w:t>
      </w:r>
    </w:p>
    <w:p w14:paraId="78FCF317" w14:textId="724B0A2F" w:rsidR="003C3697" w:rsidRDefault="003C3697" w:rsidP="003C3697">
      <w:pPr>
        <w:pStyle w:val="HChG"/>
      </w:pPr>
      <w:r>
        <w:tab/>
        <w:t>II.</w:t>
      </w:r>
      <w:r>
        <w:tab/>
      </w:r>
      <w:r>
        <w:tab/>
        <w:t>Justification</w:t>
      </w:r>
    </w:p>
    <w:p w14:paraId="71C85FAC" w14:textId="15C544C4" w:rsidR="003C3697" w:rsidRDefault="003C3697" w:rsidP="00A75993">
      <w:pPr>
        <w:pStyle w:val="SingleTxtG"/>
      </w:pPr>
      <w:r>
        <w:t>See paragraph 0. in the proposal.</w:t>
      </w:r>
    </w:p>
    <w:p w14:paraId="60A3D96A" w14:textId="08D8AFB2" w:rsidR="00A75993" w:rsidRPr="00A75993" w:rsidRDefault="00A75993" w:rsidP="00A75993">
      <w:pPr>
        <w:spacing w:before="240"/>
        <w:jc w:val="center"/>
        <w:rPr>
          <w:u w:val="single"/>
        </w:rPr>
      </w:pPr>
      <w:r>
        <w:rPr>
          <w:u w:val="single"/>
        </w:rPr>
        <w:tab/>
      </w:r>
      <w:r>
        <w:rPr>
          <w:u w:val="single"/>
        </w:rPr>
        <w:tab/>
      </w:r>
      <w:r>
        <w:rPr>
          <w:u w:val="single"/>
        </w:rPr>
        <w:tab/>
      </w:r>
    </w:p>
    <w:sectPr w:rsidR="00A75993" w:rsidRPr="00A75993" w:rsidSect="00127A90">
      <w:headerReference w:type="even" r:id="rId12"/>
      <w:headerReference w:type="default" r:id="rId13"/>
      <w:footerReference w:type="even" r:id="rId14"/>
      <w:footerReference w:type="default" r:id="rId15"/>
      <w:head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BCCA" w14:textId="77777777" w:rsidR="00F11A69" w:rsidRDefault="00F11A69"/>
  </w:endnote>
  <w:endnote w:type="continuationSeparator" w:id="0">
    <w:p w14:paraId="12455233" w14:textId="77777777" w:rsidR="00F11A69" w:rsidRDefault="00F11A69"/>
  </w:endnote>
  <w:endnote w:type="continuationNotice" w:id="1">
    <w:p w14:paraId="2C8C1A1D" w14:textId="77777777" w:rsidR="00F11A69" w:rsidRDefault="00F11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E477" w14:textId="1E24A396" w:rsidR="00127A90" w:rsidRPr="00127A90" w:rsidRDefault="00127A90" w:rsidP="00127A90">
    <w:pPr>
      <w:pStyle w:val="Footer"/>
      <w:tabs>
        <w:tab w:val="right" w:pos="9638"/>
      </w:tabs>
      <w:rPr>
        <w:sz w:val="18"/>
      </w:rPr>
    </w:pPr>
    <w:r w:rsidRPr="00127A90">
      <w:rPr>
        <w:b/>
        <w:sz w:val="18"/>
      </w:rPr>
      <w:fldChar w:fldCharType="begin"/>
    </w:r>
    <w:r w:rsidRPr="00127A90">
      <w:rPr>
        <w:b/>
        <w:sz w:val="18"/>
      </w:rPr>
      <w:instrText xml:space="preserve"> PAGE  \* MERGEFORMAT </w:instrText>
    </w:r>
    <w:r w:rsidRPr="00127A90">
      <w:rPr>
        <w:b/>
        <w:sz w:val="18"/>
      </w:rPr>
      <w:fldChar w:fldCharType="separate"/>
    </w:r>
    <w:r w:rsidRPr="00127A90">
      <w:rPr>
        <w:b/>
        <w:noProof/>
        <w:sz w:val="18"/>
      </w:rPr>
      <w:t>2</w:t>
    </w:r>
    <w:r w:rsidRPr="00127A9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0724" w14:textId="6077AF7A" w:rsidR="00127A90" w:rsidRPr="00127A90" w:rsidRDefault="00127A90" w:rsidP="00127A90">
    <w:pPr>
      <w:pStyle w:val="Footer"/>
      <w:tabs>
        <w:tab w:val="right" w:pos="9638"/>
      </w:tabs>
      <w:rPr>
        <w:b/>
        <w:sz w:val="18"/>
      </w:rPr>
    </w:pPr>
    <w:r>
      <w:tab/>
    </w:r>
    <w:r w:rsidRPr="00127A90">
      <w:rPr>
        <w:b/>
        <w:sz w:val="18"/>
      </w:rPr>
      <w:fldChar w:fldCharType="begin"/>
    </w:r>
    <w:r w:rsidRPr="00127A90">
      <w:rPr>
        <w:b/>
        <w:sz w:val="18"/>
      </w:rPr>
      <w:instrText xml:space="preserve"> PAGE  \* MERGEFORMAT </w:instrText>
    </w:r>
    <w:r w:rsidRPr="00127A90">
      <w:rPr>
        <w:b/>
        <w:sz w:val="18"/>
      </w:rPr>
      <w:fldChar w:fldCharType="separate"/>
    </w:r>
    <w:r w:rsidRPr="00127A90">
      <w:rPr>
        <w:b/>
        <w:noProof/>
        <w:sz w:val="18"/>
      </w:rPr>
      <w:t>3</w:t>
    </w:r>
    <w:r w:rsidRPr="00127A9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D122" w14:textId="77777777" w:rsidR="00F11A69" w:rsidRPr="000B175B" w:rsidRDefault="00F11A69" w:rsidP="000B175B">
      <w:pPr>
        <w:tabs>
          <w:tab w:val="right" w:pos="2155"/>
        </w:tabs>
        <w:spacing w:after="80"/>
        <w:ind w:left="680"/>
        <w:rPr>
          <w:u w:val="single"/>
        </w:rPr>
      </w:pPr>
      <w:r>
        <w:rPr>
          <w:u w:val="single"/>
        </w:rPr>
        <w:tab/>
      </w:r>
    </w:p>
  </w:footnote>
  <w:footnote w:type="continuationSeparator" w:id="0">
    <w:p w14:paraId="685D01FF" w14:textId="77777777" w:rsidR="00F11A69" w:rsidRPr="00FC68B7" w:rsidRDefault="00F11A69" w:rsidP="00FC68B7">
      <w:pPr>
        <w:tabs>
          <w:tab w:val="left" w:pos="2155"/>
        </w:tabs>
        <w:spacing w:after="80"/>
        <w:ind w:left="680"/>
        <w:rPr>
          <w:u w:val="single"/>
        </w:rPr>
      </w:pPr>
      <w:r>
        <w:rPr>
          <w:u w:val="single"/>
        </w:rPr>
        <w:tab/>
      </w:r>
    </w:p>
  </w:footnote>
  <w:footnote w:type="continuationNotice" w:id="1">
    <w:p w14:paraId="6C753FFB" w14:textId="77777777" w:rsidR="00F11A69" w:rsidRDefault="00F11A69"/>
  </w:footnote>
  <w:footnote w:id="2">
    <w:p w14:paraId="0936C9B0" w14:textId="77777777" w:rsidR="00514836" w:rsidRPr="00122355" w:rsidRDefault="00514836" w:rsidP="00514836">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CBA3" w14:textId="56C6EE8E" w:rsidR="00127A90" w:rsidRPr="00127A90" w:rsidRDefault="005A63D5">
    <w:pPr>
      <w:pStyle w:val="Header"/>
    </w:pPr>
    <w:fldSimple w:instr=" TITLE  \* MERGEFORMAT ">
      <w:r>
        <w:t>ECE/TRANS/WP.29/GRSP/2025/16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3328" w14:textId="1AD9D08E" w:rsidR="00127A90" w:rsidRPr="00127A90" w:rsidRDefault="005A63D5" w:rsidP="00127A90">
    <w:pPr>
      <w:pStyle w:val="Header"/>
      <w:jc w:val="right"/>
    </w:pPr>
    <w:fldSimple w:instr=" TITLE  \* MERGEFORMAT ">
      <w:r>
        <w:t>ECE/TRANS/WP.29/GRSP/2025/16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4B44" w14:textId="64E622A7" w:rsidR="00625D9F" w:rsidRDefault="00625D9F">
    <w:pPr>
      <w:pStyle w:val="Header"/>
    </w:pPr>
  </w:p>
  <w:tbl>
    <w:tblPr>
      <w:tblW w:w="9923" w:type="dxa"/>
      <w:tblInd w:w="108" w:type="dxa"/>
      <w:tblLook w:val="04A0" w:firstRow="1" w:lastRow="0" w:firstColumn="1" w:lastColumn="0" w:noHBand="0" w:noVBand="1"/>
    </w:tblPr>
    <w:tblGrid>
      <w:gridCol w:w="5279"/>
      <w:gridCol w:w="4644"/>
    </w:tblGrid>
    <w:tr w:rsidR="00625D9F" w:rsidRPr="006C325C" w14:paraId="5252A445" w14:textId="77777777" w:rsidTr="00B251B2">
      <w:tc>
        <w:tcPr>
          <w:tcW w:w="5279" w:type="dxa"/>
        </w:tcPr>
        <w:p w14:paraId="6DAC335C" w14:textId="77777777" w:rsidR="00625D9F" w:rsidRPr="006C325C" w:rsidRDefault="00625D9F" w:rsidP="00625D9F">
          <w:pPr>
            <w:pStyle w:val="Header"/>
          </w:pPr>
          <w:bookmarkStart w:id="3" w:name="_Hlk214981720"/>
          <w:r w:rsidRPr="006C325C">
            <w:t xml:space="preserve">Submitted by </w:t>
          </w:r>
          <w:r>
            <w:rPr>
              <w:rFonts w:hint="eastAsia"/>
              <w:lang w:eastAsia="ja-JP"/>
            </w:rPr>
            <w:t>GRSP-TF-AVRS</w:t>
          </w:r>
          <w:r w:rsidRPr="006C325C">
            <w:t xml:space="preserve"> </w:t>
          </w:r>
        </w:p>
        <w:p w14:paraId="023B5174" w14:textId="77777777" w:rsidR="00625D9F" w:rsidRPr="006C325C" w:rsidRDefault="00625D9F" w:rsidP="00625D9F">
          <w:pPr>
            <w:pStyle w:val="Header"/>
          </w:pPr>
        </w:p>
        <w:p w14:paraId="38B07A86" w14:textId="77777777" w:rsidR="00625D9F" w:rsidRPr="006C325C" w:rsidRDefault="00625D9F" w:rsidP="00625D9F">
          <w:pPr>
            <w:pStyle w:val="Header"/>
          </w:pPr>
        </w:p>
      </w:tc>
      <w:tc>
        <w:tcPr>
          <w:tcW w:w="4644" w:type="dxa"/>
          <w:hideMark/>
        </w:tcPr>
        <w:p w14:paraId="6559470A" w14:textId="77777777" w:rsidR="00625D9F" w:rsidRPr="006C325C" w:rsidRDefault="00625D9F" w:rsidP="00625D9F">
          <w:pPr>
            <w:pStyle w:val="Header"/>
            <w:jc w:val="right"/>
            <w:rPr>
              <w:u w:val="single"/>
            </w:rPr>
          </w:pPr>
          <w:r w:rsidRPr="006C325C">
            <w:rPr>
              <w:bCs/>
              <w:u w:val="single"/>
            </w:rPr>
            <w:t>Informal document</w:t>
          </w:r>
          <w:r w:rsidRPr="006C325C">
            <w:t xml:space="preserve"> </w:t>
          </w:r>
          <w:fldSimple w:instr=" TITLE  \* MERGEFORMAT ">
            <w:r w:rsidRPr="006C325C">
              <w:t>GRS</w:t>
            </w:r>
            <w:r>
              <w:rPr>
                <w:rFonts w:hint="eastAsia"/>
                <w:lang w:eastAsia="ja-JP"/>
              </w:rPr>
              <w:t>P</w:t>
            </w:r>
            <w:r w:rsidRPr="006C325C">
              <w:t>-</w:t>
            </w:r>
            <w:r>
              <w:rPr>
                <w:rFonts w:hint="eastAsia"/>
                <w:lang w:eastAsia="ja-JP"/>
              </w:rPr>
              <w:t>78</w:t>
            </w:r>
            <w:r w:rsidRPr="006C325C">
              <w:t>-</w:t>
            </w:r>
            <w:r>
              <w:rPr>
                <w:rFonts w:hint="eastAsia"/>
                <w:lang w:eastAsia="ja-JP"/>
              </w:rPr>
              <w:t>XX</w:t>
            </w:r>
          </w:fldSimple>
        </w:p>
        <w:p w14:paraId="2D072BBE" w14:textId="77777777" w:rsidR="00625D9F" w:rsidRPr="006C325C" w:rsidRDefault="00625D9F" w:rsidP="00625D9F">
          <w:pPr>
            <w:pStyle w:val="Header"/>
            <w:jc w:val="right"/>
          </w:pPr>
          <w:r w:rsidRPr="006C325C">
            <w:t>(</w:t>
          </w:r>
          <w:r>
            <w:rPr>
              <w:rFonts w:hint="eastAsia"/>
              <w:lang w:eastAsia="ja-JP"/>
            </w:rPr>
            <w:t>78</w:t>
          </w:r>
          <w:r w:rsidRPr="006C325C">
            <w:rPr>
              <w:vertAlign w:val="superscript"/>
            </w:rPr>
            <w:t>th</w:t>
          </w:r>
          <w:r w:rsidRPr="006C325C">
            <w:t xml:space="preserve"> GRS</w:t>
          </w:r>
          <w:r>
            <w:rPr>
              <w:rFonts w:hint="eastAsia"/>
              <w:lang w:eastAsia="ja-JP"/>
            </w:rPr>
            <w:t>P</w:t>
          </w:r>
          <w:r w:rsidRPr="006C325C">
            <w:t xml:space="preserve">, </w:t>
          </w:r>
          <w:r>
            <w:rPr>
              <w:rFonts w:hint="eastAsia"/>
              <w:lang w:eastAsia="ja-JP"/>
            </w:rPr>
            <w:t>1</w:t>
          </w:r>
          <w:r w:rsidRPr="006C325C">
            <w:t xml:space="preserve"> – </w:t>
          </w:r>
          <w:r>
            <w:rPr>
              <w:rFonts w:hint="eastAsia"/>
              <w:lang w:eastAsia="ja-JP"/>
            </w:rPr>
            <w:t>4</w:t>
          </w:r>
          <w:r w:rsidRPr="006C325C">
            <w:t xml:space="preserve"> </w:t>
          </w:r>
          <w:r>
            <w:rPr>
              <w:rFonts w:hint="eastAsia"/>
              <w:lang w:eastAsia="ja-JP"/>
            </w:rPr>
            <w:t>Decem</w:t>
          </w:r>
          <w:r w:rsidRPr="006C325C">
            <w:t>ber 2025</w:t>
          </w:r>
        </w:p>
        <w:p w14:paraId="0725DB17" w14:textId="77777777" w:rsidR="00625D9F" w:rsidRPr="006C325C" w:rsidRDefault="00625D9F" w:rsidP="00625D9F">
          <w:pPr>
            <w:pStyle w:val="Header"/>
            <w:jc w:val="right"/>
            <w:rPr>
              <w:lang w:eastAsia="ja-JP"/>
            </w:rPr>
          </w:pPr>
          <w:r w:rsidRPr="006C325C">
            <w:t xml:space="preserve">agenda item </w:t>
          </w:r>
          <w:r>
            <w:rPr>
              <w:rFonts w:hint="eastAsia"/>
              <w:lang w:eastAsia="ja-JP"/>
            </w:rPr>
            <w:t>20.)</w:t>
          </w:r>
        </w:p>
      </w:tc>
    </w:tr>
    <w:bookmarkEnd w:id="3"/>
  </w:tbl>
  <w:p w14:paraId="543D87DF" w14:textId="3BFFF1A5" w:rsidR="00625D9F" w:rsidRDefault="00625D9F">
    <w:pPr>
      <w:pStyle w:val="Header"/>
      <w:rPr>
        <w:lang w:eastAsia="ja-JP"/>
      </w:rPr>
    </w:pPr>
  </w:p>
  <w:p w14:paraId="7089D149" w14:textId="77777777" w:rsidR="00625D9F" w:rsidRDefault="0062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231800">
    <w:abstractNumId w:val="1"/>
  </w:num>
  <w:num w:numId="2" w16cid:durableId="1848589729">
    <w:abstractNumId w:val="0"/>
  </w:num>
  <w:num w:numId="3" w16cid:durableId="189876768">
    <w:abstractNumId w:val="2"/>
  </w:num>
  <w:num w:numId="4" w16cid:durableId="774902985">
    <w:abstractNumId w:val="3"/>
  </w:num>
  <w:num w:numId="5" w16cid:durableId="1283918923">
    <w:abstractNumId w:val="8"/>
  </w:num>
  <w:num w:numId="6" w16cid:durableId="2141916187">
    <w:abstractNumId w:val="9"/>
  </w:num>
  <w:num w:numId="7" w16cid:durableId="745810184">
    <w:abstractNumId w:val="7"/>
  </w:num>
  <w:num w:numId="8" w16cid:durableId="1166673332">
    <w:abstractNumId w:val="6"/>
  </w:num>
  <w:num w:numId="9" w16cid:durableId="1330674946">
    <w:abstractNumId w:val="5"/>
  </w:num>
  <w:num w:numId="10" w16cid:durableId="198712717">
    <w:abstractNumId w:val="4"/>
  </w:num>
  <w:num w:numId="11" w16cid:durableId="639649190">
    <w:abstractNumId w:val="15"/>
  </w:num>
  <w:num w:numId="12" w16cid:durableId="2146704053">
    <w:abstractNumId w:val="14"/>
  </w:num>
  <w:num w:numId="13" w16cid:durableId="1323309633">
    <w:abstractNumId w:val="10"/>
  </w:num>
  <w:num w:numId="14" w16cid:durableId="145972187">
    <w:abstractNumId w:val="12"/>
  </w:num>
  <w:num w:numId="15" w16cid:durableId="1846818753">
    <w:abstractNumId w:val="16"/>
  </w:num>
  <w:num w:numId="16" w16cid:durableId="1546021501">
    <w:abstractNumId w:val="13"/>
  </w:num>
  <w:num w:numId="17" w16cid:durableId="239948400">
    <w:abstractNumId w:val="17"/>
  </w:num>
  <w:num w:numId="18" w16cid:durableId="60249853">
    <w:abstractNumId w:val="18"/>
  </w:num>
  <w:num w:numId="19" w16cid:durableId="172898907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90"/>
    <w:rsid w:val="00002A7D"/>
    <w:rsid w:val="000038A8"/>
    <w:rsid w:val="00005DF3"/>
    <w:rsid w:val="00005E8E"/>
    <w:rsid w:val="00006790"/>
    <w:rsid w:val="00027624"/>
    <w:rsid w:val="0003464C"/>
    <w:rsid w:val="00040F0E"/>
    <w:rsid w:val="00050F6B"/>
    <w:rsid w:val="000678CD"/>
    <w:rsid w:val="00072C8C"/>
    <w:rsid w:val="00081CE0"/>
    <w:rsid w:val="00084D30"/>
    <w:rsid w:val="00090320"/>
    <w:rsid w:val="000931C0"/>
    <w:rsid w:val="00097003"/>
    <w:rsid w:val="000A2E09"/>
    <w:rsid w:val="000B002D"/>
    <w:rsid w:val="000B175B"/>
    <w:rsid w:val="000B3A0F"/>
    <w:rsid w:val="000E0415"/>
    <w:rsid w:val="000F7715"/>
    <w:rsid w:val="001238F6"/>
    <w:rsid w:val="00127A90"/>
    <w:rsid w:val="00156B99"/>
    <w:rsid w:val="00161F74"/>
    <w:rsid w:val="00166124"/>
    <w:rsid w:val="00184DDA"/>
    <w:rsid w:val="00187504"/>
    <w:rsid w:val="001900CD"/>
    <w:rsid w:val="001A0452"/>
    <w:rsid w:val="001B4B04"/>
    <w:rsid w:val="001B5875"/>
    <w:rsid w:val="001B785F"/>
    <w:rsid w:val="001C4B9C"/>
    <w:rsid w:val="001C6663"/>
    <w:rsid w:val="001C7895"/>
    <w:rsid w:val="001D26DF"/>
    <w:rsid w:val="001F1599"/>
    <w:rsid w:val="001F19C4"/>
    <w:rsid w:val="002043F0"/>
    <w:rsid w:val="00211E0B"/>
    <w:rsid w:val="00216C50"/>
    <w:rsid w:val="00227391"/>
    <w:rsid w:val="00232575"/>
    <w:rsid w:val="0024569F"/>
    <w:rsid w:val="00247258"/>
    <w:rsid w:val="0024728F"/>
    <w:rsid w:val="002526D8"/>
    <w:rsid w:val="00257CAC"/>
    <w:rsid w:val="00266B94"/>
    <w:rsid w:val="0027237A"/>
    <w:rsid w:val="00281F54"/>
    <w:rsid w:val="002974E9"/>
    <w:rsid w:val="002A306B"/>
    <w:rsid w:val="002A7F63"/>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65700"/>
    <w:rsid w:val="003A46BB"/>
    <w:rsid w:val="003A4EC7"/>
    <w:rsid w:val="003A7295"/>
    <w:rsid w:val="003B1F60"/>
    <w:rsid w:val="003C2CC4"/>
    <w:rsid w:val="003C3697"/>
    <w:rsid w:val="003D4B23"/>
    <w:rsid w:val="003E0A3F"/>
    <w:rsid w:val="003E278A"/>
    <w:rsid w:val="003E5890"/>
    <w:rsid w:val="003E7ECB"/>
    <w:rsid w:val="003F14FB"/>
    <w:rsid w:val="003F490D"/>
    <w:rsid w:val="00413520"/>
    <w:rsid w:val="0041654F"/>
    <w:rsid w:val="004248C0"/>
    <w:rsid w:val="004325CB"/>
    <w:rsid w:val="00440A07"/>
    <w:rsid w:val="00444D4C"/>
    <w:rsid w:val="00446FDC"/>
    <w:rsid w:val="00462880"/>
    <w:rsid w:val="00476F24"/>
    <w:rsid w:val="004A5D33"/>
    <w:rsid w:val="004C4285"/>
    <w:rsid w:val="004C55B0"/>
    <w:rsid w:val="004F2C73"/>
    <w:rsid w:val="004F6BA0"/>
    <w:rsid w:val="00503BEA"/>
    <w:rsid w:val="00513D89"/>
    <w:rsid w:val="00514836"/>
    <w:rsid w:val="00533616"/>
    <w:rsid w:val="00535ABA"/>
    <w:rsid w:val="0053768B"/>
    <w:rsid w:val="005420F2"/>
    <w:rsid w:val="0054285C"/>
    <w:rsid w:val="005627A5"/>
    <w:rsid w:val="00584173"/>
    <w:rsid w:val="00595520"/>
    <w:rsid w:val="005A44B9"/>
    <w:rsid w:val="005A63D5"/>
    <w:rsid w:val="005B1BA0"/>
    <w:rsid w:val="005B3DB3"/>
    <w:rsid w:val="005B4A4B"/>
    <w:rsid w:val="005C0268"/>
    <w:rsid w:val="005D15CA"/>
    <w:rsid w:val="005E0D6B"/>
    <w:rsid w:val="005F08DF"/>
    <w:rsid w:val="005F3066"/>
    <w:rsid w:val="005F3E61"/>
    <w:rsid w:val="00604DDD"/>
    <w:rsid w:val="006107D6"/>
    <w:rsid w:val="006115CC"/>
    <w:rsid w:val="00611FC4"/>
    <w:rsid w:val="006176FB"/>
    <w:rsid w:val="00625D9F"/>
    <w:rsid w:val="00627FC6"/>
    <w:rsid w:val="00630FCB"/>
    <w:rsid w:val="00640B26"/>
    <w:rsid w:val="0065766B"/>
    <w:rsid w:val="00673E17"/>
    <w:rsid w:val="006770B2"/>
    <w:rsid w:val="00686A48"/>
    <w:rsid w:val="0068763C"/>
    <w:rsid w:val="006940E1"/>
    <w:rsid w:val="006949A8"/>
    <w:rsid w:val="006A3C72"/>
    <w:rsid w:val="006A7392"/>
    <w:rsid w:val="006B03A1"/>
    <w:rsid w:val="006B67D9"/>
    <w:rsid w:val="006C5535"/>
    <w:rsid w:val="006C7D19"/>
    <w:rsid w:val="006D0589"/>
    <w:rsid w:val="006E1647"/>
    <w:rsid w:val="006E564B"/>
    <w:rsid w:val="006E7154"/>
    <w:rsid w:val="007003CD"/>
    <w:rsid w:val="0070701E"/>
    <w:rsid w:val="0072632A"/>
    <w:rsid w:val="007358E8"/>
    <w:rsid w:val="00736ECE"/>
    <w:rsid w:val="0074533B"/>
    <w:rsid w:val="007643BC"/>
    <w:rsid w:val="00780C68"/>
    <w:rsid w:val="007959FE"/>
    <w:rsid w:val="007A0CF1"/>
    <w:rsid w:val="007B10B6"/>
    <w:rsid w:val="007B6BA5"/>
    <w:rsid w:val="007C3390"/>
    <w:rsid w:val="007C42D8"/>
    <w:rsid w:val="007C4F4B"/>
    <w:rsid w:val="007D6F65"/>
    <w:rsid w:val="007D7362"/>
    <w:rsid w:val="007D7BF7"/>
    <w:rsid w:val="007F5CE2"/>
    <w:rsid w:val="007F6611"/>
    <w:rsid w:val="00810BAC"/>
    <w:rsid w:val="00814C29"/>
    <w:rsid w:val="008175E9"/>
    <w:rsid w:val="00820EBB"/>
    <w:rsid w:val="008242D7"/>
    <w:rsid w:val="0082577B"/>
    <w:rsid w:val="00825CB5"/>
    <w:rsid w:val="008308F8"/>
    <w:rsid w:val="00866893"/>
    <w:rsid w:val="00866F02"/>
    <w:rsid w:val="00867D18"/>
    <w:rsid w:val="00871DD8"/>
    <w:rsid w:val="00871F9A"/>
    <w:rsid w:val="00871FD5"/>
    <w:rsid w:val="0088172E"/>
    <w:rsid w:val="00881EFA"/>
    <w:rsid w:val="008879CB"/>
    <w:rsid w:val="008979B1"/>
    <w:rsid w:val="008A6B25"/>
    <w:rsid w:val="008A6C4F"/>
    <w:rsid w:val="008B1345"/>
    <w:rsid w:val="008B389E"/>
    <w:rsid w:val="008D045E"/>
    <w:rsid w:val="008D3F25"/>
    <w:rsid w:val="008D4D82"/>
    <w:rsid w:val="008E0E46"/>
    <w:rsid w:val="008E7116"/>
    <w:rsid w:val="008F143B"/>
    <w:rsid w:val="008F3882"/>
    <w:rsid w:val="008F4B7C"/>
    <w:rsid w:val="00900F57"/>
    <w:rsid w:val="009044BE"/>
    <w:rsid w:val="0092556A"/>
    <w:rsid w:val="00926E47"/>
    <w:rsid w:val="00946779"/>
    <w:rsid w:val="00947162"/>
    <w:rsid w:val="009610D0"/>
    <w:rsid w:val="0096375C"/>
    <w:rsid w:val="009662E6"/>
    <w:rsid w:val="0097095E"/>
    <w:rsid w:val="009814C4"/>
    <w:rsid w:val="0098592B"/>
    <w:rsid w:val="00985FC4"/>
    <w:rsid w:val="00990766"/>
    <w:rsid w:val="00991261"/>
    <w:rsid w:val="009964C4"/>
    <w:rsid w:val="009A7B81"/>
    <w:rsid w:val="009B011B"/>
    <w:rsid w:val="009B7EB7"/>
    <w:rsid w:val="009C5CC7"/>
    <w:rsid w:val="009D01C0"/>
    <w:rsid w:val="009D6A08"/>
    <w:rsid w:val="009E0A16"/>
    <w:rsid w:val="009E6CB7"/>
    <w:rsid w:val="009E7022"/>
    <w:rsid w:val="009E7970"/>
    <w:rsid w:val="009F249C"/>
    <w:rsid w:val="009F2EAC"/>
    <w:rsid w:val="009F422E"/>
    <w:rsid w:val="009F57E3"/>
    <w:rsid w:val="00A077A2"/>
    <w:rsid w:val="00A10F4F"/>
    <w:rsid w:val="00A11067"/>
    <w:rsid w:val="00A1704A"/>
    <w:rsid w:val="00A36AC2"/>
    <w:rsid w:val="00A425EB"/>
    <w:rsid w:val="00A72F22"/>
    <w:rsid w:val="00A733BC"/>
    <w:rsid w:val="00A748A6"/>
    <w:rsid w:val="00A75993"/>
    <w:rsid w:val="00A76A69"/>
    <w:rsid w:val="00A879A4"/>
    <w:rsid w:val="00AA0FF8"/>
    <w:rsid w:val="00AC0F2C"/>
    <w:rsid w:val="00AC47EA"/>
    <w:rsid w:val="00AC502A"/>
    <w:rsid w:val="00AE1E26"/>
    <w:rsid w:val="00AE7057"/>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83F0E"/>
    <w:rsid w:val="00B87479"/>
    <w:rsid w:val="00BA339B"/>
    <w:rsid w:val="00BB23CC"/>
    <w:rsid w:val="00BC1E7E"/>
    <w:rsid w:val="00BC4732"/>
    <w:rsid w:val="00BC74E9"/>
    <w:rsid w:val="00BE36A9"/>
    <w:rsid w:val="00BE618E"/>
    <w:rsid w:val="00BE7BEC"/>
    <w:rsid w:val="00BF0A5A"/>
    <w:rsid w:val="00BF0E63"/>
    <w:rsid w:val="00BF12A3"/>
    <w:rsid w:val="00BF16D7"/>
    <w:rsid w:val="00BF2373"/>
    <w:rsid w:val="00BF279B"/>
    <w:rsid w:val="00C03F93"/>
    <w:rsid w:val="00C044E2"/>
    <w:rsid w:val="00C048CB"/>
    <w:rsid w:val="00C066F3"/>
    <w:rsid w:val="00C22D27"/>
    <w:rsid w:val="00C463DD"/>
    <w:rsid w:val="00C55F7D"/>
    <w:rsid w:val="00C6612E"/>
    <w:rsid w:val="00C745C3"/>
    <w:rsid w:val="00C838FC"/>
    <w:rsid w:val="00C978F5"/>
    <w:rsid w:val="00CA24A4"/>
    <w:rsid w:val="00CB17AA"/>
    <w:rsid w:val="00CB348D"/>
    <w:rsid w:val="00CD46F5"/>
    <w:rsid w:val="00CE4A8F"/>
    <w:rsid w:val="00CF071D"/>
    <w:rsid w:val="00D0123D"/>
    <w:rsid w:val="00D15B04"/>
    <w:rsid w:val="00D2031B"/>
    <w:rsid w:val="00D25FE2"/>
    <w:rsid w:val="00D37DA9"/>
    <w:rsid w:val="00D406A7"/>
    <w:rsid w:val="00D41AE9"/>
    <w:rsid w:val="00D43252"/>
    <w:rsid w:val="00D44D86"/>
    <w:rsid w:val="00D50B7D"/>
    <w:rsid w:val="00D52012"/>
    <w:rsid w:val="00D704E5"/>
    <w:rsid w:val="00D70BD0"/>
    <w:rsid w:val="00D72727"/>
    <w:rsid w:val="00D815B7"/>
    <w:rsid w:val="00D978C6"/>
    <w:rsid w:val="00D97B36"/>
    <w:rsid w:val="00DA0956"/>
    <w:rsid w:val="00DA1B30"/>
    <w:rsid w:val="00DA357F"/>
    <w:rsid w:val="00DA3E12"/>
    <w:rsid w:val="00DC18AD"/>
    <w:rsid w:val="00DC75F4"/>
    <w:rsid w:val="00DF3084"/>
    <w:rsid w:val="00DF7CAE"/>
    <w:rsid w:val="00E00382"/>
    <w:rsid w:val="00E41051"/>
    <w:rsid w:val="00E42379"/>
    <w:rsid w:val="00E423C0"/>
    <w:rsid w:val="00E6414C"/>
    <w:rsid w:val="00E65538"/>
    <w:rsid w:val="00E7260F"/>
    <w:rsid w:val="00E8702D"/>
    <w:rsid w:val="00E905F4"/>
    <w:rsid w:val="00E916A9"/>
    <w:rsid w:val="00E916DE"/>
    <w:rsid w:val="00E925AD"/>
    <w:rsid w:val="00E96630"/>
    <w:rsid w:val="00ED18DC"/>
    <w:rsid w:val="00ED6201"/>
    <w:rsid w:val="00ED7A2A"/>
    <w:rsid w:val="00EF1D7F"/>
    <w:rsid w:val="00F0137E"/>
    <w:rsid w:val="00F04E44"/>
    <w:rsid w:val="00F11A69"/>
    <w:rsid w:val="00F21786"/>
    <w:rsid w:val="00F25D06"/>
    <w:rsid w:val="00F31CFF"/>
    <w:rsid w:val="00F3742B"/>
    <w:rsid w:val="00F41363"/>
    <w:rsid w:val="00F41FDB"/>
    <w:rsid w:val="00F44B99"/>
    <w:rsid w:val="00F46041"/>
    <w:rsid w:val="00F50597"/>
    <w:rsid w:val="00F56D63"/>
    <w:rsid w:val="00F5702F"/>
    <w:rsid w:val="00F5766D"/>
    <w:rsid w:val="00F609A9"/>
    <w:rsid w:val="00F80C99"/>
    <w:rsid w:val="00F867EC"/>
    <w:rsid w:val="00F91B2B"/>
    <w:rsid w:val="00FA3F86"/>
    <w:rsid w:val="00FC03CD"/>
    <w:rsid w:val="00FC0646"/>
    <w:rsid w:val="00FC68B7"/>
    <w:rsid w:val="00FE6985"/>
    <w:rsid w:val="7B08549B"/>
    <w:rsid w:val="7CAC7D2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40049"/>
  <w15:docId w15:val="{0C3165B2-D5D4-4787-8FBF-8CFF081A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514836"/>
    <w:rPr>
      <w:b/>
      <w:sz w:val="28"/>
      <w:lang w:val="en-GB"/>
    </w:rPr>
  </w:style>
  <w:style w:type="character" w:customStyle="1" w:styleId="SingleTxtGChar">
    <w:name w:val="_ Single Txt_G Char"/>
    <w:link w:val="SingleTxtG"/>
    <w:qFormat/>
    <w:rsid w:val="00514836"/>
    <w:rPr>
      <w:lang w:val="en-GB"/>
    </w:rPr>
  </w:style>
  <w:style w:type="paragraph" w:styleId="Revision">
    <w:name w:val="Revision"/>
    <w:hidden/>
    <w:uiPriority w:val="99"/>
    <w:semiHidden/>
    <w:rsid w:val="00CB17AA"/>
    <w:pPr>
      <w:spacing w:line="240" w:lineRule="auto"/>
    </w:pPr>
    <w:rPr>
      <w:lang w:val="en-GB"/>
    </w:rPr>
  </w:style>
  <w:style w:type="character" w:styleId="CommentReference">
    <w:name w:val="annotation reference"/>
    <w:basedOn w:val="DefaultParagraphFont"/>
    <w:semiHidden/>
    <w:unhideWhenUsed/>
    <w:rsid w:val="009F422E"/>
    <w:rPr>
      <w:sz w:val="18"/>
      <w:szCs w:val="18"/>
    </w:rPr>
  </w:style>
  <w:style w:type="paragraph" w:styleId="CommentText">
    <w:name w:val="annotation text"/>
    <w:basedOn w:val="Normal"/>
    <w:link w:val="CommentTextChar"/>
    <w:unhideWhenUsed/>
    <w:rsid w:val="009F422E"/>
  </w:style>
  <w:style w:type="character" w:customStyle="1" w:styleId="CommentTextChar">
    <w:name w:val="Comment Text Char"/>
    <w:basedOn w:val="DefaultParagraphFont"/>
    <w:link w:val="CommentText"/>
    <w:rsid w:val="009F422E"/>
    <w:rPr>
      <w:lang w:val="en-GB"/>
    </w:rPr>
  </w:style>
  <w:style w:type="paragraph" w:styleId="CommentSubject">
    <w:name w:val="annotation subject"/>
    <w:basedOn w:val="CommentText"/>
    <w:next w:val="CommentText"/>
    <w:link w:val="CommentSubjectChar"/>
    <w:semiHidden/>
    <w:unhideWhenUsed/>
    <w:rsid w:val="009F422E"/>
    <w:rPr>
      <w:b/>
      <w:bCs/>
    </w:rPr>
  </w:style>
  <w:style w:type="character" w:customStyle="1" w:styleId="CommentSubjectChar">
    <w:name w:val="Comment Subject Char"/>
    <w:basedOn w:val="CommentTextChar"/>
    <w:link w:val="CommentSubject"/>
    <w:semiHidden/>
    <w:rsid w:val="009F422E"/>
    <w:rPr>
      <w:b/>
      <w:bCs/>
      <w:lang w:val="en-GB"/>
    </w:rPr>
  </w:style>
  <w:style w:type="character" w:customStyle="1" w:styleId="HeaderChar">
    <w:name w:val="Header Char"/>
    <w:aliases w:val="6_G Char"/>
    <w:basedOn w:val="DefaultParagraphFont"/>
    <w:link w:val="Header"/>
    <w:uiPriority w:val="99"/>
    <w:rsid w:val="00625D9F"/>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61927">
      <w:bodyDiv w:val="1"/>
      <w:marLeft w:val="0"/>
      <w:marRight w:val="0"/>
      <w:marTop w:val="0"/>
      <w:marBottom w:val="0"/>
      <w:divBdr>
        <w:top w:val="none" w:sz="0" w:space="0" w:color="auto"/>
        <w:left w:val="none" w:sz="0" w:space="0" w:color="auto"/>
        <w:bottom w:val="none" w:sz="0" w:space="0" w:color="auto"/>
        <w:right w:val="none" w:sz="0" w:space="0" w:color="auto"/>
      </w:divBdr>
      <w:divsChild>
        <w:div w:id="763889800">
          <w:marLeft w:val="0"/>
          <w:marRight w:val="0"/>
          <w:marTop w:val="0"/>
          <w:marBottom w:val="0"/>
          <w:divBdr>
            <w:top w:val="none" w:sz="0" w:space="0" w:color="auto"/>
            <w:left w:val="none" w:sz="0" w:space="0" w:color="auto"/>
            <w:bottom w:val="none" w:sz="0" w:space="0" w:color="auto"/>
            <w:right w:val="none" w:sz="0" w:space="0" w:color="auto"/>
          </w:divBdr>
        </w:div>
        <w:div w:id="1035933592">
          <w:marLeft w:val="0"/>
          <w:marRight w:val="0"/>
          <w:marTop w:val="0"/>
          <w:marBottom w:val="0"/>
          <w:divBdr>
            <w:top w:val="none" w:sz="0" w:space="0" w:color="auto"/>
            <w:left w:val="none" w:sz="0" w:space="0" w:color="auto"/>
            <w:bottom w:val="none" w:sz="0" w:space="0" w:color="auto"/>
            <w:right w:val="none" w:sz="0" w:space="0" w:color="auto"/>
          </w:divBdr>
        </w:div>
      </w:divsChild>
    </w:div>
    <w:div w:id="1885754077">
      <w:bodyDiv w:val="1"/>
      <w:marLeft w:val="0"/>
      <w:marRight w:val="0"/>
      <w:marTop w:val="0"/>
      <w:marBottom w:val="0"/>
      <w:divBdr>
        <w:top w:val="none" w:sz="0" w:space="0" w:color="auto"/>
        <w:left w:val="none" w:sz="0" w:space="0" w:color="auto"/>
        <w:bottom w:val="none" w:sz="0" w:space="0" w:color="auto"/>
        <w:right w:val="none" w:sz="0" w:space="0" w:color="auto"/>
      </w:divBdr>
      <w:divsChild>
        <w:div w:id="572550691">
          <w:marLeft w:val="0"/>
          <w:marRight w:val="0"/>
          <w:marTop w:val="0"/>
          <w:marBottom w:val="0"/>
          <w:divBdr>
            <w:top w:val="none" w:sz="0" w:space="0" w:color="auto"/>
            <w:left w:val="none" w:sz="0" w:space="0" w:color="auto"/>
            <w:bottom w:val="none" w:sz="0" w:space="0" w:color="auto"/>
            <w:right w:val="none" w:sz="0" w:space="0" w:color="auto"/>
          </w:divBdr>
        </w:div>
        <w:div w:id="182596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customXml/itemProps4.xml><?xml version="1.0" encoding="utf-8"?>
<ds:datastoreItem xmlns:ds="http://schemas.openxmlformats.org/officeDocument/2006/customXml" ds:itemID="{F237A9AB-8E83-43E7-BF9A-116E2C67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1</TotalTime>
  <Pages>2</Pages>
  <Words>469</Words>
  <Characters>2679</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3142</CharactersWithSpaces>
  <SharedDoc>false</SharedDoc>
  <HLinks>
    <vt:vector size="6" baseType="variant">
      <vt:variant>
        <vt:i4>393307</vt:i4>
      </vt:variant>
      <vt:variant>
        <vt:i4>0</vt:i4>
      </vt:variant>
      <vt:variant>
        <vt:i4>0</vt:i4>
      </vt:variant>
      <vt:variant>
        <vt:i4>5</vt:i4>
      </vt:variant>
      <vt:variant>
        <vt:lpwstr>https://unece.org/transport/vehicle-regulations/wp29/resolutions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ECE/TRANS/WP.29/GRSP/2025/16</dc:title>
  <dc:subject/>
  <dc:creator>ST/SG/AC.10/1/Rev.23/Corr.1</dc:creator>
  <cp:keywords/>
  <cp:lastModifiedBy>Borg, Ann-Kristin (akb)</cp:lastModifiedBy>
  <cp:revision>2</cp:revision>
  <cp:lastPrinted>2025-09-21T20:18:00Z</cp:lastPrinted>
  <dcterms:created xsi:type="dcterms:W3CDTF">2025-11-26T07:10:00Z</dcterms:created>
  <dcterms:modified xsi:type="dcterms:W3CDTF">2025-11-26T07:10:00Z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