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12704DD" w14:textId="77777777" w:rsidTr="00B20551">
        <w:trPr>
          <w:cantSplit/>
          <w:trHeight w:hRule="exact" w:val="851"/>
        </w:trPr>
        <w:tc>
          <w:tcPr>
            <w:tcW w:w="1276" w:type="dxa"/>
            <w:tcBorders>
              <w:bottom w:val="single" w:sz="4" w:space="0" w:color="auto"/>
            </w:tcBorders>
            <w:vAlign w:val="bottom"/>
          </w:tcPr>
          <w:p w14:paraId="65B88AB9" w14:textId="77777777" w:rsidR="009E6CB7" w:rsidRDefault="009E6CB7" w:rsidP="00B20551">
            <w:pPr>
              <w:spacing w:after="80"/>
            </w:pPr>
          </w:p>
        </w:tc>
        <w:tc>
          <w:tcPr>
            <w:tcW w:w="2268" w:type="dxa"/>
            <w:tcBorders>
              <w:bottom w:val="single" w:sz="4" w:space="0" w:color="auto"/>
            </w:tcBorders>
            <w:vAlign w:val="bottom"/>
          </w:tcPr>
          <w:p w14:paraId="73AEC05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166B82" w14:textId="1C5D331A" w:rsidR="009E6CB7" w:rsidRPr="00D47EEA" w:rsidRDefault="009C0BD0" w:rsidP="009C0BD0">
            <w:pPr>
              <w:jc w:val="right"/>
            </w:pPr>
            <w:r w:rsidRPr="009C0BD0">
              <w:rPr>
                <w:sz w:val="40"/>
              </w:rPr>
              <w:t>ECE</w:t>
            </w:r>
            <w:r>
              <w:t>/TRANS/WP.29/2025/130</w:t>
            </w:r>
          </w:p>
        </w:tc>
      </w:tr>
      <w:tr w:rsidR="009E6CB7" w14:paraId="2BCE7166" w14:textId="77777777" w:rsidTr="00B20551">
        <w:trPr>
          <w:cantSplit/>
          <w:trHeight w:hRule="exact" w:val="2835"/>
        </w:trPr>
        <w:tc>
          <w:tcPr>
            <w:tcW w:w="1276" w:type="dxa"/>
            <w:tcBorders>
              <w:top w:val="single" w:sz="4" w:space="0" w:color="auto"/>
              <w:bottom w:val="single" w:sz="12" w:space="0" w:color="auto"/>
            </w:tcBorders>
          </w:tcPr>
          <w:p w14:paraId="50F25352" w14:textId="77777777" w:rsidR="009E6CB7" w:rsidRDefault="00686A48" w:rsidP="00B20551">
            <w:pPr>
              <w:spacing w:before="120"/>
            </w:pPr>
            <w:r>
              <w:rPr>
                <w:noProof/>
                <w:lang w:val="fr-CH" w:eastAsia="fr-CH"/>
              </w:rPr>
              <w:drawing>
                <wp:inline distT="0" distB="0" distL="0" distR="0" wp14:anchorId="3D9B6583" wp14:editId="0D922BE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B73641A"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4042E3C" w14:textId="77777777" w:rsidR="009E6CB7" w:rsidRDefault="009C0BD0" w:rsidP="009C0BD0">
            <w:pPr>
              <w:spacing w:before="240" w:line="240" w:lineRule="exact"/>
            </w:pPr>
            <w:r>
              <w:t>Distr.: General</w:t>
            </w:r>
          </w:p>
          <w:p w14:paraId="207FDC69" w14:textId="4215DA85" w:rsidR="009C0BD0" w:rsidRDefault="004452F9" w:rsidP="009C0BD0">
            <w:pPr>
              <w:spacing w:line="240" w:lineRule="exact"/>
            </w:pPr>
            <w:r>
              <w:t>19</w:t>
            </w:r>
            <w:r w:rsidR="009C0BD0">
              <w:t xml:space="preserve"> August 2025</w:t>
            </w:r>
          </w:p>
          <w:p w14:paraId="3C1E84C9" w14:textId="77777777" w:rsidR="009C0BD0" w:rsidRDefault="009C0BD0" w:rsidP="009C0BD0">
            <w:pPr>
              <w:spacing w:line="240" w:lineRule="exact"/>
            </w:pPr>
          </w:p>
          <w:p w14:paraId="14D433A8" w14:textId="79D8EC7B" w:rsidR="009C0BD0" w:rsidRDefault="009C0BD0" w:rsidP="009C0BD0">
            <w:pPr>
              <w:spacing w:line="240" w:lineRule="exact"/>
            </w:pPr>
            <w:r>
              <w:t>Original: English</w:t>
            </w:r>
          </w:p>
        </w:tc>
      </w:tr>
    </w:tbl>
    <w:p w14:paraId="377C138B" w14:textId="77777777" w:rsidR="00DD6CDA" w:rsidRPr="001D703D" w:rsidRDefault="00DD6CDA" w:rsidP="00DD6CDA">
      <w:pPr>
        <w:spacing w:before="120"/>
        <w:rPr>
          <w:b/>
          <w:sz w:val="28"/>
          <w:szCs w:val="28"/>
        </w:rPr>
      </w:pPr>
      <w:r w:rsidRPr="001D703D">
        <w:rPr>
          <w:b/>
          <w:sz w:val="28"/>
          <w:szCs w:val="28"/>
        </w:rPr>
        <w:t>Economic Commission for Europe</w:t>
      </w:r>
    </w:p>
    <w:p w14:paraId="2E067DA9" w14:textId="77777777" w:rsidR="00DD6CDA" w:rsidRPr="001D703D" w:rsidRDefault="00DD6CDA" w:rsidP="00DD6CDA">
      <w:pPr>
        <w:spacing w:before="120"/>
        <w:rPr>
          <w:sz w:val="28"/>
          <w:szCs w:val="28"/>
        </w:rPr>
      </w:pPr>
      <w:r w:rsidRPr="001D703D">
        <w:rPr>
          <w:sz w:val="28"/>
          <w:szCs w:val="28"/>
        </w:rPr>
        <w:t>Inland Transport Committee</w:t>
      </w:r>
    </w:p>
    <w:p w14:paraId="4A0F7EC8" w14:textId="77777777" w:rsidR="00DD6CDA" w:rsidRPr="001D703D" w:rsidRDefault="00DD6CDA" w:rsidP="00DD6CDA">
      <w:pPr>
        <w:spacing w:before="120"/>
        <w:rPr>
          <w:b/>
          <w:sz w:val="24"/>
          <w:szCs w:val="24"/>
        </w:rPr>
      </w:pPr>
      <w:r w:rsidRPr="001D703D">
        <w:rPr>
          <w:b/>
          <w:sz w:val="24"/>
          <w:szCs w:val="24"/>
        </w:rPr>
        <w:t>World Forum for Harmonization of Vehicle Regulations</w:t>
      </w:r>
    </w:p>
    <w:p w14:paraId="4F7F95F2" w14:textId="77777777" w:rsidR="00DD6CDA" w:rsidRPr="001D703D" w:rsidRDefault="00DD6CDA" w:rsidP="00DD6CDA">
      <w:pPr>
        <w:tabs>
          <w:tab w:val="center" w:pos="4819"/>
        </w:tabs>
        <w:spacing w:before="120"/>
        <w:rPr>
          <w:b/>
          <w:lang w:val="en-US"/>
        </w:rPr>
      </w:pPr>
      <w:r>
        <w:rPr>
          <w:b/>
          <w:lang w:val="en-US"/>
        </w:rPr>
        <w:t xml:space="preserve">197th </w:t>
      </w:r>
      <w:r w:rsidRPr="001D703D">
        <w:rPr>
          <w:b/>
          <w:lang w:val="en-US"/>
        </w:rPr>
        <w:t>session</w:t>
      </w:r>
    </w:p>
    <w:p w14:paraId="6CA85634" w14:textId="77777777" w:rsidR="00DD6CDA" w:rsidRPr="001D703D" w:rsidRDefault="00DD6CDA" w:rsidP="00DD6CDA">
      <w:pPr>
        <w:rPr>
          <w:lang w:val="en-US"/>
        </w:rPr>
      </w:pPr>
      <w:r>
        <w:rPr>
          <w:lang w:val="en-US"/>
        </w:rPr>
        <w:t>Geneva, 11</w:t>
      </w:r>
      <w:r w:rsidRPr="000E31C1">
        <w:rPr>
          <w:bCs/>
        </w:rPr>
        <w:t>–</w:t>
      </w:r>
      <w:r>
        <w:rPr>
          <w:bCs/>
        </w:rPr>
        <w:t>14</w:t>
      </w:r>
      <w:r w:rsidRPr="000E31C1">
        <w:rPr>
          <w:bCs/>
        </w:rPr>
        <w:t xml:space="preserve"> </w:t>
      </w:r>
      <w:r>
        <w:rPr>
          <w:bCs/>
        </w:rPr>
        <w:t>November</w:t>
      </w:r>
      <w:r w:rsidRPr="000E31C1">
        <w:rPr>
          <w:bCs/>
        </w:rPr>
        <w:t xml:space="preserve"> 202</w:t>
      </w:r>
      <w:r>
        <w:rPr>
          <w:bCs/>
        </w:rPr>
        <w:t>5</w:t>
      </w:r>
    </w:p>
    <w:p w14:paraId="10FFFB4F" w14:textId="14640310" w:rsidR="00DD6CDA" w:rsidRPr="001D703D" w:rsidRDefault="00DD6CDA" w:rsidP="00DD6CDA">
      <w:r w:rsidRPr="001D703D">
        <w:t>Ite</w:t>
      </w:r>
      <w:r w:rsidRPr="0012673E">
        <w:t>m 4.</w:t>
      </w:r>
      <w:r>
        <w:t>9</w:t>
      </w:r>
      <w:r w:rsidRPr="0012673E">
        <w:t>.</w:t>
      </w:r>
      <w:r w:rsidR="00FD185F">
        <w:t>11</w:t>
      </w:r>
      <w:r>
        <w:t xml:space="preserve"> </w:t>
      </w:r>
      <w:r w:rsidRPr="001D703D">
        <w:t>of the provisional agenda</w:t>
      </w:r>
    </w:p>
    <w:p w14:paraId="4758C743" w14:textId="77777777" w:rsidR="00DD6CDA" w:rsidRDefault="00DD6CDA" w:rsidP="00DD6CDA">
      <w:pPr>
        <w:rPr>
          <w:b/>
        </w:rPr>
      </w:pPr>
      <w:r>
        <w:rPr>
          <w:b/>
        </w:rPr>
        <w:t>1958 Agreement:</w:t>
      </w:r>
    </w:p>
    <w:p w14:paraId="33E12CB5" w14:textId="77777777" w:rsidR="00DD6CDA" w:rsidRDefault="00DD6CDA" w:rsidP="00DD6CDA">
      <w:pPr>
        <w:rPr>
          <w:b/>
        </w:rPr>
      </w:pPr>
      <w:r>
        <w:rPr>
          <w:b/>
        </w:rPr>
        <w:t>Consideration of draft amendments to existing</w:t>
      </w:r>
    </w:p>
    <w:p w14:paraId="607CEDA6" w14:textId="77777777" w:rsidR="00DD6CDA" w:rsidRDefault="00DD6CDA" w:rsidP="00DD6CDA">
      <w:pPr>
        <w:rPr>
          <w:b/>
          <w:bCs/>
        </w:rPr>
      </w:pPr>
      <w:r>
        <w:rPr>
          <w:b/>
        </w:rPr>
        <w:t>UN Regulations submitted by GRSP</w:t>
      </w:r>
    </w:p>
    <w:p w14:paraId="33B5E79A" w14:textId="0FB3FE99" w:rsidR="00DD6CDA" w:rsidRDefault="00C927BA" w:rsidP="00DD6CDA">
      <w:pPr>
        <w:pStyle w:val="HChG"/>
        <w:ind w:left="1124" w:right="1138" w:firstLine="0"/>
      </w:pPr>
      <w:r w:rsidRPr="004D7B52">
        <w:t>Proposal for the 03 series of amendments to UN Regulation No. 134</w:t>
      </w:r>
      <w:r w:rsidR="00FB0F70" w:rsidRPr="00143A80">
        <w:t xml:space="preserve"> (Hydrogen and fuel cell vehicles)</w:t>
      </w:r>
    </w:p>
    <w:p w14:paraId="6482C0CE" w14:textId="77777777" w:rsidR="00DD6CDA" w:rsidRDefault="00DD6CDA" w:rsidP="00DD6CDA">
      <w:pPr>
        <w:pStyle w:val="H1G"/>
        <w:rPr>
          <w:szCs w:val="24"/>
        </w:rPr>
      </w:pPr>
      <w:r>
        <w:tab/>
      </w:r>
      <w:r>
        <w:tab/>
      </w:r>
      <w:r>
        <w:rPr>
          <w:szCs w:val="24"/>
        </w:rPr>
        <w:t>Submitted by the Working Party on Passive Safety</w:t>
      </w:r>
      <w:r>
        <w:footnoteReference w:customMarkFollows="1" w:id="2"/>
        <w:t>*</w:t>
      </w:r>
    </w:p>
    <w:p w14:paraId="072B9214" w14:textId="2C255029" w:rsidR="00DD6CDA" w:rsidRDefault="00DD6CDA" w:rsidP="00DD6CDA">
      <w:pPr>
        <w:pStyle w:val="SingleTxtG"/>
        <w:rPr>
          <w:lang w:val="en-US"/>
        </w:rPr>
      </w:pPr>
      <w:r>
        <w:rPr>
          <w:lang w:val="en-US"/>
        </w:rPr>
        <w:tab/>
        <w:t>The text reproduced below was adopted by the Working Party on Passive Safety (GRSP) at its seventy-</w:t>
      </w:r>
      <w:r w:rsidR="0022022C">
        <w:rPr>
          <w:lang w:val="en-US"/>
        </w:rPr>
        <w:t xml:space="preserve">seventh </w:t>
      </w:r>
      <w:r>
        <w:rPr>
          <w:lang w:val="en-US"/>
        </w:rPr>
        <w:t xml:space="preserve">session (ECE/TRANS/WP.29/GRSP/77, paragraph </w:t>
      </w:r>
      <w:r w:rsidR="00CA32AA">
        <w:rPr>
          <w:lang w:val="en-US"/>
        </w:rPr>
        <w:t>30</w:t>
      </w:r>
      <w:r>
        <w:rPr>
          <w:lang w:val="en-US"/>
        </w:rPr>
        <w:t>).</w:t>
      </w:r>
      <w:r>
        <w:rPr>
          <w:lang w:val="en-US" w:eastAsia="en-GB"/>
        </w:rPr>
        <w:t xml:space="preserve"> </w:t>
      </w:r>
      <w:r>
        <w:rPr>
          <w:lang w:eastAsia="en-GB"/>
        </w:rPr>
        <w:t xml:space="preserve">It is based on </w:t>
      </w:r>
      <w:r>
        <w:t xml:space="preserve">informal document </w:t>
      </w:r>
      <w:r w:rsidR="00CA32AA" w:rsidRPr="004D7B52">
        <w:rPr>
          <w:lang w:val="en-US"/>
        </w:rPr>
        <w:t>GRSP-77-30-Rev.2</w:t>
      </w:r>
      <w:r>
        <w:t xml:space="preserve"> (as reproduced in annex </w:t>
      </w:r>
      <w:r w:rsidR="00B82F98">
        <w:t>VI</w:t>
      </w:r>
      <w:r>
        <w:t xml:space="preserve"> of the report)</w:t>
      </w:r>
      <w:r>
        <w:rPr>
          <w:lang w:val="en-US"/>
        </w:rPr>
        <w:t>. It is submitted to the World Forum for Harmonization of Vehicle Regulations (WP.29) and to the Administrative Committee (AC.1) for consideration at their November 2025 sessions.</w:t>
      </w:r>
    </w:p>
    <w:p w14:paraId="2D8FCAAE" w14:textId="77777777" w:rsidR="00DD6CDA" w:rsidRDefault="00DD6CDA" w:rsidP="00DD6CDA">
      <w:r>
        <w:br w:type="page"/>
      </w:r>
    </w:p>
    <w:p w14:paraId="3EEC4D4E" w14:textId="1BF023E9" w:rsidR="00012C6F" w:rsidRPr="006B6FDC" w:rsidRDefault="00012C6F" w:rsidP="007A22C4">
      <w:pPr>
        <w:keepNext/>
        <w:spacing w:after="120"/>
        <w:ind w:left="1134" w:right="1134"/>
        <w:jc w:val="both"/>
      </w:pPr>
      <w:r w:rsidRPr="006B6FDC">
        <w:rPr>
          <w:i/>
          <w:iCs/>
        </w:rPr>
        <w:lastRenderedPageBreak/>
        <w:t xml:space="preserve">Paragraph 1., footnote </w:t>
      </w:r>
      <w:r w:rsidRPr="001923E0">
        <w:rPr>
          <w:i/>
          <w:iCs/>
        </w:rPr>
        <w:t xml:space="preserve">1, </w:t>
      </w:r>
      <w:r w:rsidR="001923E0" w:rsidRPr="0022621F">
        <w:t xml:space="preserve">at the end, </w:t>
      </w:r>
      <w:r w:rsidR="001923E0" w:rsidRPr="007A22C4">
        <w:rPr>
          <w:bCs/>
          <w:iCs/>
        </w:rPr>
        <w:t>add</w:t>
      </w:r>
      <w:r w:rsidR="001923E0">
        <w:t xml:space="preserve"> </w:t>
      </w:r>
      <w:r w:rsidR="006B1762">
        <w:t xml:space="preserve">a </w:t>
      </w:r>
      <w:r w:rsidR="001923E0">
        <w:t>new paragraph to read</w:t>
      </w:r>
      <w:r w:rsidRPr="006B6FDC">
        <w:t>:</w:t>
      </w:r>
    </w:p>
    <w:p w14:paraId="641526F6" w14:textId="63779383" w:rsidR="00012C6F" w:rsidRPr="001923E0" w:rsidRDefault="00732857" w:rsidP="001923E0">
      <w:pPr>
        <w:pStyle w:val="SingleTxtG"/>
        <w:rPr>
          <w:bCs/>
        </w:rPr>
      </w:pPr>
      <w:r>
        <w:rPr>
          <w:bCs/>
        </w:rPr>
        <w:t>"</w:t>
      </w:r>
      <w:r w:rsidR="00012C6F" w:rsidRPr="001923E0">
        <w:rPr>
          <w:bCs/>
        </w:rPr>
        <w:t>This Regulation also does not cover supply lines for additional TPRDs made of materials other than metal until specific requirements for such materials have been defined.</w:t>
      </w:r>
      <w:r>
        <w:rPr>
          <w:bCs/>
        </w:rPr>
        <w:t>"</w:t>
      </w:r>
    </w:p>
    <w:p w14:paraId="1A849937" w14:textId="1D7F2B8E" w:rsidR="00012C6F" w:rsidRPr="006B6FDC" w:rsidRDefault="00012C6F" w:rsidP="007A22C4">
      <w:pPr>
        <w:keepNext/>
        <w:spacing w:after="120"/>
        <w:ind w:left="1134" w:right="1134"/>
        <w:jc w:val="both"/>
      </w:pPr>
      <w:r w:rsidRPr="006B6FDC">
        <w:rPr>
          <w:i/>
          <w:iCs/>
        </w:rPr>
        <w:t>Paragraph 2.1.,</w:t>
      </w:r>
      <w:r w:rsidRPr="006B6FDC">
        <w:t xml:space="preserve"> </w:t>
      </w:r>
      <w:r w:rsidR="006B1762">
        <w:t xml:space="preserve">replace the existing </w:t>
      </w:r>
      <w:r w:rsidR="006B1762" w:rsidRPr="007A22C4">
        <w:rPr>
          <w:bCs/>
          <w:iCs/>
        </w:rPr>
        <w:t>paragraph</w:t>
      </w:r>
      <w:r w:rsidR="006B1762">
        <w:t xml:space="preserve"> by</w:t>
      </w:r>
      <w:r w:rsidRPr="006B6FDC">
        <w:t>:</w:t>
      </w:r>
    </w:p>
    <w:p w14:paraId="6BF69165" w14:textId="357784E9" w:rsidR="00012C6F" w:rsidRPr="006B1762" w:rsidRDefault="00732857" w:rsidP="00012C6F">
      <w:pPr>
        <w:spacing w:after="120"/>
        <w:ind w:left="2268" w:right="1134" w:hanging="1134"/>
        <w:jc w:val="both"/>
        <w:rPr>
          <w:lang w:eastAsia="ja-JP"/>
        </w:rPr>
      </w:pPr>
      <w:r>
        <w:rPr>
          <w:lang w:eastAsia="ja-JP"/>
        </w:rPr>
        <w:t>"</w:t>
      </w:r>
      <w:r w:rsidR="00012C6F" w:rsidRPr="006B1762">
        <w:rPr>
          <w:lang w:eastAsia="ja-JP"/>
        </w:rPr>
        <w:t>2.1.</w:t>
      </w:r>
      <w:r w:rsidR="00012C6F" w:rsidRPr="006B1762">
        <w:rPr>
          <w:lang w:eastAsia="ja-JP"/>
        </w:rPr>
        <w:tab/>
      </w:r>
      <w:r w:rsidR="00BA0164">
        <w:rPr>
          <w:i/>
          <w:iCs/>
          <w:lang w:eastAsia="ja-JP"/>
        </w:rPr>
        <w:t>'</w:t>
      </w:r>
      <w:r w:rsidR="001923E0" w:rsidRPr="006B1762">
        <w:rPr>
          <w:i/>
          <w:lang w:eastAsia="ja-JP"/>
        </w:rPr>
        <w:t>Appropriate</w:t>
      </w:r>
      <w:r w:rsidR="00012C6F" w:rsidRPr="006B1762">
        <w:rPr>
          <w:i/>
          <w:lang w:val="en-US" w:eastAsia="ja-JP"/>
        </w:rPr>
        <w:t xml:space="preserve"> adaptor</w:t>
      </w:r>
      <w:r w:rsidR="00BA0164">
        <w:rPr>
          <w:i/>
          <w:lang w:val="en-US" w:eastAsia="ja-JP"/>
        </w:rPr>
        <w:t>'</w:t>
      </w:r>
      <w:r w:rsidR="00012C6F" w:rsidRPr="006B1762">
        <w:rPr>
          <w:lang w:val="en-US" w:eastAsia="ja-JP"/>
        </w:rPr>
        <w:t xml:space="preserve"> means a </w:t>
      </w:r>
      <w:r w:rsidR="00012C6F" w:rsidRPr="006B1762">
        <w:rPr>
          <w:lang w:eastAsia="ja-JP"/>
        </w:rPr>
        <w:t>test component that substitutes for the container valve or end plug and includes an outlet with the proper fitting size and geometry to connect the supply line to the additional TPRD.</w:t>
      </w:r>
      <w:r w:rsidR="00BA0164">
        <w:rPr>
          <w:lang w:eastAsia="ja-JP"/>
        </w:rPr>
        <w:t>"</w:t>
      </w:r>
    </w:p>
    <w:p w14:paraId="1A1BE3C7" w14:textId="3A708705" w:rsidR="00012C6F" w:rsidRPr="003A548B" w:rsidRDefault="00012C6F" w:rsidP="007A22C4">
      <w:pPr>
        <w:keepNext/>
        <w:spacing w:after="120"/>
        <w:ind w:left="1134" w:right="1134"/>
        <w:jc w:val="both"/>
      </w:pPr>
      <w:r w:rsidRPr="006B6FDC">
        <w:rPr>
          <w:i/>
          <w:iCs/>
        </w:rPr>
        <w:t>Paragraph 2.3.,</w:t>
      </w:r>
      <w:r w:rsidR="0022621F">
        <w:t xml:space="preserve"> a</w:t>
      </w:r>
      <w:r w:rsidR="003A548B" w:rsidRPr="003A548B">
        <w:t xml:space="preserve">fter </w:t>
      </w:r>
      <w:r w:rsidR="008F0E43">
        <w:t>"</w:t>
      </w:r>
      <w:r w:rsidR="003A548B" w:rsidRPr="003A548B">
        <w:t>(if any)</w:t>
      </w:r>
      <w:r w:rsidR="008F0E43">
        <w:t>"</w:t>
      </w:r>
      <w:r w:rsidR="003A548B" w:rsidRPr="003A548B">
        <w:t xml:space="preserve">, add </w:t>
      </w:r>
      <w:r w:rsidR="008F0E43">
        <w:t>"</w:t>
      </w:r>
      <w:r w:rsidR="005A17C5">
        <w:t xml:space="preserve">, </w:t>
      </w:r>
      <w:r w:rsidRPr="003A548B">
        <w:t xml:space="preserve">supply lines for additional </w:t>
      </w:r>
      <w:r w:rsidR="008C7B57">
        <w:t>TPRDs</w:t>
      </w:r>
      <w:r w:rsidRPr="003A548B">
        <w:t xml:space="preserve"> (if any)</w:t>
      </w:r>
      <w:r w:rsidR="008F0E43">
        <w:t>"</w:t>
      </w:r>
      <w:r w:rsidR="00C327FF">
        <w:t>.</w:t>
      </w:r>
    </w:p>
    <w:p w14:paraId="3AFE0191" w14:textId="5DC8A5B0" w:rsidR="00012C6F" w:rsidRPr="006B6FDC" w:rsidRDefault="00012C6F" w:rsidP="007A22C4">
      <w:pPr>
        <w:keepNext/>
        <w:spacing w:after="120"/>
        <w:ind w:left="1134" w:right="1134"/>
        <w:jc w:val="both"/>
      </w:pPr>
      <w:r w:rsidRPr="006B6FDC">
        <w:rPr>
          <w:i/>
          <w:iCs/>
        </w:rPr>
        <w:t xml:space="preserve">Paragraph 2.5., </w:t>
      </w:r>
      <w:r w:rsidR="007D46A1" w:rsidRPr="0022621F">
        <w:t xml:space="preserve">at the end, </w:t>
      </w:r>
      <w:r w:rsidR="007D46A1" w:rsidRPr="007A22C4">
        <w:t>add</w:t>
      </w:r>
      <w:r w:rsidR="007D46A1">
        <w:t xml:space="preserve"> a new paragraph to read</w:t>
      </w:r>
      <w:r w:rsidRPr="006B6FDC">
        <w:t>:</w:t>
      </w:r>
    </w:p>
    <w:p w14:paraId="2C72ED8E" w14:textId="1F8478BA" w:rsidR="00012C6F" w:rsidRPr="007D46A1" w:rsidRDefault="008F0E43" w:rsidP="007D46A1">
      <w:pPr>
        <w:spacing w:after="120"/>
        <w:ind w:left="1134" w:right="1134"/>
        <w:jc w:val="both"/>
      </w:pPr>
      <w:r>
        <w:t>"</w:t>
      </w:r>
      <w:r w:rsidR="00012C6F" w:rsidRPr="007D46A1">
        <w:rPr>
          <w:i/>
          <w:iCs/>
        </w:rPr>
        <w:t>Note</w:t>
      </w:r>
      <w:r w:rsidR="00012C6F" w:rsidRPr="007D46A1">
        <w:t>: The non-pressure bearing parts attached to the container, that provide additional support or protection to additional TPRDs and their supply lines, are also considered as container attachments.</w:t>
      </w:r>
      <w:r>
        <w:t>"</w:t>
      </w:r>
    </w:p>
    <w:p w14:paraId="7CA8412E" w14:textId="1E36EE0B" w:rsidR="00012C6F" w:rsidRPr="00336D30" w:rsidRDefault="00012C6F" w:rsidP="007A22C4">
      <w:pPr>
        <w:keepNext/>
        <w:spacing w:after="120"/>
        <w:ind w:left="1134" w:right="1134"/>
        <w:jc w:val="both"/>
      </w:pPr>
      <w:r w:rsidRPr="00336D30">
        <w:rPr>
          <w:i/>
          <w:iCs/>
        </w:rPr>
        <w:t>Paragraph 2.29.,</w:t>
      </w:r>
      <w:r w:rsidRPr="00336D30">
        <w:rPr>
          <w:iCs/>
        </w:rPr>
        <w:t xml:space="preserve"> </w:t>
      </w:r>
      <w:r w:rsidR="00780C59" w:rsidRPr="00336D30">
        <w:rPr>
          <w:iCs/>
        </w:rPr>
        <w:t xml:space="preserve">in (c), </w:t>
      </w:r>
      <w:r w:rsidR="00780C59" w:rsidRPr="007A22C4">
        <w:rPr>
          <w:bCs/>
          <w:iCs/>
        </w:rPr>
        <w:t>after</w:t>
      </w:r>
      <w:r w:rsidR="00780C59" w:rsidRPr="00336D30">
        <w:rPr>
          <w:iCs/>
        </w:rPr>
        <w:t xml:space="preserve"> </w:t>
      </w:r>
      <w:r w:rsidR="008F0E43">
        <w:rPr>
          <w:iCs/>
        </w:rPr>
        <w:t>"</w:t>
      </w:r>
      <w:r w:rsidR="00780C59" w:rsidRPr="00336D30">
        <w:rPr>
          <w:iCs/>
        </w:rPr>
        <w:t>(T)PRD</w:t>
      </w:r>
      <w:r w:rsidR="008F0E43">
        <w:rPr>
          <w:iCs/>
        </w:rPr>
        <w:t>"</w:t>
      </w:r>
      <w:r w:rsidR="00336D30" w:rsidRPr="00336D30">
        <w:rPr>
          <w:iCs/>
        </w:rPr>
        <w:t xml:space="preserve">, add </w:t>
      </w:r>
      <w:r w:rsidR="008F0E43">
        <w:rPr>
          <w:iCs/>
        </w:rPr>
        <w:t>"</w:t>
      </w:r>
      <w:r w:rsidR="005C5BF2">
        <w:rPr>
          <w:iCs/>
        </w:rPr>
        <w:t xml:space="preserve">, </w:t>
      </w:r>
      <w:r w:rsidRPr="00336D30">
        <w:rPr>
          <w:lang w:val="en-US"/>
        </w:rPr>
        <w:t>supply lines for additional TPRDs</w:t>
      </w:r>
      <w:r w:rsidR="008F0E43">
        <w:rPr>
          <w:lang w:val="en-US"/>
        </w:rPr>
        <w:t>"</w:t>
      </w:r>
      <w:r w:rsidR="00336D30" w:rsidRPr="00336D30">
        <w:rPr>
          <w:lang w:val="en-US"/>
        </w:rPr>
        <w:t>.</w:t>
      </w:r>
    </w:p>
    <w:p w14:paraId="5DD9873B" w14:textId="18398FA8" w:rsidR="00012C6F" w:rsidRPr="006B6FDC" w:rsidRDefault="00012C6F" w:rsidP="007A22C4">
      <w:pPr>
        <w:keepNext/>
        <w:spacing w:after="120"/>
        <w:ind w:left="1134" w:right="1134"/>
        <w:jc w:val="both"/>
      </w:pPr>
      <w:r w:rsidRPr="006B6FDC">
        <w:rPr>
          <w:i/>
        </w:rPr>
        <w:t>Paragraph</w:t>
      </w:r>
      <w:r w:rsidRPr="006B6FDC">
        <w:rPr>
          <w:i/>
          <w:lang w:eastAsia="ja-JP"/>
        </w:rPr>
        <w:t xml:space="preserve"> 5.,</w:t>
      </w:r>
      <w:r w:rsidRPr="0011522A">
        <w:rPr>
          <w:iCs/>
          <w:lang w:eastAsia="ja-JP"/>
        </w:rPr>
        <w:t xml:space="preserve"> </w:t>
      </w:r>
      <w:r w:rsidRPr="0011522A">
        <w:rPr>
          <w:iCs/>
        </w:rPr>
        <w:t xml:space="preserve">amend </w:t>
      </w:r>
      <w:r w:rsidR="0011522A" w:rsidRPr="0011522A">
        <w:rPr>
          <w:iCs/>
          <w:lang w:eastAsia="ja-JP"/>
        </w:rPr>
        <w:t xml:space="preserve">(b) and (c) </w:t>
      </w:r>
      <w:r w:rsidRPr="0011522A">
        <w:rPr>
          <w:iCs/>
        </w:rPr>
        <w:t>to read:</w:t>
      </w:r>
    </w:p>
    <w:p w14:paraId="4C3003F8" w14:textId="6E24EFCB" w:rsidR="00012C6F" w:rsidRPr="0065110C" w:rsidRDefault="00115D77" w:rsidP="005D184A">
      <w:pPr>
        <w:spacing w:after="120"/>
        <w:ind w:left="2268" w:right="1134" w:hanging="1134"/>
        <w:jc w:val="both"/>
        <w:rPr>
          <w:bCs/>
        </w:rPr>
      </w:pPr>
      <w:r>
        <w:rPr>
          <w:bCs/>
        </w:rPr>
        <w:t>"</w:t>
      </w:r>
      <w:r w:rsidR="00012C6F" w:rsidRPr="0065110C">
        <w:rPr>
          <w:bCs/>
        </w:rPr>
        <w:t>(b)</w:t>
      </w:r>
      <w:r w:rsidR="00012C6F" w:rsidRPr="0065110C">
        <w:rPr>
          <w:bCs/>
        </w:rPr>
        <w:tab/>
        <w:t>The primary closure devices shall be mounted directly on or within each container. If needed, manufacturers may choose to locate additional TPRDs in alternative locations on the container. However, any high-pressure supply lines for such additional TPRDs shall have demonstrated mechanical integrity and durability as part of qualification tests for the container (</w:t>
      </w:r>
      <w:r w:rsidR="00012C6F" w:rsidRPr="0065110C">
        <w:rPr>
          <w:bCs/>
          <w:lang w:eastAsia="en-GB"/>
        </w:rPr>
        <w:t xml:space="preserve">verification tests for baseline metrics in paragraph 5.1., </w:t>
      </w:r>
      <w:r w:rsidR="00012C6F" w:rsidRPr="0065110C">
        <w:rPr>
          <w:bCs/>
        </w:rPr>
        <w:t xml:space="preserve">hydraulic sequential test in paragraph 5.2. excluding the drop test; see Annex 9 </w:t>
      </w:r>
      <w:r w:rsidR="003C38B1">
        <w:rPr>
          <w:bCs/>
        </w:rPr>
        <w:t>—</w:t>
      </w:r>
      <w:r w:rsidR="00012C6F" w:rsidRPr="0065110C">
        <w:rPr>
          <w:bCs/>
        </w:rPr>
        <w:t xml:space="preserve"> </w:t>
      </w:r>
      <w:r w:rsidR="00012C6F" w:rsidRPr="0065110C">
        <w:rPr>
          <w:bCs/>
          <w:lang w:eastAsia="ja-JP"/>
        </w:rPr>
        <w:t>Description of test articles for performance requirements in paragraphs 5.1. to 5.4.)</w:t>
      </w:r>
      <w:r w:rsidR="00012C6F" w:rsidRPr="0065110C">
        <w:rPr>
          <w:bCs/>
        </w:rPr>
        <w:t xml:space="preserve">. </w:t>
      </w:r>
    </w:p>
    <w:p w14:paraId="6915244C" w14:textId="1F499964" w:rsidR="00012C6F" w:rsidRPr="0065110C" w:rsidRDefault="00012C6F" w:rsidP="005D184A">
      <w:pPr>
        <w:spacing w:after="120"/>
        <w:ind w:left="2268" w:right="1134" w:hanging="1134"/>
        <w:jc w:val="both"/>
        <w:rPr>
          <w:bCs/>
        </w:rPr>
      </w:pPr>
      <w:r w:rsidRPr="0065110C">
        <w:rPr>
          <w:bCs/>
        </w:rPr>
        <w:t>(c)</w:t>
      </w:r>
      <w:r w:rsidR="005D184A" w:rsidRPr="0065110C">
        <w:rPr>
          <w:bCs/>
        </w:rPr>
        <w:tab/>
      </w:r>
      <w:r w:rsidRPr="0065110C">
        <w:rPr>
          <w:bCs/>
        </w:rPr>
        <w:t>The CHSS shall meet the performance test requirements specified in paragraphs 5.1. to 5.5. and summarized in Table 2. The corresponding test procedures are specified in Annex 3 and Annex 4;</w:t>
      </w:r>
    </w:p>
    <w:p w14:paraId="6B1E6454" w14:textId="1A102986" w:rsidR="00012C6F" w:rsidRPr="0065110C" w:rsidRDefault="00012C6F" w:rsidP="005D184A">
      <w:pPr>
        <w:spacing w:after="120"/>
        <w:ind w:left="2268" w:right="1134" w:hanging="1134"/>
        <w:jc w:val="both"/>
        <w:rPr>
          <w:bCs/>
        </w:rPr>
      </w:pPr>
      <w:r w:rsidRPr="0065110C">
        <w:rPr>
          <w:bCs/>
        </w:rPr>
        <w:tab/>
      </w:r>
      <w:r w:rsidRPr="0065110C">
        <w:rPr>
          <w:bCs/>
          <w:i/>
          <w:iCs/>
        </w:rPr>
        <w:t>Note</w:t>
      </w:r>
      <w:r w:rsidRPr="0065110C">
        <w:rPr>
          <w:bCs/>
        </w:rPr>
        <w:t xml:space="preserve">: </w:t>
      </w:r>
      <w:r w:rsidRPr="0065110C">
        <w:rPr>
          <w:bCs/>
        </w:rPr>
        <w:tab/>
        <w:t>The post-crash fuel system integrity requirements in paragraph 7.2. also apply to supply lines for additional TPRDs.</w:t>
      </w:r>
      <w:r w:rsidR="00115D77">
        <w:rPr>
          <w:bCs/>
        </w:rPr>
        <w:t>"</w:t>
      </w:r>
    </w:p>
    <w:p w14:paraId="58484341" w14:textId="2C672CC2" w:rsidR="00E07728" w:rsidRDefault="00012C6F" w:rsidP="006F1CC9">
      <w:pPr>
        <w:pStyle w:val="SingleTxtG"/>
      </w:pPr>
      <w:r w:rsidRPr="006B6FDC">
        <w:rPr>
          <w:i/>
        </w:rPr>
        <w:t>Paragraph</w:t>
      </w:r>
      <w:r w:rsidRPr="006B6FDC">
        <w:rPr>
          <w:i/>
          <w:lang w:eastAsia="ja-JP"/>
        </w:rPr>
        <w:t xml:space="preserve"> 5.,</w:t>
      </w:r>
      <w:r w:rsidR="0065110C">
        <w:rPr>
          <w:i/>
          <w:lang w:eastAsia="ja-JP"/>
        </w:rPr>
        <w:t>t</w:t>
      </w:r>
      <w:r w:rsidRPr="006B6FDC">
        <w:rPr>
          <w:i/>
        </w:rPr>
        <w:t>able 2</w:t>
      </w:r>
      <w:r w:rsidRPr="006B6FDC">
        <w:rPr>
          <w:i/>
          <w:lang w:eastAsia="ja-JP"/>
        </w:rPr>
        <w:t xml:space="preserve">, </w:t>
      </w:r>
      <w:r w:rsidR="006F1CC9" w:rsidRPr="006F1CC9">
        <w:rPr>
          <w:iCs/>
          <w:lang w:eastAsia="ja-JP"/>
        </w:rPr>
        <w:t xml:space="preserve">in the first two rows, </w:t>
      </w:r>
      <w:r w:rsidRPr="006B6FDC">
        <w:rPr>
          <w:iCs/>
        </w:rPr>
        <w:t xml:space="preserve">amend </w:t>
      </w:r>
      <w:r w:rsidR="006F1CC9">
        <w:rPr>
          <w:iCs/>
        </w:rPr>
        <w:t xml:space="preserve">column </w:t>
      </w:r>
      <w:r w:rsidR="00115D77">
        <w:rPr>
          <w:iCs/>
        </w:rPr>
        <w:t>"</w:t>
      </w:r>
      <w:r w:rsidR="006F1CC9">
        <w:rPr>
          <w:iCs/>
        </w:rPr>
        <w:t>Test article</w:t>
      </w:r>
      <w:r w:rsidR="00115D77">
        <w:rPr>
          <w:iCs/>
        </w:rPr>
        <w:t>"</w:t>
      </w:r>
      <w:r w:rsidR="006F1CC9">
        <w:rPr>
          <w:iCs/>
        </w:rPr>
        <w:t xml:space="preserve"> </w:t>
      </w:r>
      <w:r w:rsidRPr="006B6FDC">
        <w:t>to read</w:t>
      </w:r>
      <w:r w:rsidR="006F1CC9">
        <w:t xml:space="preserve"> </w:t>
      </w:r>
      <w:r w:rsidR="00032A95">
        <w:t>"</w:t>
      </w:r>
      <w:r w:rsidR="006F1CC9" w:rsidRPr="006F1CC9">
        <w:t>Container or container plus container attachments</w:t>
      </w:r>
      <w:r w:rsidR="000C3985">
        <w:t>,</w:t>
      </w:r>
      <w:r w:rsidR="006F1CC9" w:rsidRPr="006F1CC9">
        <w:t xml:space="preserve"> and supply lines for additional TPRDs</w:t>
      </w:r>
      <w:r w:rsidR="006F1CC9" w:rsidRPr="006F1CC9">
        <w:rPr>
          <w:vertAlign w:val="superscript"/>
        </w:rPr>
        <w:t>4</w:t>
      </w:r>
      <w:r w:rsidR="006F1CC9" w:rsidRPr="006F1CC9">
        <w:t>, as applicable</w:t>
      </w:r>
      <w:r w:rsidR="00032A95">
        <w:t>"</w:t>
      </w:r>
      <w:r w:rsidR="006F1CC9">
        <w:t>.</w:t>
      </w:r>
    </w:p>
    <w:p w14:paraId="6DCDF6C1" w14:textId="35636E62" w:rsidR="00E72F25" w:rsidRDefault="00E07728" w:rsidP="006F1CC9">
      <w:pPr>
        <w:pStyle w:val="SingleTxtG"/>
      </w:pPr>
      <w:r w:rsidRPr="00E72F25">
        <w:rPr>
          <w:i/>
          <w:iCs/>
        </w:rPr>
        <w:t>Paragraph</w:t>
      </w:r>
      <w:r w:rsidR="00E72F25" w:rsidRPr="00E72F25">
        <w:rPr>
          <w:i/>
          <w:iCs/>
        </w:rPr>
        <w:t xml:space="preserve"> 5.,</w:t>
      </w:r>
      <w:r w:rsidR="00E72F25">
        <w:t xml:space="preserve"> add</w:t>
      </w:r>
      <w:r w:rsidR="006F1CC9">
        <w:t xml:space="preserve"> a new footnote 4 to read</w:t>
      </w:r>
      <w:r w:rsidR="00E72F25">
        <w:t>:</w:t>
      </w:r>
    </w:p>
    <w:p w14:paraId="2A61D593" w14:textId="0A0534B6" w:rsidR="00012C6F" w:rsidRPr="006F1CC9" w:rsidRDefault="00032A95" w:rsidP="006F1CC9">
      <w:pPr>
        <w:pStyle w:val="SingleTxtG"/>
      </w:pPr>
      <w:r>
        <w:rPr>
          <w:lang w:eastAsia="ja-JP"/>
        </w:rPr>
        <w:t>"</w:t>
      </w:r>
      <w:r w:rsidR="00012C6F" w:rsidRPr="006F1CC9">
        <w:rPr>
          <w:rFonts w:hint="eastAsia"/>
          <w:vertAlign w:val="superscript"/>
          <w:lang w:eastAsia="ja-JP"/>
        </w:rPr>
        <w:t>4</w:t>
      </w:r>
      <w:r w:rsidR="00D036A5">
        <w:tab/>
      </w:r>
      <w:r w:rsidR="00012C6F" w:rsidRPr="006F1CC9">
        <w:t xml:space="preserve">For detailed requirements on supply lines for additional TPRDs see Annex 9 – </w:t>
      </w:r>
      <w:r w:rsidR="00012C6F" w:rsidRPr="006F1CC9">
        <w:rPr>
          <w:lang w:eastAsia="ja-JP"/>
        </w:rPr>
        <w:t>Description of test articles for performance requirements in paragraphs 5.1. to 5.4.</w:t>
      </w:r>
      <w:r>
        <w:rPr>
          <w:lang w:eastAsia="ja-JP"/>
        </w:rPr>
        <w:t>"</w:t>
      </w:r>
      <w:r w:rsidR="006F1CC9">
        <w:rPr>
          <w:lang w:eastAsia="ja-JP"/>
        </w:rPr>
        <w:t>.</w:t>
      </w:r>
    </w:p>
    <w:p w14:paraId="0A4B1F2E" w14:textId="66D42239" w:rsidR="00D04356" w:rsidRPr="00D04356" w:rsidRDefault="00D04356" w:rsidP="00D04356">
      <w:pPr>
        <w:pStyle w:val="SingleTxtG"/>
        <w:rPr>
          <w:iCs/>
        </w:rPr>
      </w:pPr>
      <w:r w:rsidRPr="00D04356">
        <w:rPr>
          <w:i/>
        </w:rPr>
        <w:t>Paragraph</w:t>
      </w:r>
      <w:r w:rsidR="00665192">
        <w:rPr>
          <w:i/>
        </w:rPr>
        <w:t>s</w:t>
      </w:r>
      <w:r w:rsidRPr="00D04356">
        <w:rPr>
          <w:i/>
          <w:lang w:eastAsia="ja-JP"/>
        </w:rPr>
        <w:t xml:space="preserve"> 5.1.1.</w:t>
      </w:r>
      <w:r w:rsidR="003275F4">
        <w:rPr>
          <w:i/>
          <w:lang w:eastAsia="ja-JP"/>
        </w:rPr>
        <w:t xml:space="preserve"> and 5.1.2.</w:t>
      </w:r>
      <w:r w:rsidRPr="00D04356">
        <w:rPr>
          <w:i/>
          <w:lang w:eastAsia="ja-JP"/>
        </w:rPr>
        <w:t xml:space="preserve">, </w:t>
      </w:r>
      <w:r w:rsidRPr="00D04356">
        <w:rPr>
          <w:iCs/>
        </w:rPr>
        <w:t>first sentence</w:t>
      </w:r>
      <w:r w:rsidR="005414CF">
        <w:rPr>
          <w:iCs/>
        </w:rPr>
        <w:t>s</w:t>
      </w:r>
      <w:r w:rsidR="003275F4">
        <w:rPr>
          <w:iCs/>
        </w:rPr>
        <w:t xml:space="preserve"> after the heading</w:t>
      </w:r>
      <w:r w:rsidR="00753472">
        <w:rPr>
          <w:iCs/>
        </w:rPr>
        <w:t>s</w:t>
      </w:r>
      <w:r w:rsidRPr="00D04356">
        <w:rPr>
          <w:iCs/>
        </w:rPr>
        <w:t xml:space="preserve">, after </w:t>
      </w:r>
      <w:r w:rsidR="00032A95">
        <w:rPr>
          <w:iCs/>
        </w:rPr>
        <w:t>"</w:t>
      </w:r>
      <w:r w:rsidRPr="00D04356">
        <w:t>Three (3) containers</w:t>
      </w:r>
      <w:r w:rsidR="00032A95">
        <w:t>"</w:t>
      </w:r>
      <w:r w:rsidRPr="00D04356">
        <w:t xml:space="preserve">, add </w:t>
      </w:r>
      <w:r w:rsidR="00114D3B">
        <w:t>"</w:t>
      </w:r>
      <w:r w:rsidRPr="00D04356">
        <w:t>(as well as supply lines for additional TPRDs (if any) through appropriate adaptors)</w:t>
      </w:r>
      <w:r w:rsidR="00114D3B">
        <w:rPr>
          <w:iCs/>
        </w:rPr>
        <w:t>"</w:t>
      </w:r>
      <w:r w:rsidRPr="00D04356">
        <w:rPr>
          <w:iCs/>
        </w:rPr>
        <w:t>.</w:t>
      </w:r>
    </w:p>
    <w:p w14:paraId="054B620E" w14:textId="1D63C0BF" w:rsidR="00012C6F" w:rsidRPr="006B6FDC" w:rsidRDefault="00012C6F" w:rsidP="00012C6F">
      <w:pPr>
        <w:pStyle w:val="SingleTxtG"/>
      </w:pPr>
      <w:r w:rsidRPr="006B6FDC">
        <w:rPr>
          <w:i/>
        </w:rPr>
        <w:t>Paragraph</w:t>
      </w:r>
      <w:r w:rsidRPr="006B6FDC">
        <w:rPr>
          <w:i/>
          <w:lang w:eastAsia="ja-JP"/>
        </w:rPr>
        <w:t xml:space="preserve"> 5.2.</w:t>
      </w:r>
      <w:r w:rsidR="004B5F46">
        <w:rPr>
          <w:i/>
          <w:lang w:eastAsia="ja-JP"/>
        </w:rPr>
        <w:t>,</w:t>
      </w:r>
      <w:r w:rsidR="004B5F46">
        <w:rPr>
          <w:iCs/>
          <w:lang w:eastAsia="ja-JP"/>
        </w:rPr>
        <w:t xml:space="preserve"> second paragraph</w:t>
      </w:r>
      <w:r w:rsidRPr="006B6FDC">
        <w:rPr>
          <w:i/>
          <w:lang w:eastAsia="ja-JP"/>
        </w:rPr>
        <w:t xml:space="preserve">, </w:t>
      </w:r>
      <w:r w:rsidRPr="006B6FDC">
        <w:rPr>
          <w:iCs/>
        </w:rPr>
        <w:t xml:space="preserve">amend </w:t>
      </w:r>
      <w:r w:rsidRPr="006B6FDC">
        <w:t>to read:</w:t>
      </w:r>
    </w:p>
    <w:p w14:paraId="4973C101" w14:textId="577BC61D" w:rsidR="00012C6F" w:rsidRPr="007D47B0" w:rsidRDefault="00114D3B" w:rsidP="007D47B0">
      <w:pPr>
        <w:spacing w:after="120"/>
        <w:ind w:left="1134" w:right="1134"/>
        <w:jc w:val="both"/>
        <w:rPr>
          <w:iCs/>
        </w:rPr>
      </w:pPr>
      <w:r>
        <w:rPr>
          <w:lang w:eastAsia="ja-JP"/>
        </w:rPr>
        <w:t>"</w:t>
      </w:r>
      <w:r w:rsidR="00012C6F" w:rsidRPr="007D47B0">
        <w:rPr>
          <w:rFonts w:cs="Arial"/>
          <w:lang w:eastAsia="ja-JP"/>
        </w:rPr>
        <w:t>Unless otherwise specified, the tests in paragraph 5.2. shall be conducted on the container equipped with its container attachments (if any) as well as supply lines for additional TPRDs (if any) through appropriate adaptors that represent the CHSS without the primary closures. At the discretion of the Technical Service and the Type Approval Authority, for such supply lines the worst-case approach may be applied, e.g., longest lines, largest diameter, smallest bend radius and highest number of fittings.</w:t>
      </w:r>
      <w:r>
        <w:rPr>
          <w:lang w:eastAsia="ja-JP"/>
        </w:rPr>
        <w:t>"</w:t>
      </w:r>
    </w:p>
    <w:p w14:paraId="7531CE55" w14:textId="4671E40A" w:rsidR="00665192" w:rsidRPr="00D04356" w:rsidRDefault="00665192" w:rsidP="00665192">
      <w:pPr>
        <w:pStyle w:val="SingleTxtG"/>
        <w:rPr>
          <w:iCs/>
        </w:rPr>
      </w:pPr>
      <w:r w:rsidRPr="00D04356">
        <w:rPr>
          <w:i/>
        </w:rPr>
        <w:t>Paragraph</w:t>
      </w:r>
      <w:r w:rsidRPr="00D04356">
        <w:rPr>
          <w:i/>
          <w:lang w:eastAsia="ja-JP"/>
        </w:rPr>
        <w:t xml:space="preserve"> 5.</w:t>
      </w:r>
      <w:r>
        <w:rPr>
          <w:i/>
          <w:lang w:eastAsia="ja-JP"/>
        </w:rPr>
        <w:t>2.1.</w:t>
      </w:r>
      <w:r w:rsidRPr="00D04356">
        <w:rPr>
          <w:i/>
          <w:lang w:eastAsia="ja-JP"/>
        </w:rPr>
        <w:t>,</w:t>
      </w:r>
      <w:r w:rsidRPr="0085656C">
        <w:rPr>
          <w:iCs/>
          <w:lang w:eastAsia="ja-JP"/>
        </w:rPr>
        <w:t xml:space="preserve"> </w:t>
      </w:r>
      <w:r>
        <w:rPr>
          <w:iCs/>
        </w:rPr>
        <w:t>second</w:t>
      </w:r>
      <w:r w:rsidRPr="00D04356">
        <w:rPr>
          <w:iCs/>
        </w:rPr>
        <w:t xml:space="preserve"> sentence</w:t>
      </w:r>
      <w:r>
        <w:rPr>
          <w:iCs/>
        </w:rPr>
        <w:t xml:space="preserve"> after the heading</w:t>
      </w:r>
      <w:r w:rsidRPr="00D04356">
        <w:rPr>
          <w:iCs/>
        </w:rPr>
        <w:t xml:space="preserve">, after </w:t>
      </w:r>
      <w:r w:rsidR="00114D3B">
        <w:rPr>
          <w:iCs/>
        </w:rPr>
        <w:t>"</w:t>
      </w:r>
      <w:r w:rsidR="008239BE">
        <w:t>if any</w:t>
      </w:r>
      <w:r w:rsidR="00114D3B">
        <w:t>"</w:t>
      </w:r>
      <w:r w:rsidRPr="00D04356">
        <w:t xml:space="preserve">, add </w:t>
      </w:r>
      <w:r w:rsidR="00114D3B">
        <w:t>"</w:t>
      </w:r>
      <w:r w:rsidR="005A17C5">
        <w:t xml:space="preserve">, </w:t>
      </w:r>
      <w:r w:rsidRPr="00D04356">
        <w:t>as well as supply lines for additional TPRDs (if any) through appropriate adaptors</w:t>
      </w:r>
      <w:r w:rsidR="00114D3B">
        <w:rPr>
          <w:iCs/>
        </w:rPr>
        <w:t>"</w:t>
      </w:r>
      <w:r w:rsidRPr="00D04356">
        <w:rPr>
          <w:iCs/>
        </w:rPr>
        <w:t>.</w:t>
      </w:r>
    </w:p>
    <w:p w14:paraId="03C0C60D" w14:textId="4159F04C" w:rsidR="008239BE" w:rsidRPr="006B6FDC" w:rsidRDefault="008239BE" w:rsidP="0079310D">
      <w:pPr>
        <w:keepNext/>
        <w:spacing w:after="120"/>
        <w:ind w:left="1134" w:right="1134"/>
        <w:jc w:val="both"/>
      </w:pPr>
      <w:r w:rsidRPr="006B6FDC">
        <w:rPr>
          <w:i/>
        </w:rPr>
        <w:t>Paragraph</w:t>
      </w:r>
      <w:r w:rsidRPr="006B6FDC">
        <w:rPr>
          <w:i/>
          <w:lang w:eastAsia="ja-JP"/>
        </w:rPr>
        <w:t xml:space="preserve"> 5.2</w:t>
      </w:r>
      <w:r>
        <w:rPr>
          <w:i/>
          <w:lang w:eastAsia="ja-JP"/>
        </w:rPr>
        <w:t>.2</w:t>
      </w:r>
      <w:r w:rsidRPr="006B6FDC">
        <w:rPr>
          <w:i/>
          <w:lang w:eastAsia="ja-JP"/>
        </w:rPr>
        <w:t>.</w:t>
      </w:r>
      <w:r>
        <w:rPr>
          <w:i/>
          <w:lang w:eastAsia="ja-JP"/>
        </w:rPr>
        <w:t>,</w:t>
      </w:r>
      <w:r>
        <w:rPr>
          <w:iCs/>
          <w:lang w:eastAsia="ja-JP"/>
        </w:rPr>
        <w:t xml:space="preserve"> </w:t>
      </w:r>
      <w:r w:rsidRPr="007A22C4">
        <w:t>amend</w:t>
      </w:r>
      <w:r w:rsidRPr="006B6FDC">
        <w:rPr>
          <w:iCs/>
        </w:rPr>
        <w:t xml:space="preserve"> </w:t>
      </w:r>
      <w:r w:rsidRPr="006B6FDC">
        <w:t>to read:</w:t>
      </w:r>
    </w:p>
    <w:p w14:paraId="5817CB09" w14:textId="1A46217C" w:rsidR="00012C6F" w:rsidRPr="00232123" w:rsidRDefault="006E65F6" w:rsidP="0079310D">
      <w:pPr>
        <w:keepNext/>
        <w:spacing w:after="120"/>
        <w:ind w:left="2268" w:right="1134" w:hanging="1134"/>
        <w:jc w:val="both"/>
        <w:rPr>
          <w:lang w:eastAsia="ja-JP"/>
        </w:rPr>
      </w:pPr>
      <w:r>
        <w:t>"</w:t>
      </w:r>
      <w:r w:rsidR="00012C6F" w:rsidRPr="00232123">
        <w:t>5.2.2.</w:t>
      </w:r>
      <w:r w:rsidR="00012C6F" w:rsidRPr="00232123">
        <w:tab/>
        <w:t>Drop (impact) test</w:t>
      </w:r>
    </w:p>
    <w:p w14:paraId="23D4FBB4" w14:textId="77777777" w:rsidR="00012C6F" w:rsidRPr="00232123" w:rsidRDefault="00012C6F" w:rsidP="00012C6F">
      <w:pPr>
        <w:spacing w:after="120"/>
        <w:ind w:left="2268" w:right="1134"/>
        <w:jc w:val="both"/>
      </w:pPr>
      <w:r w:rsidRPr="00232123">
        <w:t xml:space="preserve">The container with its container attachments (if any) is dropped once in one of the impact orientations specified in </w:t>
      </w:r>
      <w:r w:rsidRPr="00232123">
        <w:rPr>
          <w:lang w:eastAsia="ja-JP"/>
        </w:rPr>
        <w:t xml:space="preserve">Annex 3, </w:t>
      </w:r>
      <w:r w:rsidRPr="00232123">
        <w:t>paragraph 3.2. This test does not apply to supply lines for additional TPRDs.</w:t>
      </w:r>
    </w:p>
    <w:p w14:paraId="3CC8DD4A" w14:textId="0F7F6153" w:rsidR="00012C6F" w:rsidRPr="00232123" w:rsidRDefault="00012C6F" w:rsidP="00012C6F">
      <w:pPr>
        <w:spacing w:after="120"/>
        <w:ind w:left="2268" w:right="1134"/>
        <w:jc w:val="both"/>
      </w:pPr>
      <w:r w:rsidRPr="00232123">
        <w:rPr>
          <w:i/>
          <w:iCs/>
        </w:rPr>
        <w:lastRenderedPageBreak/>
        <w:t>Note</w:t>
      </w:r>
      <w:r w:rsidRPr="00232123">
        <w:t>: The manufacturer applying for approval shall provide h</w:t>
      </w:r>
      <w:r w:rsidRPr="00232123">
        <w:rPr>
          <w:iCs/>
        </w:rPr>
        <w:t>andling procedures to ensure that the supply lines for additional TPRDs will not suffer damage or contamination during handling. The handling procedure shall require the removal from service of supply lines that have unacceptable damage.</w:t>
      </w:r>
      <w:r w:rsidR="006E65F6">
        <w:rPr>
          <w:iCs/>
        </w:rPr>
        <w:t>"</w:t>
      </w:r>
    </w:p>
    <w:p w14:paraId="3D61BD7A" w14:textId="1B0D18FF" w:rsidR="002D5EFB" w:rsidRPr="00D04356" w:rsidRDefault="002D5EFB" w:rsidP="002D5EFB">
      <w:pPr>
        <w:pStyle w:val="SingleTxtG"/>
        <w:rPr>
          <w:iCs/>
        </w:rPr>
      </w:pPr>
      <w:r w:rsidRPr="00D04356">
        <w:rPr>
          <w:i/>
        </w:rPr>
        <w:t>Paragraph</w:t>
      </w:r>
      <w:r w:rsidR="00665192">
        <w:rPr>
          <w:i/>
        </w:rPr>
        <w:t>s</w:t>
      </w:r>
      <w:r w:rsidRPr="00D04356">
        <w:rPr>
          <w:i/>
          <w:lang w:eastAsia="ja-JP"/>
        </w:rPr>
        <w:t xml:space="preserve"> 5.</w:t>
      </w:r>
      <w:r>
        <w:rPr>
          <w:i/>
          <w:lang w:eastAsia="ja-JP"/>
        </w:rPr>
        <w:t>2.3</w:t>
      </w:r>
      <w:r w:rsidRPr="00D04356">
        <w:rPr>
          <w:i/>
          <w:lang w:eastAsia="ja-JP"/>
        </w:rPr>
        <w:t>.</w:t>
      </w:r>
      <w:r w:rsidR="0085656C">
        <w:rPr>
          <w:i/>
          <w:lang w:eastAsia="ja-JP"/>
        </w:rPr>
        <w:t xml:space="preserve"> to 5.2.8</w:t>
      </w:r>
      <w:r w:rsidR="00665192">
        <w:rPr>
          <w:i/>
          <w:lang w:eastAsia="ja-JP"/>
        </w:rPr>
        <w:t>.</w:t>
      </w:r>
      <w:r w:rsidRPr="00D04356">
        <w:rPr>
          <w:i/>
          <w:lang w:eastAsia="ja-JP"/>
        </w:rPr>
        <w:t>,</w:t>
      </w:r>
      <w:r w:rsidR="0085656C" w:rsidRPr="0085656C">
        <w:rPr>
          <w:iCs/>
          <w:lang w:eastAsia="ja-JP"/>
        </w:rPr>
        <w:t xml:space="preserve"> </w:t>
      </w:r>
      <w:r w:rsidRPr="0085656C">
        <w:rPr>
          <w:iCs/>
        </w:rPr>
        <w:t>fi</w:t>
      </w:r>
      <w:r w:rsidRPr="00D04356">
        <w:rPr>
          <w:iCs/>
        </w:rPr>
        <w:t>rst sentence</w:t>
      </w:r>
      <w:r w:rsidR="005414CF">
        <w:rPr>
          <w:iCs/>
        </w:rPr>
        <w:t>s</w:t>
      </w:r>
      <w:r w:rsidR="0085656C">
        <w:rPr>
          <w:iCs/>
        </w:rPr>
        <w:t xml:space="preserve"> after the headings</w:t>
      </w:r>
      <w:r w:rsidRPr="00D04356">
        <w:rPr>
          <w:iCs/>
        </w:rPr>
        <w:t xml:space="preserve">, after </w:t>
      </w:r>
      <w:r w:rsidR="006E65F6">
        <w:rPr>
          <w:iCs/>
        </w:rPr>
        <w:t>"</w:t>
      </w:r>
      <w:r w:rsidRPr="006B6FDC">
        <w:t>(if applicable)</w:t>
      </w:r>
      <w:r w:rsidR="006E65F6">
        <w:t>"</w:t>
      </w:r>
      <w:r w:rsidRPr="00D04356">
        <w:t xml:space="preserve">, add </w:t>
      </w:r>
      <w:r w:rsidR="006E65F6">
        <w:t>"</w:t>
      </w:r>
      <w:r w:rsidRPr="00D04356">
        <w:t>as well as supply lines for additional TPRDs (if any) through appropriate adaptors</w:t>
      </w:r>
      <w:r w:rsidR="006E65F6">
        <w:rPr>
          <w:iCs/>
        </w:rPr>
        <w:t>"</w:t>
      </w:r>
      <w:r w:rsidRPr="00D04356">
        <w:rPr>
          <w:iCs/>
        </w:rPr>
        <w:t>.</w:t>
      </w:r>
    </w:p>
    <w:p w14:paraId="4BB966CE" w14:textId="55C5006B" w:rsidR="00012C6F" w:rsidRPr="006B6FDC" w:rsidRDefault="00012C6F" w:rsidP="007A22C4">
      <w:pPr>
        <w:keepNext/>
        <w:spacing w:after="120"/>
        <w:ind w:left="1134" w:right="1134"/>
        <w:jc w:val="both"/>
      </w:pPr>
      <w:r w:rsidRPr="006B6FDC">
        <w:rPr>
          <w:i/>
          <w:iCs/>
          <w:lang w:eastAsia="ja-JP"/>
        </w:rPr>
        <w:t xml:space="preserve">Paragraph 5.3., </w:t>
      </w:r>
      <w:r w:rsidR="00427F25" w:rsidRPr="00427F25">
        <w:rPr>
          <w:lang w:eastAsia="ja-JP"/>
        </w:rPr>
        <w:t xml:space="preserve">first </w:t>
      </w:r>
      <w:r w:rsidR="00427F25" w:rsidRPr="00427F25">
        <w:t>paragraph</w:t>
      </w:r>
      <w:r w:rsidR="00427F25" w:rsidRPr="00427F25">
        <w:rPr>
          <w:lang w:eastAsia="ja-JP"/>
        </w:rPr>
        <w:t>,</w:t>
      </w:r>
      <w:r w:rsidR="00427F25">
        <w:rPr>
          <w:i/>
          <w:iCs/>
          <w:lang w:eastAsia="ja-JP"/>
        </w:rPr>
        <w:t xml:space="preserve"> </w:t>
      </w:r>
      <w:r w:rsidRPr="006B6FDC">
        <w:rPr>
          <w:lang w:eastAsia="ja-JP"/>
        </w:rPr>
        <w:t>amend to read:</w:t>
      </w:r>
    </w:p>
    <w:p w14:paraId="66B906B3" w14:textId="4319A9A7" w:rsidR="00012C6F" w:rsidRPr="00427F25" w:rsidRDefault="006E65F6" w:rsidP="00427F25">
      <w:pPr>
        <w:spacing w:after="120"/>
        <w:ind w:left="1134" w:right="1134"/>
        <w:jc w:val="both"/>
        <w:rPr>
          <w:rFonts w:cs="Arial"/>
          <w:lang w:eastAsia="ja-JP"/>
        </w:rPr>
      </w:pPr>
      <w:r>
        <w:rPr>
          <w:lang w:eastAsia="ja-JP"/>
        </w:rPr>
        <w:t>"</w:t>
      </w:r>
      <w:r w:rsidR="00012C6F" w:rsidRPr="00427F25">
        <w:rPr>
          <w:rFonts w:cs="Arial"/>
          <w:lang w:eastAsia="ja-JP"/>
        </w:rPr>
        <w:t>A single CHSS shall undergo the following sequence of tests, which are illustrated in Figure</w:t>
      </w:r>
      <w:r>
        <w:rPr>
          <w:rFonts w:cs="Arial"/>
          <w:lang w:eastAsia="ja-JP"/>
        </w:rPr>
        <w:t> </w:t>
      </w:r>
      <w:r w:rsidR="00012C6F" w:rsidRPr="00427F25">
        <w:rPr>
          <w:rFonts w:cs="Arial"/>
          <w:lang w:eastAsia="ja-JP"/>
        </w:rPr>
        <w:t xml:space="preserve">2. Specifics of applicable test procedures for the CHSS are provided in Annex 3. </w:t>
      </w:r>
      <w:r>
        <w:rPr>
          <w:rFonts w:cs="Arial"/>
          <w:lang w:eastAsia="ja-JP"/>
        </w:rPr>
        <w:br/>
      </w:r>
      <w:r w:rsidR="00012C6F" w:rsidRPr="00427F25">
        <w:rPr>
          <w:rFonts w:cs="Arial"/>
          <w:lang w:eastAsia="ja-JP"/>
        </w:rPr>
        <w:t>At the discretion of the Technical Service and the Type Approval Authority, for supply lines for additional TPRDs, the worst-case approach may be applied, e.g., longest lines, largest diameter, smallest bend radius and highest number of fittings.</w:t>
      </w:r>
      <w:r>
        <w:rPr>
          <w:lang w:eastAsia="ja-JP"/>
        </w:rPr>
        <w:t>"</w:t>
      </w:r>
    </w:p>
    <w:p w14:paraId="1245B966" w14:textId="011F8ABD" w:rsidR="00F464DD" w:rsidRPr="00D04356" w:rsidRDefault="00F464DD" w:rsidP="00F464DD">
      <w:pPr>
        <w:pStyle w:val="SingleTxtG"/>
        <w:rPr>
          <w:iCs/>
        </w:rPr>
      </w:pPr>
      <w:r w:rsidRPr="00D04356">
        <w:rPr>
          <w:i/>
        </w:rPr>
        <w:t>Paragraph</w:t>
      </w:r>
      <w:r w:rsidRPr="00D04356">
        <w:rPr>
          <w:i/>
          <w:lang w:eastAsia="ja-JP"/>
        </w:rPr>
        <w:t xml:space="preserve"> 5.</w:t>
      </w:r>
      <w:r>
        <w:rPr>
          <w:i/>
          <w:lang w:eastAsia="ja-JP"/>
        </w:rPr>
        <w:t>3.1.</w:t>
      </w:r>
      <w:r w:rsidRPr="00D04356">
        <w:rPr>
          <w:i/>
          <w:lang w:eastAsia="ja-JP"/>
        </w:rPr>
        <w:t>,</w:t>
      </w:r>
      <w:r w:rsidRPr="0085656C">
        <w:rPr>
          <w:iCs/>
          <w:lang w:eastAsia="ja-JP"/>
        </w:rPr>
        <w:t xml:space="preserve"> </w:t>
      </w:r>
      <w:r>
        <w:rPr>
          <w:iCs/>
        </w:rPr>
        <w:t>first</w:t>
      </w:r>
      <w:r w:rsidRPr="00D04356">
        <w:rPr>
          <w:iCs/>
        </w:rPr>
        <w:t xml:space="preserve"> sentence</w:t>
      </w:r>
      <w:r>
        <w:rPr>
          <w:iCs/>
        </w:rPr>
        <w:t xml:space="preserve"> after the heading</w:t>
      </w:r>
      <w:r w:rsidRPr="00D04356">
        <w:rPr>
          <w:iCs/>
        </w:rPr>
        <w:t xml:space="preserve">, after </w:t>
      </w:r>
      <w:r w:rsidR="006E65F6">
        <w:rPr>
          <w:iCs/>
        </w:rPr>
        <w:t>"</w:t>
      </w:r>
      <w:r>
        <w:t>CHSS</w:t>
      </w:r>
      <w:r w:rsidR="006E65F6">
        <w:t>"</w:t>
      </w:r>
      <w:r w:rsidRPr="00D04356">
        <w:t xml:space="preserve">, add </w:t>
      </w:r>
      <w:r w:rsidR="006E65F6">
        <w:t>"</w:t>
      </w:r>
      <w:r w:rsidRPr="00D04356">
        <w:t>as well as supply lines for additional TPRDs (if any) through appropriate adaptors</w:t>
      </w:r>
      <w:r w:rsidR="006E65F6">
        <w:rPr>
          <w:iCs/>
        </w:rPr>
        <w:t>"</w:t>
      </w:r>
      <w:r w:rsidRPr="00D04356">
        <w:rPr>
          <w:iCs/>
        </w:rPr>
        <w:t>.</w:t>
      </w:r>
    </w:p>
    <w:p w14:paraId="4CD3CEF7" w14:textId="40AB9D43" w:rsidR="003D3FB9" w:rsidRPr="00D04356" w:rsidRDefault="003D3FB9" w:rsidP="003D3FB9">
      <w:pPr>
        <w:pStyle w:val="SingleTxtG"/>
        <w:rPr>
          <w:iCs/>
        </w:rPr>
      </w:pPr>
      <w:r w:rsidRPr="00D04356">
        <w:rPr>
          <w:i/>
        </w:rPr>
        <w:t>Paragraph</w:t>
      </w:r>
      <w:r>
        <w:rPr>
          <w:i/>
        </w:rPr>
        <w:t>s</w:t>
      </w:r>
      <w:r w:rsidRPr="00D04356">
        <w:rPr>
          <w:i/>
          <w:lang w:eastAsia="ja-JP"/>
        </w:rPr>
        <w:t xml:space="preserve"> 5.</w:t>
      </w:r>
      <w:r>
        <w:rPr>
          <w:i/>
          <w:lang w:eastAsia="ja-JP"/>
        </w:rPr>
        <w:t>3.4. and 5.3.5.</w:t>
      </w:r>
      <w:r w:rsidRPr="00D04356">
        <w:rPr>
          <w:i/>
          <w:lang w:eastAsia="ja-JP"/>
        </w:rPr>
        <w:t>,</w:t>
      </w:r>
      <w:r w:rsidRPr="0085656C">
        <w:rPr>
          <w:iCs/>
          <w:lang w:eastAsia="ja-JP"/>
        </w:rPr>
        <w:t xml:space="preserve"> </w:t>
      </w:r>
      <w:r>
        <w:rPr>
          <w:iCs/>
        </w:rPr>
        <w:t xml:space="preserve">first </w:t>
      </w:r>
      <w:r w:rsidRPr="00D04356">
        <w:rPr>
          <w:iCs/>
        </w:rPr>
        <w:t>sentence</w:t>
      </w:r>
      <w:r w:rsidR="005414CF">
        <w:rPr>
          <w:iCs/>
        </w:rPr>
        <w:t>s</w:t>
      </w:r>
      <w:r>
        <w:rPr>
          <w:iCs/>
        </w:rPr>
        <w:t xml:space="preserve"> after the headings</w:t>
      </w:r>
      <w:r w:rsidRPr="00D04356">
        <w:rPr>
          <w:iCs/>
        </w:rPr>
        <w:t xml:space="preserve">, after </w:t>
      </w:r>
      <w:r w:rsidR="006E65F6">
        <w:rPr>
          <w:iCs/>
        </w:rPr>
        <w:t>"</w:t>
      </w:r>
      <w:r>
        <w:rPr>
          <w:iCs/>
        </w:rPr>
        <w:t>(</w:t>
      </w:r>
      <w:r>
        <w:t>if any)</w:t>
      </w:r>
      <w:r w:rsidR="006E65F6">
        <w:t>"</w:t>
      </w:r>
      <w:r w:rsidRPr="00D04356">
        <w:t xml:space="preserve">, add </w:t>
      </w:r>
      <w:r w:rsidR="006E65F6">
        <w:t>"</w:t>
      </w:r>
      <w:r w:rsidR="00C039AC">
        <w:t xml:space="preserve">, </w:t>
      </w:r>
      <w:r w:rsidRPr="00D04356">
        <w:t>as well as supply lines for additional TPRDs (if any) through appropriate adaptors</w:t>
      </w:r>
      <w:r w:rsidR="006E65F6">
        <w:rPr>
          <w:iCs/>
        </w:rPr>
        <w:t>"</w:t>
      </w:r>
      <w:r w:rsidRPr="00D04356">
        <w:rPr>
          <w:iCs/>
        </w:rPr>
        <w:t>.</w:t>
      </w:r>
    </w:p>
    <w:p w14:paraId="64951CA1" w14:textId="481277C0" w:rsidR="00012C6F" w:rsidRPr="006B6FDC" w:rsidRDefault="00012C6F" w:rsidP="007A22C4">
      <w:pPr>
        <w:keepNext/>
        <w:spacing w:after="120"/>
        <w:ind w:left="1134" w:right="1134"/>
        <w:jc w:val="both"/>
      </w:pPr>
      <w:r w:rsidRPr="006B6FDC">
        <w:rPr>
          <w:i/>
          <w:lang w:eastAsia="ja-JP"/>
        </w:rPr>
        <w:t xml:space="preserve">Paragraph 5.4., </w:t>
      </w:r>
      <w:r w:rsidR="00801765">
        <w:rPr>
          <w:iCs/>
          <w:lang w:eastAsia="ja-JP"/>
        </w:rPr>
        <w:t xml:space="preserve">at the end, </w:t>
      </w:r>
      <w:r w:rsidR="00801765" w:rsidRPr="007A22C4">
        <w:t>add</w:t>
      </w:r>
      <w:r w:rsidR="00801765">
        <w:rPr>
          <w:iCs/>
          <w:lang w:eastAsia="ja-JP"/>
        </w:rPr>
        <w:t xml:space="preserve"> a new paragraph</w:t>
      </w:r>
      <w:r w:rsidRPr="006B6FDC">
        <w:rPr>
          <w:iCs/>
        </w:rPr>
        <w:t xml:space="preserve"> </w:t>
      </w:r>
      <w:r w:rsidRPr="006B6FDC">
        <w:t>to read:</w:t>
      </w:r>
    </w:p>
    <w:p w14:paraId="4750B497" w14:textId="74907321" w:rsidR="00012C6F" w:rsidRPr="00801765" w:rsidRDefault="00C719D2" w:rsidP="00801765">
      <w:pPr>
        <w:spacing w:after="120"/>
        <w:ind w:left="1134" w:right="1134"/>
        <w:jc w:val="both"/>
      </w:pPr>
      <w:r>
        <w:rPr>
          <w:iCs/>
        </w:rPr>
        <w:t>"</w:t>
      </w:r>
      <w:r w:rsidR="00012C6F" w:rsidRPr="00801765">
        <w:t>During the entire fire test, additional TPRDs shall remain connected to the container by at least one attachment point.</w:t>
      </w:r>
      <w:r>
        <w:t>"</w:t>
      </w:r>
    </w:p>
    <w:p w14:paraId="7E2CD939" w14:textId="77777777" w:rsidR="00012C6F" w:rsidRPr="004533F9" w:rsidRDefault="00012C6F" w:rsidP="00012C6F">
      <w:pPr>
        <w:spacing w:after="120"/>
        <w:ind w:left="2268" w:right="1134" w:hanging="1134"/>
        <w:jc w:val="both"/>
        <w:rPr>
          <w:iCs/>
        </w:rPr>
      </w:pPr>
      <w:r w:rsidRPr="004533F9">
        <w:rPr>
          <w:i/>
        </w:rPr>
        <w:t>Paragraph 7.1.1.5.,</w:t>
      </w:r>
      <w:r w:rsidRPr="004533F9">
        <w:rPr>
          <w:iCs/>
        </w:rPr>
        <w:t xml:space="preserve"> amend to read: </w:t>
      </w:r>
    </w:p>
    <w:p w14:paraId="19964DC8" w14:textId="126EB79F" w:rsidR="00012C6F" w:rsidRPr="004533F9" w:rsidRDefault="00C719D2" w:rsidP="00012C6F">
      <w:pPr>
        <w:spacing w:after="120"/>
        <w:ind w:left="2268" w:right="1134" w:hanging="1134"/>
        <w:jc w:val="both"/>
        <w:rPr>
          <w:iCs/>
        </w:rPr>
      </w:pPr>
      <w:r>
        <w:rPr>
          <w:iCs/>
        </w:rPr>
        <w:t>"</w:t>
      </w:r>
      <w:r w:rsidR="00012C6F" w:rsidRPr="004533F9">
        <w:rPr>
          <w:iCs/>
        </w:rPr>
        <w:t>7.1.1.5.</w:t>
      </w:r>
      <w:r w:rsidR="00012C6F" w:rsidRPr="004533F9">
        <w:rPr>
          <w:iCs/>
        </w:rPr>
        <w:tab/>
        <w:t>The geometry of the fuelling receptacle of compressed hydrogen gas vehicles shall, depending on its nominal working pressure and specific application, be compatible with specification H35, H35MF or H70, and in accordance with international standard ISO 17268:2020 or ISO 17268-1:2025.</w:t>
      </w:r>
      <w:r>
        <w:rPr>
          <w:iCs/>
        </w:rPr>
        <w:t>"</w:t>
      </w:r>
    </w:p>
    <w:p w14:paraId="4EFEA625" w14:textId="24DA3D69" w:rsidR="00012C6F" w:rsidRPr="006B6FDC" w:rsidRDefault="00012C6F" w:rsidP="00696FE0">
      <w:pPr>
        <w:spacing w:after="120"/>
        <w:ind w:left="1134" w:right="1134"/>
        <w:jc w:val="both"/>
        <w:rPr>
          <w:bCs/>
          <w:lang w:eastAsia="ja-JP"/>
        </w:rPr>
      </w:pPr>
      <w:r w:rsidRPr="006B6FDC">
        <w:rPr>
          <w:rFonts w:hint="eastAsia"/>
          <w:i/>
          <w:iCs/>
          <w:lang w:eastAsia="ja-JP"/>
        </w:rPr>
        <w:t>P</w:t>
      </w:r>
      <w:r w:rsidRPr="006B6FDC">
        <w:rPr>
          <w:i/>
          <w:iCs/>
          <w:lang w:eastAsia="ja-JP"/>
        </w:rPr>
        <w:t>aragr</w:t>
      </w:r>
      <w:r w:rsidRPr="00696FE0">
        <w:rPr>
          <w:i/>
          <w:iCs/>
          <w:lang w:eastAsia="ja-JP"/>
        </w:rPr>
        <w:t xml:space="preserve">aph 9.2., </w:t>
      </w:r>
      <w:r w:rsidR="00696FE0" w:rsidRPr="00696FE0">
        <w:rPr>
          <w:lang w:eastAsia="ja-JP"/>
        </w:rPr>
        <w:t xml:space="preserve">after </w:t>
      </w:r>
      <w:r w:rsidR="00C719D2">
        <w:rPr>
          <w:lang w:eastAsia="ja-JP"/>
        </w:rPr>
        <w:t>"</w:t>
      </w:r>
      <w:r w:rsidR="00696FE0" w:rsidRPr="00696FE0">
        <w:rPr>
          <w:lang w:eastAsia="ja-JP"/>
        </w:rPr>
        <w:t>system container</w:t>
      </w:r>
      <w:r w:rsidR="00C719D2">
        <w:rPr>
          <w:lang w:eastAsia="ja-JP"/>
        </w:rPr>
        <w:t>"</w:t>
      </w:r>
      <w:r w:rsidR="00696FE0" w:rsidRPr="00696FE0">
        <w:rPr>
          <w:lang w:eastAsia="ja-JP"/>
        </w:rPr>
        <w:t xml:space="preserve">, add </w:t>
      </w:r>
      <w:r w:rsidR="00C719D2">
        <w:rPr>
          <w:lang w:eastAsia="ja-JP"/>
        </w:rPr>
        <w:t>"</w:t>
      </w:r>
      <w:r w:rsidRPr="00696FE0">
        <w:rPr>
          <w:lang w:eastAsia="ja-JP"/>
        </w:rPr>
        <w:t>(</w:t>
      </w:r>
      <w:r w:rsidRPr="00696FE0">
        <w:rPr>
          <w:rFonts w:cs="Arial"/>
          <w:lang w:eastAsia="ja-JP"/>
        </w:rPr>
        <w:t>and supply lines for additional TPRDs (if any))</w:t>
      </w:r>
      <w:r w:rsidR="00C719D2">
        <w:rPr>
          <w:lang w:eastAsia="ja-JP"/>
        </w:rPr>
        <w:t>"</w:t>
      </w:r>
      <w:r w:rsidR="00696FE0" w:rsidRPr="00696FE0">
        <w:rPr>
          <w:rFonts w:cs="Arial"/>
          <w:lang w:eastAsia="ja-JP"/>
        </w:rPr>
        <w:t>.</w:t>
      </w:r>
    </w:p>
    <w:p w14:paraId="7C0E6BF0" w14:textId="38EF279F" w:rsidR="0099368D" w:rsidRDefault="0099368D" w:rsidP="0099368D">
      <w:pPr>
        <w:spacing w:after="120"/>
        <w:ind w:left="1134" w:right="1134"/>
        <w:jc w:val="both"/>
        <w:rPr>
          <w:lang w:eastAsia="ja-JP"/>
        </w:rPr>
      </w:pPr>
      <w:r w:rsidRPr="001E3A94">
        <w:rPr>
          <w:rFonts w:hint="eastAsia"/>
          <w:i/>
          <w:iCs/>
          <w:lang w:eastAsia="ja-JP"/>
        </w:rPr>
        <w:t>P</w:t>
      </w:r>
      <w:r w:rsidRPr="001E3A94">
        <w:rPr>
          <w:i/>
          <w:iCs/>
          <w:lang w:eastAsia="ja-JP"/>
        </w:rPr>
        <w:t>aragraph 9.2.1.,</w:t>
      </w:r>
      <w:r w:rsidRPr="006B6FDC">
        <w:rPr>
          <w:i/>
          <w:iCs/>
          <w:lang w:eastAsia="ja-JP"/>
        </w:rPr>
        <w:t xml:space="preserve"> </w:t>
      </w:r>
      <w:r w:rsidR="001E3A94">
        <w:rPr>
          <w:lang w:eastAsia="ja-JP"/>
        </w:rPr>
        <w:t>amend to read:</w:t>
      </w:r>
    </w:p>
    <w:p w14:paraId="1BFDB330" w14:textId="42C82A38" w:rsidR="001E3A94" w:rsidRPr="001E3A94" w:rsidRDefault="00C719D2" w:rsidP="001E3A94">
      <w:pPr>
        <w:spacing w:after="120"/>
        <w:ind w:left="2268" w:right="1134" w:hanging="1134"/>
        <w:jc w:val="both"/>
        <w:rPr>
          <w:bCs/>
        </w:rPr>
      </w:pPr>
      <w:r>
        <w:rPr>
          <w:bCs/>
          <w:lang w:eastAsia="ja-JP"/>
        </w:rPr>
        <w:t>"</w:t>
      </w:r>
      <w:r w:rsidR="001E3A94" w:rsidRPr="001E3A94">
        <w:rPr>
          <w:rFonts w:hint="eastAsia"/>
          <w:bCs/>
          <w:lang w:eastAsia="ja-JP"/>
        </w:rPr>
        <w:t>9</w:t>
      </w:r>
      <w:r w:rsidR="001E3A94" w:rsidRPr="001E3A94">
        <w:rPr>
          <w:bCs/>
          <w:lang w:eastAsia="ja-JP"/>
        </w:rPr>
        <w:t>.2.1.</w:t>
      </w:r>
      <w:r w:rsidR="001E3A94" w:rsidRPr="001E3A94">
        <w:rPr>
          <w:bCs/>
          <w:lang w:eastAsia="ja-JP"/>
        </w:rPr>
        <w:tab/>
      </w:r>
      <w:r w:rsidR="001E3A94" w:rsidRPr="001E3A94">
        <w:rPr>
          <w:bCs/>
          <w:u w:val="single"/>
          <w:lang w:eastAsia="ja-JP"/>
        </w:rPr>
        <w:t xml:space="preserve">Every container </w:t>
      </w:r>
      <w:r w:rsidR="001E3A94" w:rsidRPr="001E3A94">
        <w:rPr>
          <w:bCs/>
          <w:lang w:eastAsia="ja-JP"/>
        </w:rPr>
        <w:t>of CHSS</w:t>
      </w:r>
      <w:r w:rsidR="001E3A94" w:rsidRPr="001E3A94">
        <w:rPr>
          <w:rFonts w:cs="Arial"/>
          <w:bCs/>
          <w:lang w:eastAsia="ja-JP"/>
        </w:rPr>
        <w:t>,</w:t>
      </w:r>
      <w:r w:rsidR="001E3A94" w:rsidRPr="001E3A94">
        <w:rPr>
          <w:bCs/>
          <w:lang w:eastAsia="ja-JP"/>
        </w:rPr>
        <w:t xml:space="preserve"> </w:t>
      </w:r>
      <w:r w:rsidR="001E3A94" w:rsidRPr="001E3A94">
        <w:rPr>
          <w:rFonts w:cs="Arial"/>
          <w:bCs/>
          <w:lang w:eastAsia="ja-JP"/>
        </w:rPr>
        <w:t xml:space="preserve">as well as supply lines for additional TPRDs (if any) through appropriate adaptors, </w:t>
      </w:r>
      <w:r w:rsidR="001E3A94" w:rsidRPr="001E3A94">
        <w:rPr>
          <w:bCs/>
          <w:lang w:eastAsia="ja-JP"/>
        </w:rPr>
        <w:t>shall be pressurized smoothly and continually with a hydraulic fluid or gas to the target pressure of ≥ 125 per cent NWP until the target test pressure level is reached and then held for ≥ 30 seconds. Temperature variation during the test shall be taken into account. The quality variability of the products shall be assessed with a method defined by the manufacturer e.g., variability of elastic expansion, etc. If applicable, upon agreement of the Type Approval Authority and Technical Service, as an alternative, every pressure bearing chamber and every high-pressure fuel line of multiple permanently interconnected chambers and supply lines for additional TPRDs may also be subjected to the same test described above individually.</w:t>
      </w:r>
      <w:r w:rsidR="001E3A94" w:rsidRPr="001E3A94">
        <w:rPr>
          <w:bCs/>
          <w:snapToGrid w:val="0"/>
        </w:rPr>
        <w:t xml:space="preserve"> When applying this separate testing option, the test article shall be connected to a hydraulic pressure source at one of its openings by use of appropriate hydraulic mating connections and the remaining openings, if any, shall be closed by use of appropriate means</w:t>
      </w:r>
      <w:r w:rsidR="001E3A94" w:rsidRPr="001E3A94">
        <w:rPr>
          <w:bCs/>
          <w:lang w:eastAsia="ja-JP"/>
        </w:rPr>
        <w:t>.</w:t>
      </w:r>
      <w:r>
        <w:rPr>
          <w:bCs/>
          <w:iCs/>
        </w:rPr>
        <w:t>"</w:t>
      </w:r>
    </w:p>
    <w:p w14:paraId="48455387" w14:textId="2FC98328" w:rsidR="00012C6F" w:rsidRPr="006374EC" w:rsidRDefault="00012C6F" w:rsidP="006374EC">
      <w:pPr>
        <w:pStyle w:val="SingleTxtG"/>
        <w:rPr>
          <w:lang w:eastAsia="ja-JP"/>
        </w:rPr>
      </w:pPr>
      <w:r w:rsidRPr="006374EC">
        <w:rPr>
          <w:i/>
        </w:rPr>
        <w:t>Paragraph</w:t>
      </w:r>
      <w:r w:rsidRPr="006374EC">
        <w:rPr>
          <w:i/>
          <w:lang w:eastAsia="ja-JP"/>
        </w:rPr>
        <w:t xml:space="preserve"> 9.2.3.2., </w:t>
      </w:r>
      <w:r w:rsidR="00572C6C">
        <w:rPr>
          <w:iCs/>
        </w:rPr>
        <w:t>second</w:t>
      </w:r>
      <w:r w:rsidR="006374EC" w:rsidRPr="006374EC">
        <w:rPr>
          <w:iCs/>
        </w:rPr>
        <w:t xml:space="preserve"> sentence after the heading, after </w:t>
      </w:r>
      <w:r w:rsidR="00C719D2">
        <w:rPr>
          <w:iCs/>
        </w:rPr>
        <w:t>"</w:t>
      </w:r>
      <w:r w:rsidR="006374EC" w:rsidRPr="006374EC">
        <w:rPr>
          <w:iCs/>
        </w:rPr>
        <w:t>container</w:t>
      </w:r>
      <w:r w:rsidR="00C719D2">
        <w:rPr>
          <w:iCs/>
        </w:rPr>
        <w:t>"</w:t>
      </w:r>
      <w:r w:rsidR="006374EC" w:rsidRPr="006374EC">
        <w:rPr>
          <w:iCs/>
        </w:rPr>
        <w:t xml:space="preserve">, add </w:t>
      </w:r>
      <w:r w:rsidR="00C719D2">
        <w:rPr>
          <w:iCs/>
        </w:rPr>
        <w:t>"</w:t>
      </w:r>
      <w:r w:rsidRPr="006374EC">
        <w:rPr>
          <w:rFonts w:hint="eastAsia"/>
          <w:lang w:eastAsia="ja-JP"/>
        </w:rPr>
        <w:t>,</w:t>
      </w:r>
      <w:r w:rsidRPr="006374EC">
        <w:rPr>
          <w:lang w:eastAsia="ja-JP"/>
        </w:rPr>
        <w:t xml:space="preserve"> as well as supply lines for additional TPRDs (if any) through appropriate adaptors</w:t>
      </w:r>
      <w:r w:rsidRPr="006374EC">
        <w:rPr>
          <w:rFonts w:hint="eastAsia"/>
          <w:lang w:eastAsia="ja-JP"/>
        </w:rPr>
        <w:t>,</w:t>
      </w:r>
      <w:r w:rsidR="00C719D2">
        <w:rPr>
          <w:lang w:eastAsia="ja-JP"/>
        </w:rPr>
        <w:t>"</w:t>
      </w:r>
      <w:r w:rsidR="006374EC" w:rsidRPr="006374EC">
        <w:rPr>
          <w:lang w:eastAsia="ja-JP"/>
        </w:rPr>
        <w:t>.</w:t>
      </w:r>
    </w:p>
    <w:p w14:paraId="29AC8C7B" w14:textId="05A038FB" w:rsidR="00A8092D" w:rsidRPr="006B6FDC" w:rsidRDefault="00A8092D" w:rsidP="00A8092D">
      <w:pPr>
        <w:spacing w:after="120"/>
        <w:ind w:left="2268" w:right="1134" w:hanging="1134"/>
        <w:jc w:val="both"/>
        <w:rPr>
          <w:b/>
          <w:bCs/>
          <w:iCs/>
          <w:highlight w:val="yellow"/>
        </w:rPr>
      </w:pPr>
      <w:r w:rsidRPr="006B6FDC">
        <w:rPr>
          <w:i/>
        </w:rPr>
        <w:t>Paragraph 1</w:t>
      </w:r>
      <w:r w:rsidRPr="006B6FDC">
        <w:rPr>
          <w:rFonts w:hint="eastAsia"/>
          <w:i/>
          <w:lang w:eastAsia="ja-JP"/>
        </w:rPr>
        <w:t>3</w:t>
      </w:r>
      <w:r w:rsidRPr="006B6FDC">
        <w:rPr>
          <w:i/>
        </w:rPr>
        <w:t>.</w:t>
      </w:r>
      <w:r w:rsidRPr="006B6FDC">
        <w:rPr>
          <w:rFonts w:hint="eastAsia"/>
          <w:i/>
          <w:lang w:eastAsia="ja-JP"/>
        </w:rPr>
        <w:t>1</w:t>
      </w:r>
      <w:r w:rsidRPr="006B6FDC">
        <w:rPr>
          <w:i/>
          <w:lang w:eastAsia="ja-JP"/>
        </w:rPr>
        <w:t>.</w:t>
      </w:r>
      <w:r w:rsidRPr="006B6FDC">
        <w:rPr>
          <w:i/>
        </w:rPr>
        <w:t>,</w:t>
      </w:r>
      <w:r w:rsidRPr="006B6FDC">
        <w:rPr>
          <w:iCs/>
        </w:rPr>
        <w:t xml:space="preserve"> renumber as paragraph 13.</w:t>
      </w:r>
      <w:r w:rsidRPr="006B6FDC">
        <w:rPr>
          <w:rFonts w:hint="eastAsia"/>
          <w:iCs/>
          <w:lang w:eastAsia="ja-JP"/>
        </w:rPr>
        <w:t>3</w:t>
      </w:r>
      <w:r w:rsidRPr="006B6FDC">
        <w:rPr>
          <w:iCs/>
        </w:rPr>
        <w:t>.</w:t>
      </w:r>
      <w:r w:rsidRPr="006B6FDC">
        <w:rPr>
          <w:rFonts w:hint="eastAsia"/>
          <w:iCs/>
          <w:lang w:eastAsia="ja-JP"/>
        </w:rPr>
        <w:t>1</w:t>
      </w:r>
      <w:r w:rsidRPr="006B6FDC">
        <w:rPr>
          <w:iCs/>
        </w:rPr>
        <w:t>.</w:t>
      </w:r>
    </w:p>
    <w:p w14:paraId="3DCDCAD5" w14:textId="27E64AF5" w:rsidR="00A0126D" w:rsidRPr="006B6FDC" w:rsidRDefault="00A0126D" w:rsidP="00A0126D">
      <w:pPr>
        <w:spacing w:after="120"/>
        <w:ind w:left="2268" w:right="1134" w:hanging="1134"/>
        <w:jc w:val="both"/>
        <w:rPr>
          <w:bCs/>
          <w:iCs/>
        </w:rPr>
      </w:pPr>
      <w:r w:rsidRPr="006B6FDC">
        <w:rPr>
          <w:bCs/>
          <w:i/>
          <w:iCs/>
        </w:rPr>
        <w:t>Insert new paragraph</w:t>
      </w:r>
      <w:r w:rsidRPr="006B6FDC">
        <w:rPr>
          <w:rFonts w:hint="eastAsia"/>
          <w:bCs/>
          <w:i/>
          <w:iCs/>
          <w:lang w:eastAsia="ja-JP"/>
        </w:rPr>
        <w:t xml:space="preserve">s </w:t>
      </w:r>
      <w:r w:rsidRPr="006B6FDC">
        <w:rPr>
          <w:bCs/>
          <w:i/>
          <w:iCs/>
        </w:rPr>
        <w:t>13.</w:t>
      </w:r>
      <w:r>
        <w:rPr>
          <w:bCs/>
          <w:i/>
          <w:iCs/>
        </w:rPr>
        <w:t>1</w:t>
      </w:r>
      <w:r w:rsidRPr="006B6FDC">
        <w:rPr>
          <w:rFonts w:hint="eastAsia"/>
          <w:bCs/>
          <w:i/>
          <w:iCs/>
          <w:lang w:eastAsia="ja-JP"/>
        </w:rPr>
        <w:t xml:space="preserve">. </w:t>
      </w:r>
      <w:r w:rsidRPr="006B6FDC">
        <w:rPr>
          <w:bCs/>
          <w:i/>
          <w:iCs/>
          <w:lang w:eastAsia="ja-JP"/>
        </w:rPr>
        <w:t>to</w:t>
      </w:r>
      <w:r w:rsidRPr="006B6FDC">
        <w:rPr>
          <w:rFonts w:hint="eastAsia"/>
          <w:bCs/>
          <w:i/>
          <w:iCs/>
          <w:lang w:eastAsia="ja-JP"/>
        </w:rPr>
        <w:t xml:space="preserve"> 13</w:t>
      </w:r>
      <w:r>
        <w:rPr>
          <w:bCs/>
          <w:i/>
          <w:iCs/>
          <w:lang w:eastAsia="ja-JP"/>
        </w:rPr>
        <w:t>.2.1</w:t>
      </w:r>
      <w:r w:rsidRPr="006B6FDC">
        <w:rPr>
          <w:bCs/>
          <w:i/>
          <w:iCs/>
        </w:rPr>
        <w:t>.</w:t>
      </w:r>
      <w:r w:rsidRPr="006B6FDC">
        <w:rPr>
          <w:bCs/>
          <w:iCs/>
        </w:rPr>
        <w:t>, to read:</w:t>
      </w:r>
    </w:p>
    <w:p w14:paraId="38C91FCF" w14:textId="60B95D16" w:rsidR="00012C6F" w:rsidRPr="00D57B90" w:rsidRDefault="00085844" w:rsidP="00012C6F">
      <w:pPr>
        <w:spacing w:after="120"/>
        <w:ind w:left="2268" w:right="1134" w:hanging="1134"/>
        <w:jc w:val="both"/>
      </w:pPr>
      <w:r>
        <w:t>"</w:t>
      </w:r>
      <w:r w:rsidR="00012C6F" w:rsidRPr="00D57B90">
        <w:t>13.1.</w:t>
      </w:r>
      <w:r w:rsidR="00012C6F" w:rsidRPr="00D57B90">
        <w:tab/>
        <w:t>General</w:t>
      </w:r>
    </w:p>
    <w:p w14:paraId="16D61C32" w14:textId="77777777" w:rsidR="00012C6F" w:rsidRPr="00D57B90" w:rsidRDefault="00012C6F" w:rsidP="00012C6F">
      <w:pPr>
        <w:spacing w:after="120"/>
        <w:ind w:left="2268" w:right="1134" w:hanging="1134"/>
        <w:jc w:val="both"/>
      </w:pPr>
      <w:r w:rsidRPr="00D57B90">
        <w:t>13.1.1.</w:t>
      </w:r>
      <w:r w:rsidRPr="00D57B90">
        <w:tab/>
        <w:t>Contracting Parties applying this Regulation may grant type approvals according to any of the preceding series of amendments to this Regulation.</w:t>
      </w:r>
    </w:p>
    <w:p w14:paraId="2F047565" w14:textId="77777777" w:rsidR="00012C6F" w:rsidRPr="00D57B90" w:rsidRDefault="00012C6F" w:rsidP="00012C6F">
      <w:pPr>
        <w:spacing w:after="120"/>
        <w:ind w:left="2268" w:right="1134" w:hanging="1134"/>
        <w:jc w:val="both"/>
      </w:pPr>
      <w:r w:rsidRPr="00D57B90">
        <w:lastRenderedPageBreak/>
        <w:t>13.1.2.</w:t>
      </w:r>
      <w:r w:rsidRPr="00D57B90">
        <w:tab/>
        <w:t>Contracting Parties applying this Regulation shall continue to grant extensions of existing approvals to any of the preceding series of amendments to this Regulation.</w:t>
      </w:r>
    </w:p>
    <w:p w14:paraId="59186541" w14:textId="77777777" w:rsidR="00012C6F" w:rsidRPr="00D57B90" w:rsidRDefault="00012C6F" w:rsidP="00012C6F">
      <w:pPr>
        <w:spacing w:after="120"/>
        <w:ind w:left="2268" w:right="1134" w:hanging="1134"/>
        <w:jc w:val="both"/>
      </w:pPr>
      <w:r w:rsidRPr="00D57B90">
        <w:t>13.2.</w:t>
      </w:r>
      <w:r w:rsidRPr="00D57B90">
        <w:tab/>
        <w:t>Transitional provisions applicable to</w:t>
      </w:r>
      <w:r w:rsidRPr="00D57B90">
        <w:rPr>
          <w:lang w:eastAsia="ja-JP"/>
        </w:rPr>
        <w:t xml:space="preserve"> the </w:t>
      </w:r>
      <w:r w:rsidRPr="00D57B90">
        <w:t>0</w:t>
      </w:r>
      <w:r w:rsidRPr="00D57B90">
        <w:rPr>
          <w:rFonts w:hint="eastAsia"/>
          <w:lang w:eastAsia="ja-JP"/>
        </w:rPr>
        <w:t>1</w:t>
      </w:r>
      <w:r w:rsidRPr="00D57B90">
        <w:t xml:space="preserve"> series of amendments."</w:t>
      </w:r>
    </w:p>
    <w:p w14:paraId="17F145FC" w14:textId="423500BD" w:rsidR="00012C6F" w:rsidRPr="00D57B90" w:rsidRDefault="00012C6F" w:rsidP="00012C6F">
      <w:pPr>
        <w:spacing w:after="120"/>
        <w:ind w:left="2268" w:right="1134" w:hanging="1134"/>
        <w:jc w:val="both"/>
      </w:pPr>
      <w:r w:rsidRPr="00D57B90">
        <w:rPr>
          <w:rFonts w:hint="eastAsia"/>
        </w:rPr>
        <w:t>13.2.1.</w:t>
      </w:r>
      <w:r w:rsidRPr="00D57B90">
        <w:tab/>
        <w:t>As from the official date of entry into force of the 01 series of amendments, no Contracting Party applying this UN Regulation shall refuse to grant or refuse to accept UN type approvals under this UN Regulation as amended by the 01 series of amendments.</w:t>
      </w:r>
      <w:r w:rsidR="00085844">
        <w:t>"</w:t>
      </w:r>
    </w:p>
    <w:p w14:paraId="1E168015" w14:textId="77777777" w:rsidR="00012C6F" w:rsidRPr="006B6FDC" w:rsidRDefault="00012C6F" w:rsidP="00012C6F">
      <w:pPr>
        <w:spacing w:after="120"/>
        <w:ind w:left="2268" w:right="1134" w:hanging="1134"/>
        <w:jc w:val="both"/>
        <w:rPr>
          <w:b/>
          <w:bCs/>
          <w:iCs/>
          <w:highlight w:val="yellow"/>
        </w:rPr>
      </w:pPr>
      <w:r w:rsidRPr="006B6FDC">
        <w:rPr>
          <w:i/>
        </w:rPr>
        <w:t>Paragraphs 1</w:t>
      </w:r>
      <w:r w:rsidRPr="006B6FDC">
        <w:rPr>
          <w:rFonts w:hint="eastAsia"/>
          <w:i/>
          <w:lang w:eastAsia="ja-JP"/>
        </w:rPr>
        <w:t>3</w:t>
      </w:r>
      <w:r w:rsidRPr="006B6FDC">
        <w:rPr>
          <w:i/>
        </w:rPr>
        <w:t>.</w:t>
      </w:r>
      <w:r w:rsidRPr="006B6FDC">
        <w:rPr>
          <w:rFonts w:hint="eastAsia"/>
          <w:i/>
          <w:lang w:eastAsia="ja-JP"/>
        </w:rPr>
        <w:t>2</w:t>
      </w:r>
      <w:r w:rsidRPr="006B6FDC">
        <w:rPr>
          <w:i/>
        </w:rPr>
        <w:t>. to 1</w:t>
      </w:r>
      <w:r w:rsidRPr="006B6FDC">
        <w:rPr>
          <w:rFonts w:hint="eastAsia"/>
          <w:i/>
          <w:lang w:eastAsia="ja-JP"/>
        </w:rPr>
        <w:t>3</w:t>
      </w:r>
      <w:r w:rsidRPr="006B6FDC">
        <w:rPr>
          <w:i/>
        </w:rPr>
        <w:t>.</w:t>
      </w:r>
      <w:r w:rsidRPr="006B6FDC">
        <w:rPr>
          <w:rFonts w:hint="eastAsia"/>
          <w:i/>
          <w:lang w:eastAsia="ja-JP"/>
        </w:rPr>
        <w:t>4</w:t>
      </w:r>
      <w:r w:rsidRPr="006B6FDC">
        <w:rPr>
          <w:i/>
        </w:rPr>
        <w:t>. (former),</w:t>
      </w:r>
      <w:r w:rsidRPr="006B6FDC">
        <w:rPr>
          <w:iCs/>
        </w:rPr>
        <w:t xml:space="preserve"> renumber as paragraphs 13.2.</w:t>
      </w:r>
      <w:r w:rsidRPr="006B6FDC">
        <w:rPr>
          <w:rFonts w:hint="eastAsia"/>
          <w:iCs/>
          <w:lang w:eastAsia="ja-JP"/>
        </w:rPr>
        <w:t>2</w:t>
      </w:r>
      <w:r w:rsidRPr="006B6FDC">
        <w:rPr>
          <w:iCs/>
        </w:rPr>
        <w:t>. to 13.2.</w:t>
      </w:r>
      <w:r w:rsidRPr="006B6FDC">
        <w:rPr>
          <w:rFonts w:hint="eastAsia"/>
          <w:iCs/>
          <w:lang w:eastAsia="ja-JP"/>
        </w:rPr>
        <w:t>4</w:t>
      </w:r>
      <w:r w:rsidRPr="006B6FDC">
        <w:rPr>
          <w:iCs/>
        </w:rPr>
        <w:t>.</w:t>
      </w:r>
    </w:p>
    <w:p w14:paraId="603C6D8F" w14:textId="4CA03A10" w:rsidR="00012C6F" w:rsidRPr="006B6FDC" w:rsidRDefault="00012C6F" w:rsidP="00757926">
      <w:pPr>
        <w:spacing w:after="120"/>
        <w:ind w:left="1134" w:right="1134"/>
        <w:jc w:val="both"/>
        <w:rPr>
          <w:iCs/>
          <w:lang w:eastAsia="ja-JP"/>
        </w:rPr>
      </w:pPr>
      <w:r w:rsidRPr="006B6FDC">
        <w:rPr>
          <w:i/>
        </w:rPr>
        <w:t>Paragraph 1</w:t>
      </w:r>
      <w:r w:rsidRPr="006B6FDC">
        <w:rPr>
          <w:rFonts w:hint="eastAsia"/>
          <w:i/>
          <w:lang w:eastAsia="ja-JP"/>
        </w:rPr>
        <w:t>3</w:t>
      </w:r>
      <w:r w:rsidRPr="006B6FDC">
        <w:rPr>
          <w:i/>
        </w:rPr>
        <w:t>.</w:t>
      </w:r>
      <w:r w:rsidRPr="006B6FDC">
        <w:rPr>
          <w:rFonts w:hint="eastAsia"/>
          <w:i/>
          <w:lang w:eastAsia="ja-JP"/>
        </w:rPr>
        <w:t>5</w:t>
      </w:r>
      <w:r w:rsidRPr="006B6FDC">
        <w:rPr>
          <w:i/>
        </w:rPr>
        <w:t>. (former),</w:t>
      </w:r>
      <w:r w:rsidRPr="006B6FDC">
        <w:rPr>
          <w:iCs/>
        </w:rPr>
        <w:t xml:space="preserve"> renumber as paragraph 13.2.</w:t>
      </w:r>
      <w:r w:rsidRPr="006B6FDC">
        <w:rPr>
          <w:rFonts w:hint="eastAsia"/>
          <w:iCs/>
          <w:lang w:eastAsia="ja-JP"/>
        </w:rPr>
        <w:t>5</w:t>
      </w:r>
      <w:r w:rsidRPr="006B6FDC">
        <w:rPr>
          <w:iCs/>
        </w:rPr>
        <w:t xml:space="preserve">. </w:t>
      </w:r>
      <w:r w:rsidRPr="006B6FDC">
        <w:rPr>
          <w:rFonts w:hint="eastAsia"/>
          <w:iCs/>
          <w:lang w:eastAsia="ja-JP"/>
        </w:rPr>
        <w:t xml:space="preserve">and </w:t>
      </w:r>
      <w:r w:rsidR="00705411">
        <w:rPr>
          <w:iCs/>
          <w:lang w:eastAsia="ja-JP"/>
        </w:rPr>
        <w:t xml:space="preserve">replace the references to </w:t>
      </w:r>
      <w:r w:rsidR="00085844">
        <w:rPr>
          <w:iCs/>
          <w:lang w:eastAsia="ja-JP"/>
        </w:rPr>
        <w:t>"</w:t>
      </w:r>
      <w:r w:rsidR="00705411">
        <w:rPr>
          <w:iCs/>
          <w:lang w:eastAsia="ja-JP"/>
        </w:rPr>
        <w:t>13.2.</w:t>
      </w:r>
      <w:r w:rsidR="00085844">
        <w:rPr>
          <w:iCs/>
          <w:lang w:eastAsia="ja-JP"/>
        </w:rPr>
        <w:t>"</w:t>
      </w:r>
      <w:r w:rsidR="00705411">
        <w:rPr>
          <w:iCs/>
          <w:lang w:eastAsia="ja-JP"/>
        </w:rPr>
        <w:t xml:space="preserve"> and </w:t>
      </w:r>
      <w:r w:rsidR="00085844">
        <w:rPr>
          <w:iCs/>
          <w:lang w:eastAsia="ja-JP"/>
        </w:rPr>
        <w:t>"</w:t>
      </w:r>
      <w:r w:rsidR="00705411">
        <w:rPr>
          <w:iCs/>
          <w:lang w:eastAsia="ja-JP"/>
        </w:rPr>
        <w:t>13.4</w:t>
      </w:r>
      <w:r w:rsidR="00085844">
        <w:rPr>
          <w:iCs/>
          <w:lang w:eastAsia="ja-JP"/>
        </w:rPr>
        <w:t>"</w:t>
      </w:r>
      <w:r w:rsidR="00705411">
        <w:rPr>
          <w:iCs/>
          <w:lang w:eastAsia="ja-JP"/>
        </w:rPr>
        <w:t xml:space="preserve"> by references to </w:t>
      </w:r>
      <w:r w:rsidR="00085844">
        <w:rPr>
          <w:iCs/>
          <w:lang w:eastAsia="ja-JP"/>
        </w:rPr>
        <w:t>"</w:t>
      </w:r>
      <w:r w:rsidR="00705411">
        <w:rPr>
          <w:iCs/>
          <w:lang w:eastAsia="ja-JP"/>
        </w:rPr>
        <w:t>13</w:t>
      </w:r>
      <w:r w:rsidR="00F00232">
        <w:rPr>
          <w:iCs/>
          <w:lang w:eastAsia="ja-JP"/>
        </w:rPr>
        <w:t>.2.2.</w:t>
      </w:r>
      <w:r w:rsidR="00085844">
        <w:rPr>
          <w:iCs/>
          <w:lang w:eastAsia="ja-JP"/>
        </w:rPr>
        <w:t>"</w:t>
      </w:r>
      <w:r w:rsidR="00F00232">
        <w:rPr>
          <w:iCs/>
          <w:lang w:eastAsia="ja-JP"/>
        </w:rPr>
        <w:t xml:space="preserve"> and </w:t>
      </w:r>
      <w:r w:rsidR="00085844">
        <w:rPr>
          <w:iCs/>
          <w:lang w:eastAsia="ja-JP"/>
        </w:rPr>
        <w:t>"</w:t>
      </w:r>
      <w:r w:rsidR="00F00232">
        <w:rPr>
          <w:iCs/>
          <w:lang w:eastAsia="ja-JP"/>
        </w:rPr>
        <w:t>13.2.4.</w:t>
      </w:r>
      <w:r w:rsidR="00085844">
        <w:rPr>
          <w:iCs/>
          <w:lang w:eastAsia="ja-JP"/>
        </w:rPr>
        <w:t>"</w:t>
      </w:r>
      <w:r w:rsidR="00F00232">
        <w:rPr>
          <w:iCs/>
          <w:lang w:eastAsia="ja-JP"/>
        </w:rPr>
        <w:t>, respectively.</w:t>
      </w:r>
    </w:p>
    <w:p w14:paraId="0E3B5E3A" w14:textId="77777777" w:rsidR="00012C6F" w:rsidRPr="006B6FDC" w:rsidRDefault="00012C6F" w:rsidP="007A22C4">
      <w:pPr>
        <w:keepNext/>
        <w:spacing w:after="120"/>
        <w:ind w:left="2268" w:right="1134" w:hanging="1134"/>
        <w:jc w:val="both"/>
        <w:rPr>
          <w:bCs/>
          <w:iCs/>
        </w:rPr>
      </w:pPr>
      <w:r w:rsidRPr="006B6FDC">
        <w:rPr>
          <w:bCs/>
          <w:i/>
          <w:iCs/>
        </w:rPr>
        <w:t>Insert new paragraph</w:t>
      </w:r>
      <w:r w:rsidRPr="006B6FDC">
        <w:rPr>
          <w:rFonts w:hint="eastAsia"/>
          <w:bCs/>
          <w:i/>
          <w:iCs/>
          <w:lang w:eastAsia="ja-JP"/>
        </w:rPr>
        <w:t xml:space="preserve"> </w:t>
      </w:r>
      <w:r w:rsidRPr="006B6FDC">
        <w:rPr>
          <w:bCs/>
          <w:i/>
          <w:iCs/>
        </w:rPr>
        <w:t>13.</w:t>
      </w:r>
      <w:r w:rsidRPr="006B6FDC">
        <w:rPr>
          <w:rFonts w:hint="eastAsia"/>
          <w:bCs/>
          <w:i/>
          <w:iCs/>
          <w:lang w:eastAsia="ja-JP"/>
        </w:rPr>
        <w:t>3</w:t>
      </w:r>
      <w:r w:rsidRPr="006B6FDC">
        <w:rPr>
          <w:bCs/>
          <w:i/>
          <w:iCs/>
        </w:rPr>
        <w:t>.</w:t>
      </w:r>
      <w:r w:rsidRPr="006B6FDC">
        <w:rPr>
          <w:bCs/>
          <w:iCs/>
        </w:rPr>
        <w:t>, to read:</w:t>
      </w:r>
    </w:p>
    <w:p w14:paraId="169A987C" w14:textId="6D7587AA" w:rsidR="00012C6F" w:rsidRPr="002D7626" w:rsidRDefault="008316AC" w:rsidP="00012C6F">
      <w:pPr>
        <w:spacing w:after="120"/>
        <w:ind w:left="2268" w:right="1134" w:hanging="1134"/>
        <w:jc w:val="both"/>
      </w:pPr>
      <w:r>
        <w:t>"</w:t>
      </w:r>
      <w:r w:rsidR="00012C6F" w:rsidRPr="002D7626">
        <w:t>13</w:t>
      </w:r>
      <w:r w:rsidR="00012C6F" w:rsidRPr="002D7626">
        <w:rPr>
          <w:rFonts w:hint="eastAsia"/>
          <w:lang w:eastAsia="ja-JP"/>
        </w:rPr>
        <w:t>.3</w:t>
      </w:r>
      <w:r w:rsidR="00012C6F" w:rsidRPr="002D7626">
        <w:t>.</w:t>
      </w:r>
      <w:r w:rsidR="00012C6F" w:rsidRPr="002D7626">
        <w:tab/>
        <w:t>Transitional provisions applicable to</w:t>
      </w:r>
      <w:r w:rsidR="00012C6F" w:rsidRPr="002D7626">
        <w:rPr>
          <w:lang w:eastAsia="ja-JP"/>
        </w:rPr>
        <w:t xml:space="preserve"> the </w:t>
      </w:r>
      <w:r w:rsidR="00012C6F" w:rsidRPr="002D7626">
        <w:t>0</w:t>
      </w:r>
      <w:r w:rsidR="00012C6F" w:rsidRPr="002D7626">
        <w:rPr>
          <w:rFonts w:hint="eastAsia"/>
          <w:lang w:eastAsia="ja-JP"/>
        </w:rPr>
        <w:t>2</w:t>
      </w:r>
      <w:r w:rsidR="00012C6F" w:rsidRPr="002D7626">
        <w:t xml:space="preserve"> series of amendments.</w:t>
      </w:r>
      <w:r>
        <w:t>"</w:t>
      </w:r>
    </w:p>
    <w:p w14:paraId="6711A075" w14:textId="77777777" w:rsidR="00012C6F" w:rsidRPr="006B6FDC" w:rsidRDefault="00012C6F" w:rsidP="00012C6F">
      <w:pPr>
        <w:spacing w:after="120"/>
        <w:ind w:left="2268" w:right="1134" w:hanging="1134"/>
        <w:jc w:val="both"/>
        <w:rPr>
          <w:iCs/>
          <w:lang w:eastAsia="ja-JP"/>
        </w:rPr>
      </w:pPr>
      <w:r w:rsidRPr="006B6FDC">
        <w:rPr>
          <w:i/>
        </w:rPr>
        <w:t>Paragraph</w:t>
      </w:r>
      <w:r w:rsidRPr="006B6FDC">
        <w:rPr>
          <w:rFonts w:hint="eastAsia"/>
          <w:i/>
          <w:lang w:eastAsia="ja-JP"/>
        </w:rPr>
        <w:t>s</w:t>
      </w:r>
      <w:r w:rsidRPr="006B6FDC">
        <w:rPr>
          <w:i/>
        </w:rPr>
        <w:t xml:space="preserve"> 1</w:t>
      </w:r>
      <w:r w:rsidRPr="006B6FDC">
        <w:rPr>
          <w:rFonts w:hint="eastAsia"/>
          <w:i/>
          <w:lang w:eastAsia="ja-JP"/>
        </w:rPr>
        <w:t>3</w:t>
      </w:r>
      <w:r w:rsidRPr="006B6FDC">
        <w:rPr>
          <w:i/>
        </w:rPr>
        <w:t>.</w:t>
      </w:r>
      <w:r w:rsidRPr="006B6FDC">
        <w:rPr>
          <w:rFonts w:hint="eastAsia"/>
          <w:i/>
          <w:lang w:eastAsia="ja-JP"/>
        </w:rPr>
        <w:t>6</w:t>
      </w:r>
      <w:r>
        <w:rPr>
          <w:i/>
          <w:lang w:eastAsia="ja-JP"/>
        </w:rPr>
        <w:t>.</w:t>
      </w:r>
      <w:r w:rsidRPr="006B6FDC">
        <w:rPr>
          <w:rFonts w:hint="eastAsia"/>
          <w:i/>
          <w:lang w:eastAsia="ja-JP"/>
        </w:rPr>
        <w:t xml:space="preserve"> </w:t>
      </w:r>
      <w:r w:rsidRPr="006B6FDC">
        <w:rPr>
          <w:i/>
          <w:lang w:eastAsia="ja-JP"/>
        </w:rPr>
        <w:t>to</w:t>
      </w:r>
      <w:r w:rsidRPr="006B6FDC">
        <w:rPr>
          <w:rFonts w:hint="eastAsia"/>
          <w:i/>
          <w:lang w:eastAsia="ja-JP"/>
        </w:rPr>
        <w:t xml:space="preserve"> 13.7. (former), </w:t>
      </w:r>
      <w:r w:rsidRPr="006B6FDC">
        <w:rPr>
          <w:iCs/>
        </w:rPr>
        <w:t>renumber as paragraph</w:t>
      </w:r>
      <w:r w:rsidRPr="006B6FDC">
        <w:rPr>
          <w:rFonts w:hint="eastAsia"/>
          <w:iCs/>
          <w:lang w:eastAsia="ja-JP"/>
        </w:rPr>
        <w:t>s</w:t>
      </w:r>
      <w:r w:rsidRPr="006B6FDC">
        <w:rPr>
          <w:iCs/>
        </w:rPr>
        <w:t xml:space="preserve"> 13.</w:t>
      </w:r>
      <w:r w:rsidRPr="006B6FDC">
        <w:rPr>
          <w:rFonts w:hint="eastAsia"/>
          <w:iCs/>
          <w:lang w:eastAsia="ja-JP"/>
        </w:rPr>
        <w:t>3</w:t>
      </w:r>
      <w:r w:rsidRPr="006B6FDC">
        <w:rPr>
          <w:iCs/>
        </w:rPr>
        <w:t>.</w:t>
      </w:r>
      <w:r w:rsidRPr="006B6FDC">
        <w:rPr>
          <w:rFonts w:hint="eastAsia"/>
          <w:iCs/>
          <w:lang w:eastAsia="ja-JP"/>
        </w:rPr>
        <w:t>2</w:t>
      </w:r>
      <w:r w:rsidRPr="006B6FDC">
        <w:rPr>
          <w:iCs/>
        </w:rPr>
        <w:t>.</w:t>
      </w:r>
      <w:r w:rsidRPr="006B6FDC">
        <w:rPr>
          <w:rFonts w:hint="eastAsia"/>
          <w:iCs/>
          <w:lang w:eastAsia="ja-JP"/>
        </w:rPr>
        <w:t xml:space="preserve"> to 13.3.3.</w:t>
      </w:r>
    </w:p>
    <w:p w14:paraId="2A45960D" w14:textId="77777777" w:rsidR="00012C6F" w:rsidRPr="006B6FDC" w:rsidRDefault="00012C6F" w:rsidP="00012C6F">
      <w:pPr>
        <w:spacing w:after="120"/>
        <w:ind w:left="2268" w:right="1134" w:hanging="1134"/>
        <w:jc w:val="both"/>
        <w:rPr>
          <w:b/>
          <w:bCs/>
          <w:iCs/>
          <w:highlight w:val="yellow"/>
          <w:lang w:eastAsia="ja-JP"/>
        </w:rPr>
      </w:pPr>
      <w:r w:rsidRPr="006B6FDC">
        <w:rPr>
          <w:i/>
        </w:rPr>
        <w:t>Delete paragraph</w:t>
      </w:r>
      <w:r w:rsidRPr="006B6FDC">
        <w:rPr>
          <w:rFonts w:hint="eastAsia"/>
          <w:i/>
          <w:lang w:eastAsia="ja-JP"/>
        </w:rPr>
        <w:t>s</w:t>
      </w:r>
      <w:r w:rsidRPr="006B6FDC">
        <w:rPr>
          <w:i/>
        </w:rPr>
        <w:t xml:space="preserve"> 1</w:t>
      </w:r>
      <w:r w:rsidRPr="006B6FDC">
        <w:rPr>
          <w:rFonts w:hint="eastAsia"/>
          <w:i/>
          <w:lang w:eastAsia="ja-JP"/>
        </w:rPr>
        <w:t>3</w:t>
      </w:r>
      <w:r w:rsidRPr="006B6FDC">
        <w:rPr>
          <w:i/>
        </w:rPr>
        <w:t>.</w:t>
      </w:r>
      <w:r w:rsidRPr="006B6FDC">
        <w:rPr>
          <w:i/>
          <w:lang w:eastAsia="ja-JP"/>
        </w:rPr>
        <w:t>8</w:t>
      </w:r>
      <w:r w:rsidRPr="006B6FDC">
        <w:rPr>
          <w:rFonts w:hint="eastAsia"/>
          <w:i/>
          <w:lang w:eastAsia="ja-JP"/>
        </w:rPr>
        <w:t xml:space="preserve"> </w:t>
      </w:r>
      <w:r w:rsidRPr="006B6FDC">
        <w:rPr>
          <w:i/>
          <w:lang w:eastAsia="ja-JP"/>
        </w:rPr>
        <w:t>to</w:t>
      </w:r>
      <w:r w:rsidRPr="006B6FDC">
        <w:rPr>
          <w:rFonts w:hint="eastAsia"/>
          <w:i/>
          <w:lang w:eastAsia="ja-JP"/>
        </w:rPr>
        <w:t xml:space="preserve"> 13.</w:t>
      </w:r>
      <w:r w:rsidRPr="006B6FDC">
        <w:rPr>
          <w:i/>
          <w:lang w:eastAsia="ja-JP"/>
        </w:rPr>
        <w:t>9</w:t>
      </w:r>
      <w:r w:rsidRPr="006B6FDC">
        <w:rPr>
          <w:rFonts w:hint="eastAsia"/>
          <w:i/>
          <w:lang w:eastAsia="ja-JP"/>
        </w:rPr>
        <w:t>.</w:t>
      </w:r>
    </w:p>
    <w:p w14:paraId="4A9A39A1" w14:textId="0F11026C" w:rsidR="00012C6F" w:rsidRPr="006B6FDC" w:rsidRDefault="00012C6F" w:rsidP="00012C6F">
      <w:pPr>
        <w:spacing w:after="120"/>
        <w:ind w:left="2268" w:right="1134" w:hanging="1134"/>
        <w:jc w:val="both"/>
        <w:rPr>
          <w:bCs/>
          <w:iCs/>
        </w:rPr>
      </w:pPr>
      <w:r w:rsidRPr="006B6FDC">
        <w:rPr>
          <w:bCs/>
          <w:i/>
          <w:iCs/>
        </w:rPr>
        <w:t>Insert new paragraph</w:t>
      </w:r>
      <w:r w:rsidRPr="006B6FDC">
        <w:rPr>
          <w:rFonts w:hint="eastAsia"/>
          <w:bCs/>
          <w:i/>
          <w:iCs/>
          <w:lang w:eastAsia="ja-JP"/>
        </w:rPr>
        <w:t xml:space="preserve">s </w:t>
      </w:r>
      <w:r w:rsidRPr="006B6FDC">
        <w:rPr>
          <w:bCs/>
          <w:i/>
          <w:iCs/>
        </w:rPr>
        <w:t>13.</w:t>
      </w:r>
      <w:r w:rsidRPr="006B6FDC">
        <w:rPr>
          <w:rFonts w:hint="eastAsia"/>
          <w:bCs/>
          <w:i/>
          <w:iCs/>
          <w:lang w:eastAsia="ja-JP"/>
        </w:rPr>
        <w:t xml:space="preserve">4. </w:t>
      </w:r>
      <w:r w:rsidRPr="006B6FDC">
        <w:rPr>
          <w:bCs/>
          <w:i/>
          <w:iCs/>
          <w:lang w:eastAsia="ja-JP"/>
        </w:rPr>
        <w:t>to</w:t>
      </w:r>
      <w:r w:rsidRPr="006B6FDC">
        <w:rPr>
          <w:rFonts w:hint="eastAsia"/>
          <w:bCs/>
          <w:i/>
          <w:iCs/>
          <w:lang w:eastAsia="ja-JP"/>
        </w:rPr>
        <w:t xml:space="preserve"> 13</w:t>
      </w:r>
      <w:r w:rsidR="00A0126D">
        <w:rPr>
          <w:bCs/>
          <w:i/>
          <w:iCs/>
          <w:lang w:eastAsia="ja-JP"/>
        </w:rPr>
        <w:t>.</w:t>
      </w:r>
      <w:r w:rsidRPr="006B6FDC">
        <w:rPr>
          <w:rFonts w:hint="eastAsia"/>
          <w:bCs/>
          <w:i/>
          <w:iCs/>
          <w:lang w:eastAsia="ja-JP"/>
        </w:rPr>
        <w:t>4.4</w:t>
      </w:r>
      <w:r w:rsidRPr="006B6FDC">
        <w:rPr>
          <w:bCs/>
          <w:i/>
          <w:iCs/>
        </w:rPr>
        <w:t>.</w:t>
      </w:r>
      <w:r w:rsidRPr="006B6FDC">
        <w:rPr>
          <w:bCs/>
          <w:iCs/>
        </w:rPr>
        <w:t>, to read:</w:t>
      </w:r>
    </w:p>
    <w:p w14:paraId="19A1A537" w14:textId="50E281F6" w:rsidR="00012C6F" w:rsidRPr="002D7626" w:rsidRDefault="008316AC" w:rsidP="00012C6F">
      <w:pPr>
        <w:spacing w:after="120"/>
        <w:ind w:left="2268" w:right="1134" w:hanging="1134"/>
        <w:jc w:val="both"/>
      </w:pPr>
      <w:r>
        <w:t>"</w:t>
      </w:r>
      <w:r w:rsidR="00012C6F" w:rsidRPr="002D7626">
        <w:t>13</w:t>
      </w:r>
      <w:r w:rsidR="00012C6F" w:rsidRPr="002D7626">
        <w:rPr>
          <w:rFonts w:hint="eastAsia"/>
          <w:lang w:eastAsia="ja-JP"/>
        </w:rPr>
        <w:t>.4</w:t>
      </w:r>
      <w:r w:rsidR="00012C6F" w:rsidRPr="002D7626">
        <w:t>.</w:t>
      </w:r>
      <w:r w:rsidR="00012C6F" w:rsidRPr="002D7626">
        <w:tab/>
        <w:t>Transitional provisions applicable to</w:t>
      </w:r>
      <w:r w:rsidR="00012C6F" w:rsidRPr="002D7626">
        <w:rPr>
          <w:lang w:eastAsia="ja-JP"/>
        </w:rPr>
        <w:t xml:space="preserve"> the </w:t>
      </w:r>
      <w:r w:rsidR="00012C6F" w:rsidRPr="002D7626">
        <w:t>0</w:t>
      </w:r>
      <w:r w:rsidR="00012C6F" w:rsidRPr="002D7626">
        <w:rPr>
          <w:rFonts w:hint="eastAsia"/>
          <w:lang w:eastAsia="ja-JP"/>
        </w:rPr>
        <w:t>3</w:t>
      </w:r>
      <w:r w:rsidR="00012C6F" w:rsidRPr="002D7626">
        <w:t xml:space="preserve"> series of amendments.</w:t>
      </w:r>
    </w:p>
    <w:p w14:paraId="694BECA5" w14:textId="77777777" w:rsidR="00012C6F" w:rsidRPr="002D7626" w:rsidRDefault="00012C6F" w:rsidP="00012C6F">
      <w:pPr>
        <w:spacing w:after="120"/>
        <w:ind w:left="2268" w:right="1134" w:hanging="1134"/>
        <w:jc w:val="both"/>
        <w:rPr>
          <w:rFonts w:eastAsia="Yu Mincho"/>
          <w:snapToGrid w:val="0"/>
          <w:lang w:eastAsia="ja-JP"/>
        </w:rPr>
      </w:pPr>
      <w:bookmarkStart w:id="0" w:name="_Hlk183509831"/>
      <w:r w:rsidRPr="002D7626">
        <w:rPr>
          <w:rFonts w:eastAsia="Yu Mincho"/>
          <w:snapToGrid w:val="0"/>
          <w:lang w:eastAsia="ja-JP"/>
        </w:rPr>
        <w:t>13.</w:t>
      </w:r>
      <w:r w:rsidRPr="002D7626">
        <w:rPr>
          <w:rFonts w:eastAsia="Yu Mincho" w:hint="eastAsia"/>
          <w:snapToGrid w:val="0"/>
          <w:lang w:eastAsia="ja-JP"/>
        </w:rPr>
        <w:t>4.1.</w:t>
      </w:r>
      <w:r w:rsidRPr="002D7626">
        <w:rPr>
          <w:rFonts w:eastAsia="Yu Mincho"/>
          <w:snapToGrid w:val="0"/>
          <w:lang w:eastAsia="ja-JP"/>
        </w:rPr>
        <w:tab/>
        <w:t>As from the official date of entry into force of the 03 series of amendments, no Contracting Party applying this UN Regulation shall refuse to grant or refuse to accept UN type approvals under this UN Regulation as amended by the 03 series of amendments.</w:t>
      </w:r>
    </w:p>
    <w:p w14:paraId="20C26297" w14:textId="3B8DBBA1" w:rsidR="00012C6F" w:rsidRPr="002D7626" w:rsidRDefault="00012C6F" w:rsidP="00012C6F">
      <w:pPr>
        <w:spacing w:after="120"/>
        <w:ind w:left="2268" w:right="1134" w:hanging="1134"/>
        <w:jc w:val="both"/>
        <w:rPr>
          <w:rFonts w:eastAsia="Yu Mincho"/>
          <w:snapToGrid w:val="0"/>
          <w:lang w:eastAsia="ja-JP"/>
        </w:rPr>
      </w:pPr>
      <w:r w:rsidRPr="002D7626">
        <w:rPr>
          <w:rFonts w:eastAsia="Yu Mincho"/>
          <w:snapToGrid w:val="0"/>
          <w:lang w:eastAsia="ja-JP"/>
        </w:rPr>
        <w:t>13.</w:t>
      </w:r>
      <w:r w:rsidRPr="002D7626">
        <w:rPr>
          <w:rFonts w:eastAsia="Yu Mincho" w:hint="eastAsia"/>
          <w:snapToGrid w:val="0"/>
          <w:lang w:eastAsia="ja-JP"/>
        </w:rPr>
        <w:t>4</w:t>
      </w:r>
      <w:r w:rsidRPr="002D7626">
        <w:rPr>
          <w:rFonts w:eastAsia="Yu Mincho"/>
          <w:snapToGrid w:val="0"/>
          <w:lang w:eastAsia="ja-JP"/>
        </w:rPr>
        <w:t>.</w:t>
      </w:r>
      <w:r w:rsidRPr="002D7626">
        <w:rPr>
          <w:rFonts w:eastAsia="Yu Mincho" w:hint="eastAsia"/>
          <w:snapToGrid w:val="0"/>
          <w:lang w:eastAsia="ja-JP"/>
        </w:rPr>
        <w:t>2.</w:t>
      </w:r>
      <w:r w:rsidRPr="002D7626">
        <w:rPr>
          <w:rFonts w:eastAsia="Yu Mincho"/>
          <w:snapToGrid w:val="0"/>
          <w:lang w:eastAsia="ja-JP"/>
        </w:rPr>
        <w:tab/>
        <w:t xml:space="preserve">As from 1 September 2028, Contracting Parties applying this </w:t>
      </w:r>
      <w:r w:rsidR="004E461B">
        <w:rPr>
          <w:rFonts w:eastAsia="Yu Mincho"/>
          <w:snapToGrid w:val="0"/>
          <w:lang w:eastAsia="ja-JP"/>
        </w:rPr>
        <w:t xml:space="preserve">UN </w:t>
      </w:r>
      <w:r w:rsidRPr="002D7626">
        <w:rPr>
          <w:rFonts w:eastAsia="Yu Mincho"/>
          <w:snapToGrid w:val="0"/>
          <w:lang w:eastAsia="ja-JP"/>
        </w:rPr>
        <w:t xml:space="preserve">Regulation shall not be obliged to accept type approvals to </w:t>
      </w:r>
      <w:r w:rsidRPr="002D7626">
        <w:rPr>
          <w:rFonts w:eastAsia="Yu Mincho" w:hint="eastAsia"/>
          <w:snapToGrid w:val="0"/>
          <w:lang w:eastAsia="ja-JP"/>
        </w:rPr>
        <w:t xml:space="preserve">any of </w:t>
      </w:r>
      <w:r w:rsidRPr="002D7626">
        <w:rPr>
          <w:rFonts w:eastAsia="Yu Mincho"/>
          <w:snapToGrid w:val="0"/>
          <w:lang w:eastAsia="ja-JP"/>
        </w:rPr>
        <w:t>the preceding series of amendments, first issued after 1 September 2028.</w:t>
      </w:r>
      <w:r w:rsidRPr="002D7626">
        <w:rPr>
          <w:lang w:eastAsia="ja-JP"/>
        </w:rPr>
        <w:t xml:space="preserve"> </w:t>
      </w:r>
    </w:p>
    <w:p w14:paraId="5C4CFCDE" w14:textId="172A4D1D" w:rsidR="00012C6F" w:rsidRPr="002D7626" w:rsidRDefault="00012C6F" w:rsidP="00012C6F">
      <w:pPr>
        <w:spacing w:after="120"/>
        <w:ind w:left="2268" w:right="1134" w:hanging="1134"/>
        <w:jc w:val="both"/>
        <w:rPr>
          <w:rFonts w:eastAsia="Yu Mincho"/>
          <w:snapToGrid w:val="0"/>
          <w:lang w:eastAsia="ja-JP"/>
        </w:rPr>
      </w:pPr>
      <w:bookmarkStart w:id="1" w:name="_Hlk183509858"/>
      <w:bookmarkEnd w:id="0"/>
      <w:r w:rsidRPr="002D7626">
        <w:rPr>
          <w:rFonts w:eastAsia="Yu Mincho"/>
          <w:snapToGrid w:val="0"/>
          <w:lang w:eastAsia="ja-JP"/>
        </w:rPr>
        <w:t>13.</w:t>
      </w:r>
      <w:r w:rsidRPr="002D7626">
        <w:rPr>
          <w:rFonts w:eastAsia="Yu Mincho" w:hint="eastAsia"/>
          <w:snapToGrid w:val="0"/>
          <w:lang w:eastAsia="ja-JP"/>
        </w:rPr>
        <w:t>4.3.</w:t>
      </w:r>
      <w:r w:rsidRPr="002D7626">
        <w:rPr>
          <w:rFonts w:eastAsia="Yu Mincho"/>
          <w:snapToGrid w:val="0"/>
          <w:lang w:eastAsia="ja-JP"/>
        </w:rPr>
        <w:t xml:space="preserve"> </w:t>
      </w:r>
      <w:r w:rsidRPr="002D7626">
        <w:rPr>
          <w:rFonts w:eastAsia="Yu Mincho"/>
          <w:snapToGrid w:val="0"/>
          <w:lang w:eastAsia="ja-JP"/>
        </w:rPr>
        <w:tab/>
        <w:t xml:space="preserve">Until 1 September 2029, Contracting Parties applying this </w:t>
      </w:r>
      <w:r w:rsidR="004E461B">
        <w:rPr>
          <w:rFonts w:eastAsia="Yu Mincho"/>
          <w:snapToGrid w:val="0"/>
          <w:lang w:eastAsia="ja-JP"/>
        </w:rPr>
        <w:t xml:space="preserve">UN </w:t>
      </w:r>
      <w:r w:rsidRPr="002D7626">
        <w:rPr>
          <w:rFonts w:eastAsia="Yu Mincho"/>
          <w:snapToGrid w:val="0"/>
          <w:lang w:eastAsia="ja-JP"/>
        </w:rPr>
        <w:t xml:space="preserve">Regulation shall accept type approvals to </w:t>
      </w:r>
      <w:r w:rsidRPr="002D7626">
        <w:rPr>
          <w:rFonts w:eastAsia="Yu Mincho" w:hint="eastAsia"/>
          <w:snapToGrid w:val="0"/>
          <w:lang w:eastAsia="ja-JP"/>
        </w:rPr>
        <w:t xml:space="preserve">any of </w:t>
      </w:r>
      <w:r w:rsidRPr="002D7626">
        <w:rPr>
          <w:rFonts w:eastAsia="Yu Mincho"/>
          <w:snapToGrid w:val="0"/>
          <w:lang w:eastAsia="ja-JP"/>
        </w:rPr>
        <w:t>the preceding series of amendments, first issued before 1 September Date 2028</w:t>
      </w:r>
      <w:bookmarkStart w:id="2" w:name="_Hlk183994802"/>
      <w:r w:rsidRPr="002D7626">
        <w:rPr>
          <w:rFonts w:eastAsia="Yu Mincho"/>
          <w:snapToGrid w:val="0"/>
          <w:lang w:eastAsia="ja-JP"/>
        </w:rPr>
        <w:t>, provided the transitional provisions in these respective preceding series of amendments foresee this possibility</w:t>
      </w:r>
      <w:bookmarkEnd w:id="2"/>
      <w:r w:rsidRPr="002D7626">
        <w:rPr>
          <w:rFonts w:eastAsia="Yu Mincho"/>
          <w:snapToGrid w:val="0"/>
          <w:lang w:eastAsia="ja-JP"/>
        </w:rPr>
        <w:t>.</w:t>
      </w:r>
    </w:p>
    <w:p w14:paraId="108DAB77" w14:textId="76724499" w:rsidR="00012C6F" w:rsidRPr="002D7626" w:rsidRDefault="00012C6F" w:rsidP="00012C6F">
      <w:pPr>
        <w:spacing w:after="120"/>
        <w:ind w:left="2268" w:right="1134" w:hanging="1134"/>
        <w:jc w:val="both"/>
        <w:rPr>
          <w:rFonts w:eastAsia="Yu Mincho"/>
          <w:snapToGrid w:val="0"/>
          <w:lang w:eastAsia="ja-JP"/>
        </w:rPr>
      </w:pPr>
      <w:r w:rsidRPr="002D7626">
        <w:rPr>
          <w:rFonts w:eastAsia="Yu Mincho"/>
          <w:snapToGrid w:val="0"/>
          <w:lang w:eastAsia="ja-JP"/>
        </w:rPr>
        <w:t>13.</w:t>
      </w:r>
      <w:r w:rsidRPr="002D7626">
        <w:rPr>
          <w:rFonts w:eastAsia="Yu Mincho" w:hint="eastAsia"/>
          <w:snapToGrid w:val="0"/>
          <w:lang w:eastAsia="ja-JP"/>
        </w:rPr>
        <w:t>4.4.</w:t>
      </w:r>
      <w:r w:rsidRPr="002D7626">
        <w:rPr>
          <w:rFonts w:eastAsia="Yu Mincho"/>
          <w:snapToGrid w:val="0"/>
          <w:lang w:eastAsia="ja-JP"/>
        </w:rPr>
        <w:t xml:space="preserve"> </w:t>
      </w:r>
      <w:r w:rsidRPr="002D7626">
        <w:rPr>
          <w:rFonts w:eastAsia="Yu Mincho"/>
          <w:snapToGrid w:val="0"/>
          <w:lang w:eastAsia="ja-JP"/>
        </w:rPr>
        <w:tab/>
        <w:t>As from 1 September 2029, Contracting Parties applying this</w:t>
      </w:r>
      <w:r w:rsidR="004E461B">
        <w:rPr>
          <w:rFonts w:eastAsia="Yu Mincho"/>
          <w:snapToGrid w:val="0"/>
          <w:lang w:eastAsia="ja-JP"/>
        </w:rPr>
        <w:t xml:space="preserve"> UN</w:t>
      </w:r>
      <w:r w:rsidRPr="002D7626">
        <w:rPr>
          <w:rFonts w:eastAsia="Yu Mincho"/>
          <w:snapToGrid w:val="0"/>
          <w:lang w:eastAsia="ja-JP"/>
        </w:rPr>
        <w:t xml:space="preserve"> Regulation shall not be obliged to accept type approvals issued to </w:t>
      </w:r>
      <w:r w:rsidRPr="002D7626">
        <w:rPr>
          <w:rFonts w:eastAsia="Yu Mincho" w:hint="eastAsia"/>
          <w:snapToGrid w:val="0"/>
          <w:lang w:eastAsia="ja-JP"/>
        </w:rPr>
        <w:t xml:space="preserve">any of </w:t>
      </w:r>
      <w:r w:rsidRPr="002D7626">
        <w:rPr>
          <w:rFonts w:eastAsia="Yu Mincho"/>
          <w:snapToGrid w:val="0"/>
          <w:lang w:eastAsia="ja-JP"/>
        </w:rPr>
        <w:t>the preceding series of amendments to this Regulation.</w:t>
      </w:r>
    </w:p>
    <w:p w14:paraId="25F7AD67" w14:textId="1CA0A84A" w:rsidR="00012C6F" w:rsidRPr="002D7626" w:rsidRDefault="00012C6F" w:rsidP="00012C6F">
      <w:pPr>
        <w:spacing w:after="120"/>
        <w:ind w:left="2268" w:right="1134" w:hanging="1134"/>
        <w:jc w:val="both"/>
        <w:rPr>
          <w:lang w:eastAsia="ja-JP"/>
        </w:rPr>
      </w:pPr>
      <w:r w:rsidRPr="002D7626">
        <w:rPr>
          <w:rFonts w:eastAsia="Yu Mincho"/>
          <w:snapToGrid w:val="0"/>
          <w:lang w:eastAsia="ja-JP"/>
        </w:rPr>
        <w:t>13.</w:t>
      </w:r>
      <w:r w:rsidRPr="002D7626">
        <w:rPr>
          <w:rFonts w:eastAsia="Yu Mincho" w:hint="eastAsia"/>
          <w:snapToGrid w:val="0"/>
          <w:lang w:eastAsia="ja-JP"/>
        </w:rPr>
        <w:t>4.</w:t>
      </w:r>
      <w:r w:rsidRPr="002D7626">
        <w:rPr>
          <w:rFonts w:eastAsia="Yu Mincho"/>
          <w:snapToGrid w:val="0"/>
          <w:lang w:eastAsia="ja-JP"/>
        </w:rPr>
        <w:t>5</w:t>
      </w:r>
      <w:r w:rsidRPr="002D7626">
        <w:rPr>
          <w:rFonts w:eastAsia="Yu Mincho" w:hint="eastAsia"/>
          <w:snapToGrid w:val="0"/>
          <w:lang w:eastAsia="ja-JP"/>
        </w:rPr>
        <w:t>.</w:t>
      </w:r>
      <w:r w:rsidRPr="002D7626">
        <w:rPr>
          <w:rFonts w:eastAsia="Yu Mincho"/>
          <w:snapToGrid w:val="0"/>
          <w:lang w:eastAsia="ja-JP"/>
        </w:rPr>
        <w:t xml:space="preserve"> </w:t>
      </w:r>
      <w:r w:rsidRPr="002D7626">
        <w:rPr>
          <w:rFonts w:eastAsia="Yu Mincho"/>
          <w:snapToGrid w:val="0"/>
          <w:lang w:eastAsia="ja-JP"/>
        </w:rPr>
        <w:tab/>
        <w:t>Notwithstanding paragraph 13.</w:t>
      </w:r>
      <w:r w:rsidRPr="002D7626">
        <w:rPr>
          <w:rFonts w:eastAsia="Yu Mincho" w:hint="eastAsia"/>
          <w:snapToGrid w:val="0"/>
          <w:lang w:eastAsia="ja-JP"/>
        </w:rPr>
        <w:t>4.4</w:t>
      </w:r>
      <w:r w:rsidRPr="002D7626">
        <w:rPr>
          <w:rFonts w:eastAsia="Yu Mincho"/>
          <w:snapToGrid w:val="0"/>
          <w:lang w:eastAsia="ja-JP"/>
        </w:rPr>
        <w:t>., Contracting</w:t>
      </w:r>
      <w:r w:rsidRPr="002D7626">
        <w:rPr>
          <w:lang w:eastAsia="ja-JP"/>
        </w:rPr>
        <w:t xml:space="preserve"> Parties applying this </w:t>
      </w:r>
      <w:r w:rsidR="004E461B">
        <w:rPr>
          <w:lang w:eastAsia="ja-JP"/>
        </w:rPr>
        <w:t xml:space="preserve">UN </w:t>
      </w:r>
      <w:r w:rsidRPr="002D7626">
        <w:rPr>
          <w:lang w:eastAsia="ja-JP"/>
        </w:rPr>
        <w:t xml:space="preserve">Regulation shall also continue to accept type approvals issued according to any of the preceding series of amendments to this </w:t>
      </w:r>
      <w:r w:rsidR="0006705A">
        <w:rPr>
          <w:lang w:eastAsia="ja-JP"/>
        </w:rPr>
        <w:t xml:space="preserve">UN </w:t>
      </w:r>
      <w:r w:rsidRPr="002D7626">
        <w:rPr>
          <w:lang w:eastAsia="ja-JP"/>
        </w:rPr>
        <w:t xml:space="preserve">Regulation, for the vehicles or vehicle systems which are not affected by the changes introduced by the </w:t>
      </w:r>
      <w:r w:rsidRPr="002D7626">
        <w:rPr>
          <w:rFonts w:hint="eastAsia"/>
          <w:lang w:eastAsia="ja-JP"/>
        </w:rPr>
        <w:t>03</w:t>
      </w:r>
      <w:r w:rsidRPr="002D7626">
        <w:rPr>
          <w:lang w:eastAsia="ja-JP"/>
        </w:rPr>
        <w:t xml:space="preserve"> series of amendments, provided the transitional provisions in these respective preceding series of amendments foresee this possibility.</w:t>
      </w:r>
      <w:r w:rsidR="008316AC">
        <w:rPr>
          <w:iCs/>
        </w:rPr>
        <w:t>"</w:t>
      </w:r>
    </w:p>
    <w:bookmarkEnd w:id="1"/>
    <w:p w14:paraId="620A4AAD" w14:textId="348B2FD7" w:rsidR="00012C6F" w:rsidRPr="006B6FDC" w:rsidRDefault="00012C6F" w:rsidP="00F0671D">
      <w:pPr>
        <w:spacing w:after="120"/>
        <w:ind w:left="1134" w:right="1134"/>
        <w:jc w:val="both"/>
      </w:pPr>
      <w:r w:rsidRPr="006B6FDC">
        <w:rPr>
          <w:i/>
          <w:iCs/>
        </w:rPr>
        <w:t>Annex 2, Model A,</w:t>
      </w:r>
      <w:r w:rsidR="00F0671D">
        <w:rPr>
          <w:i/>
          <w:iCs/>
        </w:rPr>
        <w:t xml:space="preserve"> </w:t>
      </w:r>
      <w:r w:rsidR="00F0671D" w:rsidRPr="00F0671D">
        <w:t>i</w:t>
      </w:r>
      <w:r w:rsidRPr="006B6FDC">
        <w:t xml:space="preserve">n the figure, replace </w:t>
      </w:r>
      <w:r w:rsidR="008316AC">
        <w:t>"</w:t>
      </w:r>
      <w:r w:rsidRPr="006B6FDC">
        <w:t>02185</w:t>
      </w:r>
      <w:r w:rsidR="008316AC">
        <w:t>"</w:t>
      </w:r>
      <w:r w:rsidRPr="006B6FDC">
        <w:t xml:space="preserve"> by </w:t>
      </w:r>
      <w:r w:rsidR="008316AC">
        <w:t>"</w:t>
      </w:r>
      <w:r w:rsidRPr="006B6FDC">
        <w:t>03185</w:t>
      </w:r>
      <w:r w:rsidR="008316AC">
        <w:t>"</w:t>
      </w:r>
      <w:r w:rsidRPr="006B6FDC">
        <w:t xml:space="preserve">. In the paragraph under the figure, replace </w:t>
      </w:r>
      <w:r w:rsidR="008316AC">
        <w:t>"</w:t>
      </w:r>
      <w:r w:rsidRPr="006B6FDC">
        <w:t>02 series of amendments</w:t>
      </w:r>
      <w:r w:rsidR="008316AC">
        <w:t>"</w:t>
      </w:r>
      <w:r w:rsidRPr="006B6FDC">
        <w:t xml:space="preserve"> by </w:t>
      </w:r>
      <w:r w:rsidR="008316AC">
        <w:t>"</w:t>
      </w:r>
      <w:r w:rsidRPr="006B6FDC">
        <w:t>03 series of amendments</w:t>
      </w:r>
      <w:r w:rsidR="008316AC">
        <w:t>"</w:t>
      </w:r>
      <w:r w:rsidRPr="006B6FDC">
        <w:t>.</w:t>
      </w:r>
    </w:p>
    <w:p w14:paraId="04DDFC84" w14:textId="2B81A0CD" w:rsidR="00012C6F" w:rsidRPr="006B6FDC" w:rsidRDefault="00012C6F" w:rsidP="00F0671D">
      <w:pPr>
        <w:spacing w:after="120"/>
        <w:ind w:left="1134" w:right="1134"/>
        <w:jc w:val="both"/>
      </w:pPr>
      <w:r w:rsidRPr="006B6FDC">
        <w:rPr>
          <w:i/>
          <w:iCs/>
        </w:rPr>
        <w:t xml:space="preserve">Annex 2, Model B, </w:t>
      </w:r>
      <w:r w:rsidR="00F0671D">
        <w:t>i</w:t>
      </w:r>
      <w:r w:rsidRPr="006B6FDC">
        <w:t xml:space="preserve">n the figure, replace </w:t>
      </w:r>
      <w:r w:rsidR="008316AC">
        <w:t>"</w:t>
      </w:r>
      <w:r w:rsidRPr="006B6FDC">
        <w:t>02 1628</w:t>
      </w:r>
      <w:r w:rsidR="008316AC">
        <w:t>"</w:t>
      </w:r>
      <w:r w:rsidRPr="006B6FDC">
        <w:t xml:space="preserve"> by </w:t>
      </w:r>
      <w:r w:rsidR="008316AC">
        <w:t>"</w:t>
      </w:r>
      <w:r w:rsidRPr="006B6FDC">
        <w:t>03 1628</w:t>
      </w:r>
      <w:r w:rsidR="008316AC">
        <w:t>"</w:t>
      </w:r>
      <w:r w:rsidRPr="006B6FDC">
        <w:t xml:space="preserve">. In the paragraph under the figure, replace the last instance of </w:t>
      </w:r>
      <w:r w:rsidR="008316AC">
        <w:t>"</w:t>
      </w:r>
      <w:r w:rsidRPr="006B6FDC">
        <w:t>02 series of amendments</w:t>
      </w:r>
      <w:r w:rsidR="008316AC">
        <w:t>"</w:t>
      </w:r>
      <w:r w:rsidRPr="006B6FDC">
        <w:t xml:space="preserve"> by </w:t>
      </w:r>
      <w:r w:rsidR="008316AC">
        <w:t>"</w:t>
      </w:r>
      <w:r w:rsidRPr="006B6FDC">
        <w:t>03 series of amendments</w:t>
      </w:r>
      <w:r w:rsidR="008316AC">
        <w:t>"</w:t>
      </w:r>
      <w:r w:rsidRPr="006B6FDC">
        <w:t>.</w:t>
      </w:r>
    </w:p>
    <w:p w14:paraId="7FB37509" w14:textId="20EA3C47" w:rsidR="00C73265" w:rsidRPr="00C73265" w:rsidRDefault="00C73265" w:rsidP="00C73265">
      <w:pPr>
        <w:spacing w:after="120"/>
        <w:ind w:left="1134" w:right="1134"/>
        <w:jc w:val="both"/>
      </w:pPr>
      <w:r w:rsidRPr="00C73265">
        <w:rPr>
          <w:i/>
          <w:iCs/>
          <w:lang w:eastAsia="ja-JP"/>
        </w:rPr>
        <w:t>Annex 3, paragraph 2.1.,</w:t>
      </w:r>
      <w:r w:rsidRPr="00C73265">
        <w:rPr>
          <w:lang w:eastAsia="ja-JP"/>
        </w:rPr>
        <w:t xml:space="preserve"> third sentence after the heading, after </w:t>
      </w:r>
      <w:r w:rsidR="008316AC">
        <w:rPr>
          <w:lang w:eastAsia="ja-JP"/>
        </w:rPr>
        <w:t>"</w:t>
      </w:r>
      <w:r w:rsidRPr="00C73265">
        <w:rPr>
          <w:lang w:eastAsia="ja-JP"/>
        </w:rPr>
        <w:t>container</w:t>
      </w:r>
      <w:r w:rsidR="008316AC">
        <w:rPr>
          <w:lang w:eastAsia="ja-JP"/>
        </w:rPr>
        <w:t>"</w:t>
      </w:r>
      <w:r w:rsidRPr="00C73265">
        <w:rPr>
          <w:lang w:eastAsia="ja-JP"/>
        </w:rPr>
        <w:t xml:space="preserve">, add </w:t>
      </w:r>
      <w:r w:rsidR="008316AC">
        <w:rPr>
          <w:lang w:eastAsia="ja-JP"/>
        </w:rPr>
        <w:t>"</w:t>
      </w:r>
      <w:bookmarkStart w:id="3" w:name="_Hlk183510128"/>
      <w:r w:rsidRPr="00C73265">
        <w:rPr>
          <w:lang w:eastAsia="ja-JP"/>
        </w:rPr>
        <w:t>(</w:t>
      </w:r>
      <w:r w:rsidRPr="00C73265">
        <w:rPr>
          <w:rFonts w:cs="Arial"/>
          <w:lang w:eastAsia="ja-JP"/>
        </w:rPr>
        <w:t>as well as supply lines for additional TPRDs (if any) through appropriate adaptors)</w:t>
      </w:r>
      <w:bookmarkEnd w:id="3"/>
      <w:r w:rsidR="008316AC">
        <w:rPr>
          <w:lang w:eastAsia="ja-JP"/>
        </w:rPr>
        <w:t>"</w:t>
      </w:r>
      <w:r w:rsidRPr="00C73265">
        <w:rPr>
          <w:rFonts w:cs="Arial"/>
          <w:lang w:eastAsia="ja-JP"/>
        </w:rPr>
        <w:t>.</w:t>
      </w:r>
    </w:p>
    <w:p w14:paraId="1EA43274" w14:textId="35371827" w:rsidR="008E23B8" w:rsidRPr="008E23B8" w:rsidRDefault="00C73265" w:rsidP="008E23B8">
      <w:pPr>
        <w:spacing w:after="120"/>
        <w:ind w:left="1134" w:right="1134"/>
        <w:jc w:val="both"/>
      </w:pPr>
      <w:r w:rsidRPr="008E23B8">
        <w:rPr>
          <w:i/>
          <w:iCs/>
          <w:lang w:eastAsia="ja-JP"/>
        </w:rPr>
        <w:t>Annex 3, paragraph 2.2.</w:t>
      </w:r>
      <w:r w:rsidR="00C64A23">
        <w:rPr>
          <w:i/>
          <w:iCs/>
          <w:lang w:eastAsia="ja-JP"/>
        </w:rPr>
        <w:t xml:space="preserve">, </w:t>
      </w:r>
      <w:r w:rsidR="00C64A23" w:rsidRPr="00C64A23">
        <w:rPr>
          <w:lang w:eastAsia="ja-JP"/>
        </w:rPr>
        <w:t>in</w:t>
      </w:r>
      <w:r w:rsidR="004D25C0" w:rsidRPr="00C64A23">
        <w:rPr>
          <w:lang w:eastAsia="ja-JP"/>
        </w:rPr>
        <w:t xml:space="preserve"> (a)</w:t>
      </w:r>
      <w:r w:rsidRPr="00C64A23">
        <w:rPr>
          <w:lang w:eastAsia="ja-JP"/>
        </w:rPr>
        <w:t xml:space="preserve">, </w:t>
      </w:r>
      <w:r w:rsidRPr="008E23B8">
        <w:rPr>
          <w:lang w:eastAsia="ja-JP"/>
        </w:rPr>
        <w:t xml:space="preserve">after </w:t>
      </w:r>
      <w:r w:rsidR="008316AC">
        <w:rPr>
          <w:lang w:eastAsia="ja-JP"/>
        </w:rPr>
        <w:t>"</w:t>
      </w:r>
      <w:r w:rsidR="00350E4B">
        <w:rPr>
          <w:lang w:eastAsia="ja-JP"/>
        </w:rPr>
        <w:t xml:space="preserve">The test </w:t>
      </w:r>
      <w:r w:rsidR="004D25C0" w:rsidRPr="008E23B8">
        <w:rPr>
          <w:lang w:eastAsia="ja-JP"/>
        </w:rPr>
        <w:t>article</w:t>
      </w:r>
      <w:r w:rsidR="008316AC">
        <w:rPr>
          <w:lang w:eastAsia="ja-JP"/>
        </w:rPr>
        <w:t>"</w:t>
      </w:r>
      <w:r w:rsidRPr="008E23B8">
        <w:rPr>
          <w:lang w:eastAsia="ja-JP"/>
        </w:rPr>
        <w:t xml:space="preserve">, add </w:t>
      </w:r>
      <w:r w:rsidR="008316AC">
        <w:rPr>
          <w:lang w:eastAsia="ja-JP"/>
        </w:rPr>
        <w:t>"</w:t>
      </w:r>
      <w:r w:rsidRPr="008E23B8">
        <w:rPr>
          <w:lang w:eastAsia="ja-JP"/>
        </w:rPr>
        <w:t>(</w:t>
      </w:r>
      <w:r w:rsidR="00012C6F" w:rsidRPr="008E23B8">
        <w:t xml:space="preserve">the container as well as supply lines for additional TPRDs </w:t>
      </w:r>
      <w:r w:rsidR="004927BA">
        <w:rPr>
          <w:lang w:val="en-US"/>
        </w:rPr>
        <w:t>(</w:t>
      </w:r>
      <w:r w:rsidR="00012C6F" w:rsidRPr="008E23B8">
        <w:t>if any</w:t>
      </w:r>
      <w:r w:rsidR="004927BA">
        <w:t>)</w:t>
      </w:r>
      <w:r w:rsidR="00012C6F" w:rsidRPr="008E23B8">
        <w:t xml:space="preserve"> through appropriate adaptors)</w:t>
      </w:r>
      <w:r w:rsidR="008316AC">
        <w:t>"</w:t>
      </w:r>
      <w:r w:rsidR="008E23B8" w:rsidRPr="008E23B8">
        <w:t>.</w:t>
      </w:r>
    </w:p>
    <w:p w14:paraId="4ADE95C0" w14:textId="336C2A99" w:rsidR="00012C6F" w:rsidRPr="00114F10" w:rsidRDefault="00012C6F" w:rsidP="00114F10">
      <w:pPr>
        <w:spacing w:after="120"/>
        <w:ind w:left="1134" w:right="1134"/>
        <w:jc w:val="both"/>
        <w:rPr>
          <w:lang w:val="en-US"/>
        </w:rPr>
      </w:pPr>
      <w:r w:rsidRPr="00114F10">
        <w:rPr>
          <w:i/>
          <w:iCs/>
          <w:lang w:eastAsia="ja-JP"/>
        </w:rPr>
        <w:t xml:space="preserve">Annex 3, paragraph 3.1., </w:t>
      </w:r>
      <w:r w:rsidR="00114F10" w:rsidRPr="00114F10">
        <w:rPr>
          <w:lang w:eastAsia="ja-JP"/>
        </w:rPr>
        <w:t xml:space="preserve">after </w:t>
      </w:r>
      <w:r w:rsidR="008316AC">
        <w:rPr>
          <w:lang w:eastAsia="ja-JP"/>
        </w:rPr>
        <w:t>"</w:t>
      </w:r>
      <w:r w:rsidR="00114F10" w:rsidRPr="00114F10">
        <w:rPr>
          <w:lang w:eastAsia="ja-JP"/>
        </w:rPr>
        <w:t>(if any)</w:t>
      </w:r>
      <w:r w:rsidR="008316AC">
        <w:rPr>
          <w:lang w:eastAsia="ja-JP"/>
        </w:rPr>
        <w:t>"</w:t>
      </w:r>
      <w:r w:rsidR="00114F10" w:rsidRPr="00114F10">
        <w:rPr>
          <w:lang w:eastAsia="ja-JP"/>
        </w:rPr>
        <w:t xml:space="preserve">, add </w:t>
      </w:r>
      <w:r w:rsidR="008316AC">
        <w:rPr>
          <w:lang w:eastAsia="ja-JP"/>
        </w:rPr>
        <w:t>"</w:t>
      </w:r>
      <w:r w:rsidR="002170B9">
        <w:rPr>
          <w:lang w:eastAsia="ja-JP"/>
        </w:rPr>
        <w:t xml:space="preserve">, </w:t>
      </w:r>
      <w:r w:rsidRPr="00114F10">
        <w:rPr>
          <w:rFonts w:cs="Arial"/>
          <w:lang w:eastAsia="ja-JP"/>
        </w:rPr>
        <w:t>as well as supply lines for additional TPRDs (if any) through appropriate adaptors</w:t>
      </w:r>
      <w:r w:rsidR="008316AC">
        <w:rPr>
          <w:lang w:val="en-US"/>
        </w:rPr>
        <w:t>"</w:t>
      </w:r>
      <w:r w:rsidR="00114F10" w:rsidRPr="00114F10">
        <w:rPr>
          <w:lang w:val="en-US"/>
        </w:rPr>
        <w:t>.</w:t>
      </w:r>
    </w:p>
    <w:p w14:paraId="3A79A8C6" w14:textId="57A3A542" w:rsidR="00012C6F" w:rsidRPr="000D1A6E" w:rsidRDefault="00012C6F" w:rsidP="000D1A6E">
      <w:pPr>
        <w:spacing w:after="120"/>
        <w:ind w:left="1134" w:right="1134"/>
        <w:jc w:val="both"/>
      </w:pPr>
      <w:r w:rsidRPr="000D1A6E">
        <w:rPr>
          <w:i/>
          <w:iCs/>
          <w:lang w:eastAsia="ja-JP"/>
        </w:rPr>
        <w:lastRenderedPageBreak/>
        <w:t xml:space="preserve">Annex 3, paragraph 3.2., </w:t>
      </w:r>
      <w:r w:rsidR="00C429A6" w:rsidRPr="000D1A6E">
        <w:rPr>
          <w:lang w:eastAsia="ja-JP"/>
        </w:rPr>
        <w:t>first sentence under the heading,</w:t>
      </w:r>
      <w:r w:rsidR="00C429A6" w:rsidRPr="000D1A6E">
        <w:rPr>
          <w:i/>
          <w:iCs/>
          <w:lang w:eastAsia="ja-JP"/>
        </w:rPr>
        <w:t xml:space="preserve"> </w:t>
      </w:r>
      <w:r w:rsidRPr="000D1A6E">
        <w:rPr>
          <w:lang w:eastAsia="ja-JP"/>
        </w:rPr>
        <w:t>amend to read</w:t>
      </w:r>
      <w:r w:rsidR="000D1A6E" w:rsidRPr="000D1A6E">
        <w:rPr>
          <w:lang w:eastAsia="ja-JP"/>
        </w:rPr>
        <w:t xml:space="preserve"> </w:t>
      </w:r>
      <w:r w:rsidR="008316AC">
        <w:rPr>
          <w:lang w:eastAsia="ja-JP"/>
        </w:rPr>
        <w:t>"</w:t>
      </w:r>
      <w:r w:rsidRPr="000D1A6E">
        <w:t xml:space="preserve">The container </w:t>
      </w:r>
      <w:r w:rsidRPr="000D1A6E">
        <w:rPr>
          <w:lang w:eastAsia="ja-JP"/>
        </w:rPr>
        <w:t>and its container attachments (if any)</w:t>
      </w:r>
      <w:r w:rsidRPr="000D1A6E">
        <w:t xml:space="preserve"> is drop tested without internal pressurization, attached valves </w:t>
      </w:r>
      <w:bookmarkStart w:id="4" w:name="_Hlk183510164"/>
      <w:r w:rsidRPr="000D1A6E">
        <w:t>or supply lines for additional TPRDs</w:t>
      </w:r>
      <w:bookmarkEnd w:id="4"/>
      <w:r w:rsidRPr="000D1A6E">
        <w:t>.</w:t>
      </w:r>
      <w:r w:rsidR="008316AC">
        <w:t>"</w:t>
      </w:r>
    </w:p>
    <w:p w14:paraId="684C8766" w14:textId="264BD98C" w:rsidR="00012C6F" w:rsidRPr="006B6FDC" w:rsidRDefault="00012C6F" w:rsidP="00012C6F">
      <w:pPr>
        <w:pStyle w:val="SingleTxtG"/>
      </w:pPr>
      <w:r w:rsidRPr="006B6FDC">
        <w:rPr>
          <w:i/>
        </w:rPr>
        <w:t>Annex 3, paragraph</w:t>
      </w:r>
      <w:r w:rsidRPr="006B6FDC">
        <w:rPr>
          <w:i/>
          <w:lang w:eastAsia="ja-JP"/>
        </w:rPr>
        <w:t xml:space="preserve"> 3.3</w:t>
      </w:r>
      <w:r>
        <w:rPr>
          <w:i/>
          <w:lang w:eastAsia="ja-JP"/>
        </w:rPr>
        <w:t>.</w:t>
      </w:r>
      <w:r w:rsidRPr="006B6FDC">
        <w:rPr>
          <w:i/>
          <w:lang w:eastAsia="ja-JP"/>
        </w:rPr>
        <w:t xml:space="preserve">, </w:t>
      </w:r>
      <w:r w:rsidRPr="006B6FDC">
        <w:rPr>
          <w:iCs/>
        </w:rPr>
        <w:t xml:space="preserve">amend </w:t>
      </w:r>
      <w:r w:rsidR="0070260E">
        <w:rPr>
          <w:iCs/>
        </w:rPr>
        <w:t xml:space="preserve">(a) </w:t>
      </w:r>
      <w:r w:rsidRPr="006B6FDC">
        <w:t>to read:</w:t>
      </w:r>
    </w:p>
    <w:p w14:paraId="2B764737" w14:textId="10625BBA" w:rsidR="00012C6F" w:rsidRPr="0095002B" w:rsidRDefault="008316AC" w:rsidP="005E421B">
      <w:pPr>
        <w:spacing w:after="120"/>
        <w:ind w:left="2268" w:right="1134" w:hanging="1134"/>
        <w:jc w:val="both"/>
      </w:pPr>
      <w:r>
        <w:t>"</w:t>
      </w:r>
      <w:r w:rsidR="0095002B" w:rsidRPr="0095002B">
        <w:t>(a)</w:t>
      </w:r>
      <w:r w:rsidR="0095002B" w:rsidRPr="0095002B">
        <w:tab/>
      </w:r>
      <w:r w:rsidR="00012C6F" w:rsidRPr="0095002B">
        <w:t>Surface flaw generation: A saw cut at least 0.75</w:t>
      </w:r>
      <w:r w:rsidR="002C541C">
        <w:t xml:space="preserve"> </w:t>
      </w:r>
      <w:r w:rsidR="00012C6F" w:rsidRPr="0095002B">
        <w:t>mm deep and 200</w:t>
      </w:r>
      <w:r w:rsidR="002C541C">
        <w:t xml:space="preserve"> </w:t>
      </w:r>
      <w:r w:rsidR="00012C6F" w:rsidRPr="0095002B">
        <w:t xml:space="preserve">mm long is made on the surface specified above. If the container is to be affixed to the vehicle by compressing its composite surface </w:t>
      </w:r>
      <w:bookmarkStart w:id="5" w:name="_Hlk183510275"/>
      <w:r w:rsidR="00012C6F" w:rsidRPr="0095002B">
        <w:t xml:space="preserve">or if the container attachments for additional TPRDs or supply lines are attached to the composite surface of the container, </w:t>
      </w:r>
      <w:bookmarkEnd w:id="5"/>
      <w:r w:rsidR="00012C6F" w:rsidRPr="0095002B">
        <w:t>then a second cut at least 1.25 mm deep and 25 mm long is applied at the end of the container which is opposite to the location of the first cut;</w:t>
      </w:r>
      <w:r>
        <w:t>"</w:t>
      </w:r>
    </w:p>
    <w:p w14:paraId="0B460F0D" w14:textId="4C2EA7E1" w:rsidR="00012C6F" w:rsidRPr="0080759C" w:rsidRDefault="00012C6F" w:rsidP="008F7582">
      <w:pPr>
        <w:spacing w:after="120"/>
        <w:ind w:left="1134" w:right="1134"/>
        <w:jc w:val="both"/>
        <w:rPr>
          <w:lang w:val="en-US"/>
        </w:rPr>
      </w:pPr>
      <w:r w:rsidRPr="0080759C">
        <w:rPr>
          <w:i/>
          <w:iCs/>
          <w:lang w:eastAsia="ja-JP"/>
        </w:rPr>
        <w:t xml:space="preserve">Annex 3, paragraph 3.4., </w:t>
      </w:r>
      <w:r w:rsidR="008F7582" w:rsidRPr="0080759C">
        <w:rPr>
          <w:lang w:eastAsia="ja-JP"/>
        </w:rPr>
        <w:t xml:space="preserve">first paragraph, after </w:t>
      </w:r>
      <w:r w:rsidR="008316AC">
        <w:rPr>
          <w:lang w:eastAsia="ja-JP"/>
        </w:rPr>
        <w:t>"</w:t>
      </w:r>
      <w:r w:rsidRPr="0080759C">
        <w:rPr>
          <w:lang w:val="en-US"/>
        </w:rPr>
        <w:t>if applicable</w:t>
      </w:r>
      <w:r w:rsidR="008316AC">
        <w:rPr>
          <w:lang w:val="en-US"/>
        </w:rPr>
        <w:t>"</w:t>
      </w:r>
      <w:r w:rsidR="0080759C" w:rsidRPr="0080759C">
        <w:rPr>
          <w:lang w:val="en-US"/>
        </w:rPr>
        <w:t>, add</w:t>
      </w:r>
      <w:r w:rsidRPr="0080759C">
        <w:rPr>
          <w:lang w:val="en-US"/>
        </w:rPr>
        <w:t xml:space="preserve"> </w:t>
      </w:r>
      <w:r w:rsidR="008316AC">
        <w:rPr>
          <w:lang w:val="en-US"/>
        </w:rPr>
        <w:t>"</w:t>
      </w:r>
      <w:r w:rsidRPr="0080759C">
        <w:rPr>
          <w:rFonts w:cs="Arial"/>
          <w:lang w:eastAsia="ja-JP"/>
        </w:rPr>
        <w:t>as well as supply lines for additional TPRDs (if any) through appropriate adaptors</w:t>
      </w:r>
      <w:r w:rsidR="008316AC">
        <w:rPr>
          <w:lang w:eastAsia="ja-JP"/>
        </w:rPr>
        <w:t>"</w:t>
      </w:r>
      <w:r w:rsidR="0080759C" w:rsidRPr="0080759C">
        <w:rPr>
          <w:rFonts w:cs="Arial"/>
          <w:lang w:eastAsia="ja-JP"/>
        </w:rPr>
        <w:t>.</w:t>
      </w:r>
    </w:p>
    <w:p w14:paraId="02A47A23" w14:textId="11BB4A8D" w:rsidR="00012C6F" w:rsidRDefault="00012C6F" w:rsidP="008E1B6C">
      <w:pPr>
        <w:spacing w:after="120"/>
        <w:ind w:left="1134" w:right="1134"/>
        <w:jc w:val="both"/>
        <w:rPr>
          <w:lang w:val="en-US"/>
        </w:rPr>
      </w:pPr>
      <w:bookmarkStart w:id="6" w:name="_Hlk197520890"/>
      <w:r w:rsidRPr="00ED4D0D">
        <w:rPr>
          <w:i/>
          <w:iCs/>
          <w:lang w:eastAsia="ja-JP"/>
        </w:rPr>
        <w:t>Annex 3, paragraph 3.5.,</w:t>
      </w:r>
      <w:r w:rsidR="008E1B6C" w:rsidRPr="00ED4D0D">
        <w:rPr>
          <w:lang w:eastAsia="ja-JP"/>
        </w:rPr>
        <w:t xml:space="preserve"> after </w:t>
      </w:r>
      <w:r w:rsidR="008316AC">
        <w:rPr>
          <w:lang w:eastAsia="ja-JP"/>
        </w:rPr>
        <w:t>"</w:t>
      </w:r>
      <w:r w:rsidRPr="00ED4D0D">
        <w:rPr>
          <w:lang w:val="en-US"/>
        </w:rPr>
        <w:t>The test article</w:t>
      </w:r>
      <w:r w:rsidR="008316AC">
        <w:rPr>
          <w:lang w:val="en-US"/>
        </w:rPr>
        <w:t>"</w:t>
      </w:r>
      <w:r w:rsidR="008E1B6C" w:rsidRPr="00ED4D0D">
        <w:rPr>
          <w:lang w:val="en-US"/>
        </w:rPr>
        <w:t>, add</w:t>
      </w:r>
      <w:r w:rsidRPr="00ED4D0D">
        <w:rPr>
          <w:lang w:val="en-US"/>
        </w:rPr>
        <w:t xml:space="preserve"> </w:t>
      </w:r>
      <w:r w:rsidR="008316AC">
        <w:rPr>
          <w:lang w:val="en-US"/>
        </w:rPr>
        <w:t>"</w:t>
      </w:r>
      <w:r w:rsidRPr="00ED4D0D">
        <w:rPr>
          <w:lang w:val="en-US"/>
        </w:rPr>
        <w:t xml:space="preserve">(as described in Annex 9 for </w:t>
      </w:r>
      <w:r w:rsidR="008316AC">
        <w:rPr>
          <w:lang w:val="en-US"/>
        </w:rPr>
        <w:br/>
      </w:r>
      <w:r w:rsidRPr="00ED4D0D">
        <w:rPr>
          <w:lang w:val="en-US"/>
        </w:rPr>
        <w:t>Test No. 5.2.5.)</w:t>
      </w:r>
      <w:r w:rsidR="008316AC">
        <w:rPr>
          <w:lang w:val="en-US"/>
        </w:rPr>
        <w:t>"</w:t>
      </w:r>
      <w:r w:rsidRPr="00ED4D0D">
        <w:rPr>
          <w:lang w:val="en-US"/>
        </w:rPr>
        <w:t>.</w:t>
      </w:r>
    </w:p>
    <w:p w14:paraId="02451B2E" w14:textId="4470E852" w:rsidR="007B1F93" w:rsidRDefault="00ED4D0D" w:rsidP="007B1F93">
      <w:pPr>
        <w:spacing w:after="120"/>
        <w:ind w:left="1134" w:right="1134"/>
        <w:jc w:val="both"/>
        <w:rPr>
          <w:lang w:val="en-US"/>
        </w:rPr>
      </w:pPr>
      <w:r w:rsidRPr="00ED4D0D">
        <w:rPr>
          <w:i/>
          <w:iCs/>
          <w:lang w:eastAsia="ja-JP"/>
        </w:rPr>
        <w:t>Annex 3, paragraph 3.</w:t>
      </w:r>
      <w:r>
        <w:rPr>
          <w:i/>
          <w:iCs/>
          <w:lang w:eastAsia="ja-JP"/>
        </w:rPr>
        <w:t>6</w:t>
      </w:r>
      <w:r w:rsidRPr="00ED4D0D">
        <w:rPr>
          <w:i/>
          <w:iCs/>
          <w:lang w:eastAsia="ja-JP"/>
        </w:rPr>
        <w:t>.</w:t>
      </w:r>
      <w:r w:rsidR="00895B7E">
        <w:rPr>
          <w:i/>
          <w:iCs/>
          <w:lang w:eastAsia="ja-JP"/>
        </w:rPr>
        <w:t xml:space="preserve">, </w:t>
      </w:r>
      <w:r w:rsidR="00895B7E" w:rsidRPr="00895B7E">
        <w:rPr>
          <w:lang w:eastAsia="ja-JP"/>
        </w:rPr>
        <w:t>in</w:t>
      </w:r>
      <w:r w:rsidR="000279D7" w:rsidRPr="00895B7E">
        <w:rPr>
          <w:lang w:eastAsia="ja-JP"/>
        </w:rPr>
        <w:t xml:space="preserve"> (a)</w:t>
      </w:r>
      <w:r w:rsidRPr="00895B7E">
        <w:rPr>
          <w:lang w:eastAsia="ja-JP"/>
        </w:rPr>
        <w:t xml:space="preserve">, </w:t>
      </w:r>
      <w:r w:rsidRPr="00ED4D0D">
        <w:rPr>
          <w:lang w:eastAsia="ja-JP"/>
        </w:rPr>
        <w:t xml:space="preserve">after </w:t>
      </w:r>
      <w:r w:rsidR="008316AC">
        <w:rPr>
          <w:lang w:eastAsia="ja-JP"/>
        </w:rPr>
        <w:t>"</w:t>
      </w:r>
      <w:r w:rsidR="00C5331F" w:rsidRPr="00ED4D0D">
        <w:rPr>
          <w:lang w:val="en-US"/>
        </w:rPr>
        <w:t>The test article</w:t>
      </w:r>
      <w:r w:rsidR="008316AC">
        <w:rPr>
          <w:lang w:val="en-US"/>
        </w:rPr>
        <w:t>"</w:t>
      </w:r>
      <w:r w:rsidR="00C5331F" w:rsidRPr="00ED4D0D">
        <w:rPr>
          <w:lang w:val="en-US"/>
        </w:rPr>
        <w:t xml:space="preserve">, add </w:t>
      </w:r>
      <w:r w:rsidR="008316AC">
        <w:rPr>
          <w:lang w:eastAsia="ja-JP"/>
        </w:rPr>
        <w:t>"</w:t>
      </w:r>
      <w:r w:rsidR="007B1F93" w:rsidRPr="00ED4D0D">
        <w:rPr>
          <w:lang w:val="en-US"/>
        </w:rPr>
        <w:t>(as described in Annex 9 for Test No. 5.2.</w:t>
      </w:r>
      <w:r w:rsidR="00F65143">
        <w:rPr>
          <w:lang w:val="en-US"/>
        </w:rPr>
        <w:t>6</w:t>
      </w:r>
      <w:r w:rsidR="007B1F93" w:rsidRPr="00ED4D0D">
        <w:rPr>
          <w:lang w:val="en-US"/>
        </w:rPr>
        <w:t>.)</w:t>
      </w:r>
      <w:r w:rsidR="008316AC">
        <w:rPr>
          <w:lang w:val="en-US"/>
        </w:rPr>
        <w:t>"</w:t>
      </w:r>
      <w:r w:rsidR="007B1F93" w:rsidRPr="00ED4D0D">
        <w:rPr>
          <w:lang w:val="en-US"/>
        </w:rPr>
        <w:t>.</w:t>
      </w:r>
    </w:p>
    <w:bookmarkEnd w:id="6"/>
    <w:p w14:paraId="04AE3F79" w14:textId="4051D2F0" w:rsidR="00012C6F" w:rsidRPr="006B6FDC" w:rsidRDefault="00012C6F" w:rsidP="00012C6F">
      <w:pPr>
        <w:spacing w:after="120"/>
        <w:ind w:left="1134" w:right="1134"/>
        <w:jc w:val="both"/>
      </w:pPr>
      <w:r w:rsidRPr="006B6FDC">
        <w:rPr>
          <w:lang w:val="en-US"/>
        </w:rPr>
        <w:tab/>
      </w:r>
      <w:r w:rsidRPr="006B6FDC">
        <w:rPr>
          <w:i/>
          <w:iCs/>
          <w:lang w:eastAsia="ja-JP"/>
        </w:rPr>
        <w:t xml:space="preserve">Annex 3, paragraph 5.1., </w:t>
      </w:r>
      <w:r w:rsidR="00211CE0">
        <w:rPr>
          <w:lang w:eastAsia="ja-JP"/>
        </w:rPr>
        <w:t xml:space="preserve">first sentence after the heading, </w:t>
      </w:r>
      <w:r w:rsidR="006C4B95">
        <w:rPr>
          <w:lang w:eastAsia="ja-JP"/>
        </w:rPr>
        <w:t xml:space="preserve">at the end, add </w:t>
      </w:r>
      <w:r w:rsidR="004F6D80">
        <w:rPr>
          <w:lang w:eastAsia="ja-JP"/>
        </w:rPr>
        <w:t>"</w:t>
      </w:r>
      <w:r w:rsidR="006C4B95" w:rsidRPr="006C4B95">
        <w:rPr>
          <w:lang w:eastAsia="ja-JP"/>
        </w:rPr>
        <w:t>, as well as supply lines for additional TPRDs (if any) through appropriate adaptors</w:t>
      </w:r>
      <w:r w:rsidR="004F6D80">
        <w:rPr>
          <w:lang w:eastAsia="ja-JP"/>
        </w:rPr>
        <w:t>"</w:t>
      </w:r>
      <w:r w:rsidR="006C4B95">
        <w:rPr>
          <w:lang w:eastAsia="ja-JP"/>
        </w:rPr>
        <w:t>.</w:t>
      </w:r>
    </w:p>
    <w:p w14:paraId="652A4DC9" w14:textId="61C7A76C" w:rsidR="00012C6F" w:rsidRPr="006B6FDC" w:rsidRDefault="00012C6F" w:rsidP="00012C6F">
      <w:pPr>
        <w:keepNext/>
        <w:spacing w:after="120" w:line="240" w:lineRule="exact"/>
        <w:ind w:left="567" w:firstLine="567"/>
        <w:rPr>
          <w:i/>
          <w:iCs/>
          <w:lang w:eastAsia="ja-JP"/>
        </w:rPr>
      </w:pPr>
      <w:r w:rsidRPr="006B6FDC">
        <w:rPr>
          <w:i/>
          <w:iCs/>
          <w:lang w:eastAsia="ja-JP"/>
        </w:rPr>
        <w:t xml:space="preserve">Annex 7, </w:t>
      </w:r>
      <w:r w:rsidR="007E50FF">
        <w:rPr>
          <w:i/>
          <w:iCs/>
          <w:lang w:eastAsia="ja-JP"/>
        </w:rPr>
        <w:t>t</w:t>
      </w:r>
      <w:r w:rsidRPr="006B6FDC">
        <w:rPr>
          <w:i/>
          <w:iCs/>
          <w:lang w:eastAsia="ja-JP"/>
        </w:rPr>
        <w:t xml:space="preserve">able </w:t>
      </w:r>
      <w:r w:rsidR="003813F2">
        <w:rPr>
          <w:i/>
          <w:iCs/>
          <w:lang w:eastAsia="ja-JP"/>
        </w:rPr>
        <w:t>1</w:t>
      </w:r>
      <w:r w:rsidRPr="006B6FDC">
        <w:rPr>
          <w:i/>
          <w:iCs/>
          <w:lang w:eastAsia="ja-JP"/>
        </w:rPr>
        <w:t xml:space="preserve">, </w:t>
      </w:r>
      <w:r w:rsidR="003813F2">
        <w:rPr>
          <w:lang w:eastAsia="ja-JP"/>
        </w:rPr>
        <w:t>at the end, add the following new rows</w:t>
      </w:r>
      <w:r w:rsidRPr="006B6FDC">
        <w:rPr>
          <w:lang w:eastAsia="ja-JP"/>
        </w:rPr>
        <w:t>:</w:t>
      </w:r>
    </w:p>
    <w:p w14:paraId="22F7008C" w14:textId="51E5E32C" w:rsidR="00012C6F" w:rsidRPr="006B6FDC" w:rsidRDefault="00012C6F" w:rsidP="007F649C">
      <w:pPr>
        <w:keepNext/>
        <w:spacing w:before="120" w:after="120"/>
        <w:ind w:left="1134" w:right="1134"/>
        <w:rPr>
          <w:b/>
        </w:rPr>
      </w:pPr>
      <w:r w:rsidRPr="006B6FDC">
        <w:rPr>
          <w:bCs/>
        </w:rPr>
        <w:t>“</w:t>
      </w:r>
    </w:p>
    <w:tbl>
      <w:tblPr>
        <w:tblW w:w="722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767"/>
        <w:gridCol w:w="1768"/>
        <w:gridCol w:w="3690"/>
      </w:tblGrid>
      <w:tr w:rsidR="00012C6F" w:rsidRPr="006B6FDC" w14:paraId="20B53CB7" w14:textId="77777777" w:rsidTr="00DF37CA">
        <w:trPr>
          <w:tblHeader/>
        </w:trPr>
        <w:tc>
          <w:tcPr>
            <w:tcW w:w="3535" w:type="dxa"/>
            <w:gridSpan w:val="2"/>
            <w:shd w:val="clear" w:color="auto" w:fill="auto"/>
            <w:tcMar>
              <w:top w:w="18" w:type="dxa"/>
              <w:left w:w="18" w:type="dxa"/>
              <w:bottom w:w="0" w:type="dxa"/>
              <w:right w:w="18" w:type="dxa"/>
            </w:tcMar>
            <w:vAlign w:val="bottom"/>
            <w:hideMark/>
          </w:tcPr>
          <w:p w14:paraId="78DCBD3E" w14:textId="77777777" w:rsidR="00012C6F" w:rsidRPr="006B6FDC" w:rsidRDefault="00012C6F" w:rsidP="00DF37CA">
            <w:pPr>
              <w:spacing w:before="80" w:after="80" w:line="200" w:lineRule="exact"/>
              <w:ind w:right="1134"/>
              <w:rPr>
                <w:rFonts w:asciiTheme="majorBidi" w:hAnsiTheme="majorBidi" w:cstheme="majorBidi"/>
                <w:bCs/>
                <w:i/>
              </w:rPr>
            </w:pPr>
            <w:r w:rsidRPr="006B6FDC">
              <w:rPr>
                <w:rFonts w:asciiTheme="majorBidi" w:hAnsiTheme="majorBidi" w:cstheme="majorBidi"/>
                <w:bCs/>
                <w:i/>
              </w:rPr>
              <w:t>Changed Item</w:t>
            </w:r>
          </w:p>
        </w:tc>
        <w:tc>
          <w:tcPr>
            <w:tcW w:w="3690" w:type="dxa"/>
            <w:shd w:val="clear" w:color="auto" w:fill="auto"/>
            <w:tcMar>
              <w:top w:w="18" w:type="dxa"/>
              <w:left w:w="18" w:type="dxa"/>
              <w:bottom w:w="0" w:type="dxa"/>
              <w:right w:w="18" w:type="dxa"/>
            </w:tcMar>
            <w:vAlign w:val="bottom"/>
            <w:hideMark/>
          </w:tcPr>
          <w:p w14:paraId="4754F12E" w14:textId="77777777" w:rsidR="00012C6F" w:rsidRPr="006B6FDC" w:rsidRDefault="00012C6F" w:rsidP="00DF37CA">
            <w:pPr>
              <w:spacing w:before="80" w:after="80" w:line="200" w:lineRule="exact"/>
              <w:ind w:right="1134"/>
              <w:rPr>
                <w:rFonts w:asciiTheme="majorBidi" w:hAnsiTheme="majorBidi" w:cstheme="majorBidi"/>
                <w:bCs/>
                <w:i/>
              </w:rPr>
            </w:pPr>
            <w:r w:rsidRPr="006B6FDC">
              <w:rPr>
                <w:rFonts w:asciiTheme="majorBidi" w:hAnsiTheme="majorBidi" w:cstheme="majorBidi"/>
                <w:bCs/>
                <w:i/>
              </w:rPr>
              <w:t>Required Tests</w:t>
            </w:r>
          </w:p>
        </w:tc>
      </w:tr>
      <w:tr w:rsidR="00012C6F" w:rsidRPr="006B6FDC" w14:paraId="70EED534" w14:textId="77777777" w:rsidTr="00DF37CA">
        <w:trPr>
          <w:trHeight w:hRule="exact" w:val="113"/>
        </w:trPr>
        <w:tc>
          <w:tcPr>
            <w:tcW w:w="3535" w:type="dxa"/>
            <w:gridSpan w:val="2"/>
            <w:shd w:val="clear" w:color="auto" w:fill="auto"/>
            <w:tcMar>
              <w:top w:w="18" w:type="dxa"/>
              <w:left w:w="18" w:type="dxa"/>
              <w:bottom w:w="0" w:type="dxa"/>
              <w:right w:w="18" w:type="dxa"/>
            </w:tcMar>
          </w:tcPr>
          <w:p w14:paraId="63E70B80" w14:textId="77777777" w:rsidR="00012C6F" w:rsidRPr="006B6FDC" w:rsidRDefault="00012C6F" w:rsidP="00DF37CA">
            <w:pPr>
              <w:spacing w:before="40" w:after="120"/>
              <w:ind w:right="1134"/>
              <w:rPr>
                <w:rFonts w:asciiTheme="majorBidi" w:hAnsiTheme="majorBidi" w:cstheme="majorBidi"/>
                <w:bCs/>
              </w:rPr>
            </w:pPr>
          </w:p>
        </w:tc>
        <w:tc>
          <w:tcPr>
            <w:tcW w:w="3690" w:type="dxa"/>
            <w:shd w:val="clear" w:color="auto" w:fill="auto"/>
            <w:tcMar>
              <w:top w:w="18" w:type="dxa"/>
              <w:left w:w="18" w:type="dxa"/>
              <w:bottom w:w="0" w:type="dxa"/>
              <w:right w:w="18" w:type="dxa"/>
            </w:tcMar>
          </w:tcPr>
          <w:p w14:paraId="31B1113B" w14:textId="77777777" w:rsidR="00012C6F" w:rsidRPr="006B6FDC" w:rsidRDefault="00012C6F" w:rsidP="00DF37CA">
            <w:pPr>
              <w:spacing w:before="40" w:after="120"/>
              <w:ind w:right="1134"/>
              <w:rPr>
                <w:rFonts w:asciiTheme="majorBidi" w:hAnsiTheme="majorBidi" w:cstheme="majorBidi"/>
                <w:bCs/>
              </w:rPr>
            </w:pPr>
          </w:p>
        </w:tc>
      </w:tr>
      <w:tr w:rsidR="00012C6F" w:rsidRPr="006B6FDC" w14:paraId="7BDFEB5C" w14:textId="77777777" w:rsidTr="00DF37CA">
        <w:trPr>
          <w:trHeight w:val="510"/>
        </w:trPr>
        <w:tc>
          <w:tcPr>
            <w:tcW w:w="1767" w:type="dxa"/>
            <w:vMerge w:val="restart"/>
            <w:shd w:val="clear" w:color="auto" w:fill="auto"/>
          </w:tcPr>
          <w:p w14:paraId="10D89D94" w14:textId="77777777" w:rsidR="00012C6F" w:rsidRPr="003813F2" w:rsidRDefault="00012C6F" w:rsidP="00DF37CA">
            <w:pPr>
              <w:spacing w:before="40" w:after="120"/>
              <w:ind w:right="485"/>
              <w:rPr>
                <w:rFonts w:asciiTheme="majorBidi" w:hAnsiTheme="majorBidi" w:cstheme="majorBidi"/>
                <w:lang w:eastAsia="ja-JP"/>
              </w:rPr>
            </w:pPr>
            <w:r w:rsidRPr="003813F2">
              <w:rPr>
                <w:rFonts w:asciiTheme="majorBidi" w:hAnsiTheme="majorBidi" w:cstheme="majorBidi"/>
                <w:lang w:eastAsia="ja-JP"/>
              </w:rPr>
              <w:t>Supply lines for additional TPRDs</w:t>
            </w:r>
          </w:p>
        </w:tc>
        <w:tc>
          <w:tcPr>
            <w:tcW w:w="1768" w:type="dxa"/>
            <w:shd w:val="clear" w:color="auto" w:fill="auto"/>
          </w:tcPr>
          <w:p w14:paraId="6121E8F7" w14:textId="77777777" w:rsidR="00012C6F" w:rsidRPr="003813F2" w:rsidRDefault="00012C6F" w:rsidP="00DF37CA">
            <w:pPr>
              <w:spacing w:before="40" w:after="120"/>
              <w:ind w:right="270"/>
              <w:rPr>
                <w:rFonts w:asciiTheme="majorBidi" w:hAnsiTheme="majorBidi" w:cstheme="majorBidi"/>
                <w:lang w:eastAsia="ja-JP"/>
              </w:rPr>
            </w:pPr>
            <w:r w:rsidRPr="003813F2">
              <w:rPr>
                <w:rFonts w:asciiTheme="majorBidi" w:hAnsiTheme="majorBidi" w:cstheme="majorBidi"/>
                <w:lang w:eastAsia="ja-JP"/>
              </w:rPr>
              <w:t>Changed location of additional TPRD</w:t>
            </w:r>
          </w:p>
        </w:tc>
        <w:tc>
          <w:tcPr>
            <w:tcW w:w="3690" w:type="dxa"/>
            <w:shd w:val="clear" w:color="auto" w:fill="auto"/>
            <w:tcMar>
              <w:top w:w="18" w:type="dxa"/>
              <w:left w:w="18" w:type="dxa"/>
              <w:bottom w:w="0" w:type="dxa"/>
              <w:right w:w="18" w:type="dxa"/>
            </w:tcMar>
          </w:tcPr>
          <w:p w14:paraId="4AFA3569" w14:textId="7A09DA7E" w:rsidR="00012C6F" w:rsidRPr="003813F2" w:rsidRDefault="00012C6F" w:rsidP="0015386E">
            <w:pPr>
              <w:pStyle w:val="ListParagraph"/>
              <w:numPr>
                <w:ilvl w:val="0"/>
                <w:numId w:val="20"/>
              </w:numPr>
              <w:suppressAutoHyphens w:val="0"/>
              <w:spacing w:before="40" w:after="120" w:line="276" w:lineRule="auto"/>
              <w:ind w:left="132" w:right="118" w:hanging="132"/>
              <w:rPr>
                <w:rFonts w:asciiTheme="majorBidi" w:hAnsiTheme="majorBidi" w:cstheme="majorBidi"/>
              </w:rPr>
            </w:pPr>
            <w:r w:rsidRPr="003813F2">
              <w:rPr>
                <w:rFonts w:asciiTheme="majorBidi" w:eastAsiaTheme="minorEastAsia" w:hAnsiTheme="majorBidi" w:cstheme="majorBidi"/>
                <w:lang w:eastAsia="ja-JP"/>
              </w:rPr>
              <w:t>Fire test</w:t>
            </w:r>
            <w:r w:rsidRPr="003813F2">
              <w:rPr>
                <w:rFonts w:asciiTheme="majorBidi" w:eastAsiaTheme="minorEastAsia" w:hAnsiTheme="majorBidi" w:cstheme="majorBidi"/>
                <w:vertAlign w:val="superscript"/>
                <w:lang w:eastAsia="ja-JP"/>
              </w:rPr>
              <w:t>8</w:t>
            </w:r>
          </w:p>
        </w:tc>
      </w:tr>
      <w:tr w:rsidR="00012C6F" w:rsidRPr="006B6FDC" w14:paraId="3683DE95" w14:textId="77777777" w:rsidTr="00DF37CA">
        <w:tc>
          <w:tcPr>
            <w:tcW w:w="1767" w:type="dxa"/>
            <w:vMerge/>
            <w:shd w:val="clear" w:color="auto" w:fill="auto"/>
          </w:tcPr>
          <w:p w14:paraId="5855300A" w14:textId="77777777" w:rsidR="00012C6F" w:rsidRPr="003813F2" w:rsidRDefault="00012C6F" w:rsidP="00DF37CA">
            <w:pPr>
              <w:spacing w:before="40" w:after="120"/>
              <w:ind w:right="485"/>
              <w:rPr>
                <w:rFonts w:asciiTheme="majorBidi" w:hAnsiTheme="majorBidi" w:cstheme="majorBidi"/>
                <w:lang w:eastAsia="ja-JP"/>
              </w:rPr>
            </w:pPr>
          </w:p>
        </w:tc>
        <w:tc>
          <w:tcPr>
            <w:tcW w:w="1768" w:type="dxa"/>
            <w:shd w:val="clear" w:color="auto" w:fill="auto"/>
          </w:tcPr>
          <w:p w14:paraId="5720E724" w14:textId="436ED2F2" w:rsidR="00012C6F" w:rsidRPr="003813F2" w:rsidRDefault="00012C6F" w:rsidP="00DF37CA">
            <w:pPr>
              <w:spacing w:before="40" w:after="120"/>
              <w:ind w:right="270"/>
              <w:rPr>
                <w:rFonts w:asciiTheme="majorBidi" w:hAnsiTheme="majorBidi" w:cstheme="majorBidi"/>
                <w:lang w:eastAsia="ja-JP"/>
              </w:rPr>
            </w:pPr>
            <w:r w:rsidRPr="003813F2">
              <w:rPr>
                <w:rFonts w:asciiTheme="majorBidi" w:hAnsiTheme="majorBidi" w:cstheme="majorBidi"/>
                <w:lang w:eastAsia="ja-JP"/>
              </w:rPr>
              <w:t>Diameter</w:t>
            </w:r>
            <w:r w:rsidRPr="003813F2">
              <w:rPr>
                <w:rFonts w:asciiTheme="majorBidi" w:hAnsiTheme="majorBidi" w:cstheme="majorBidi"/>
                <w:vertAlign w:val="superscript"/>
                <w:lang w:eastAsia="ja-JP"/>
              </w:rPr>
              <w:t>2</w:t>
            </w:r>
            <w:r w:rsidRPr="003813F2">
              <w:rPr>
                <w:rFonts w:asciiTheme="majorBidi" w:hAnsiTheme="majorBidi" w:cstheme="majorBidi"/>
                <w:lang w:eastAsia="ja-JP"/>
              </w:rPr>
              <w:t xml:space="preserve"> ≤ 20</w:t>
            </w:r>
            <w:r w:rsidR="007E50FF">
              <w:rPr>
                <w:rFonts w:asciiTheme="majorBidi" w:hAnsiTheme="majorBidi" w:cstheme="majorBidi"/>
                <w:lang w:eastAsia="ja-JP"/>
              </w:rPr>
              <w:t xml:space="preserve"> </w:t>
            </w:r>
            <w:r w:rsidRPr="003813F2">
              <w:rPr>
                <w:rFonts w:asciiTheme="majorBidi" w:hAnsiTheme="majorBidi" w:cstheme="majorBidi"/>
                <w:lang w:eastAsia="ja-JP"/>
              </w:rPr>
              <w:t>%</w:t>
            </w:r>
          </w:p>
        </w:tc>
        <w:tc>
          <w:tcPr>
            <w:tcW w:w="3690" w:type="dxa"/>
            <w:shd w:val="clear" w:color="auto" w:fill="auto"/>
            <w:tcMar>
              <w:top w:w="18" w:type="dxa"/>
              <w:left w:w="18" w:type="dxa"/>
              <w:bottom w:w="0" w:type="dxa"/>
              <w:right w:w="18" w:type="dxa"/>
            </w:tcMar>
          </w:tcPr>
          <w:p w14:paraId="2450456B" w14:textId="77777777" w:rsidR="00012C6F" w:rsidRPr="003813F2" w:rsidRDefault="00012C6F" w:rsidP="0015386E">
            <w:pPr>
              <w:pStyle w:val="ListParagraph"/>
              <w:numPr>
                <w:ilvl w:val="0"/>
                <w:numId w:val="20"/>
              </w:numPr>
              <w:suppressAutoHyphens w:val="0"/>
              <w:spacing w:before="40" w:after="120" w:line="276" w:lineRule="auto"/>
              <w:ind w:left="132" w:right="118" w:hanging="132"/>
              <w:rPr>
                <w:rFonts w:asciiTheme="majorBidi" w:eastAsiaTheme="minorEastAsia" w:hAnsiTheme="majorBidi" w:cstheme="majorBidi"/>
                <w:strike/>
                <w:lang w:eastAsia="ja-JP"/>
              </w:rPr>
            </w:pPr>
            <w:r w:rsidRPr="003813F2">
              <w:rPr>
                <w:rFonts w:asciiTheme="majorBidi" w:eastAsiaTheme="minorEastAsia" w:hAnsiTheme="majorBidi" w:cstheme="majorBidi"/>
                <w:lang w:eastAsia="ja-JP"/>
              </w:rPr>
              <w:t>Initial burst and Initial pressure cycle life</w:t>
            </w:r>
            <w:r w:rsidRPr="003813F2">
              <w:rPr>
                <w:rFonts w:asciiTheme="majorBidi" w:eastAsiaTheme="minorEastAsia" w:hAnsiTheme="majorBidi" w:cstheme="majorBidi"/>
                <w:vertAlign w:val="superscript"/>
                <w:lang w:eastAsia="ja-JP"/>
              </w:rPr>
              <w:t>8</w:t>
            </w:r>
          </w:p>
        </w:tc>
      </w:tr>
      <w:tr w:rsidR="00012C6F" w:rsidRPr="006B6FDC" w14:paraId="36FEC38E" w14:textId="77777777" w:rsidTr="00DF37CA">
        <w:tc>
          <w:tcPr>
            <w:tcW w:w="1767" w:type="dxa"/>
            <w:vMerge/>
            <w:shd w:val="clear" w:color="auto" w:fill="auto"/>
          </w:tcPr>
          <w:p w14:paraId="7BFEC341" w14:textId="77777777" w:rsidR="00012C6F" w:rsidRPr="003813F2" w:rsidRDefault="00012C6F" w:rsidP="00DF37CA">
            <w:pPr>
              <w:spacing w:before="40" w:after="120"/>
              <w:ind w:right="485"/>
              <w:rPr>
                <w:rFonts w:asciiTheme="majorBidi" w:hAnsiTheme="majorBidi" w:cstheme="majorBidi"/>
                <w:lang w:eastAsia="ja-JP"/>
              </w:rPr>
            </w:pPr>
          </w:p>
        </w:tc>
        <w:tc>
          <w:tcPr>
            <w:tcW w:w="1768" w:type="dxa"/>
            <w:shd w:val="clear" w:color="auto" w:fill="auto"/>
          </w:tcPr>
          <w:p w14:paraId="77959F9A" w14:textId="0D9F594C" w:rsidR="00012C6F" w:rsidRPr="003813F2" w:rsidRDefault="00012C6F" w:rsidP="00DF37CA">
            <w:pPr>
              <w:spacing w:before="40" w:after="120"/>
              <w:ind w:right="270"/>
              <w:rPr>
                <w:rFonts w:asciiTheme="majorBidi" w:hAnsiTheme="majorBidi" w:cstheme="majorBidi"/>
                <w:lang w:eastAsia="ja-JP"/>
              </w:rPr>
            </w:pPr>
            <w:r w:rsidRPr="003813F2">
              <w:rPr>
                <w:rFonts w:asciiTheme="majorBidi" w:hAnsiTheme="majorBidi" w:cstheme="majorBidi"/>
                <w:lang w:eastAsia="ja-JP"/>
              </w:rPr>
              <w:t>Diameter</w:t>
            </w:r>
            <w:r w:rsidRPr="003813F2">
              <w:rPr>
                <w:rFonts w:asciiTheme="majorBidi" w:hAnsiTheme="majorBidi" w:cstheme="majorBidi"/>
                <w:vertAlign w:val="superscript"/>
                <w:lang w:eastAsia="ja-JP"/>
              </w:rPr>
              <w:t>2</w:t>
            </w:r>
            <w:r w:rsidRPr="003813F2">
              <w:rPr>
                <w:rFonts w:asciiTheme="majorBidi" w:hAnsiTheme="majorBidi" w:cstheme="majorBidi"/>
                <w:lang w:eastAsia="ja-JP"/>
              </w:rPr>
              <w:t xml:space="preserve"> &gt; 20</w:t>
            </w:r>
            <w:r w:rsidR="007E50FF">
              <w:rPr>
                <w:rFonts w:asciiTheme="majorBidi" w:hAnsiTheme="majorBidi" w:cstheme="majorBidi"/>
                <w:lang w:eastAsia="ja-JP"/>
              </w:rPr>
              <w:t xml:space="preserve"> </w:t>
            </w:r>
            <w:r w:rsidRPr="003813F2">
              <w:rPr>
                <w:rFonts w:asciiTheme="majorBidi" w:hAnsiTheme="majorBidi" w:cstheme="majorBidi"/>
                <w:lang w:eastAsia="ja-JP"/>
              </w:rPr>
              <w:t>%</w:t>
            </w:r>
          </w:p>
        </w:tc>
        <w:tc>
          <w:tcPr>
            <w:tcW w:w="3690" w:type="dxa"/>
            <w:shd w:val="clear" w:color="auto" w:fill="auto"/>
            <w:tcMar>
              <w:top w:w="18" w:type="dxa"/>
              <w:left w:w="18" w:type="dxa"/>
              <w:bottom w:w="0" w:type="dxa"/>
              <w:right w:w="18" w:type="dxa"/>
            </w:tcMar>
          </w:tcPr>
          <w:p w14:paraId="4218D50D" w14:textId="77777777" w:rsidR="00012C6F" w:rsidRPr="003813F2" w:rsidRDefault="00012C6F" w:rsidP="0015386E">
            <w:pPr>
              <w:pStyle w:val="ListParagraph"/>
              <w:numPr>
                <w:ilvl w:val="0"/>
                <w:numId w:val="20"/>
              </w:numPr>
              <w:suppressAutoHyphens w:val="0"/>
              <w:spacing w:before="40" w:after="120" w:line="276" w:lineRule="auto"/>
              <w:ind w:left="132" w:right="118" w:hanging="132"/>
              <w:rPr>
                <w:rFonts w:asciiTheme="majorBidi" w:eastAsiaTheme="minorEastAsia" w:hAnsiTheme="majorBidi" w:cstheme="majorBidi"/>
                <w:lang w:eastAsia="ja-JP"/>
              </w:rPr>
            </w:pPr>
            <w:r w:rsidRPr="003813F2">
              <w:rPr>
                <w:rFonts w:asciiTheme="majorBidi" w:eastAsiaTheme="minorEastAsia" w:hAnsiTheme="majorBidi" w:cstheme="majorBidi"/>
                <w:lang w:eastAsia="ja-JP"/>
              </w:rPr>
              <w:t>Initial burst, Initial pressure cycle life</w:t>
            </w:r>
            <w:r w:rsidRPr="003813F2">
              <w:rPr>
                <w:rFonts w:asciiTheme="majorBidi" w:eastAsiaTheme="minorEastAsia" w:hAnsiTheme="majorBidi" w:cstheme="majorBidi"/>
                <w:vertAlign w:val="superscript"/>
                <w:lang w:eastAsia="ja-JP"/>
              </w:rPr>
              <w:t>8</w:t>
            </w:r>
          </w:p>
          <w:p w14:paraId="4DB2222C" w14:textId="77777777" w:rsidR="00012C6F" w:rsidRPr="003813F2" w:rsidRDefault="00012C6F" w:rsidP="0015386E">
            <w:pPr>
              <w:pStyle w:val="ListParagraph"/>
              <w:numPr>
                <w:ilvl w:val="0"/>
                <w:numId w:val="20"/>
              </w:numPr>
              <w:suppressAutoHyphens w:val="0"/>
              <w:spacing w:before="40" w:after="120" w:line="276" w:lineRule="auto"/>
              <w:ind w:left="132" w:right="118" w:hanging="132"/>
              <w:rPr>
                <w:rFonts w:asciiTheme="majorBidi" w:hAnsiTheme="majorBidi" w:cstheme="majorBidi"/>
              </w:rPr>
            </w:pPr>
            <w:r w:rsidRPr="003813F2">
              <w:rPr>
                <w:rFonts w:asciiTheme="majorBidi" w:eastAsiaTheme="minorEastAsia" w:hAnsiTheme="majorBidi" w:cstheme="majorBidi"/>
                <w:lang w:eastAsia="ja-JP"/>
              </w:rPr>
              <w:t>Sequential hydraulic test</w:t>
            </w:r>
            <w:r w:rsidRPr="003813F2">
              <w:rPr>
                <w:rFonts w:asciiTheme="majorBidi" w:eastAsiaTheme="minorEastAsia" w:hAnsiTheme="majorBidi" w:cstheme="majorBidi"/>
                <w:vertAlign w:val="superscript"/>
                <w:lang w:eastAsia="ja-JP"/>
              </w:rPr>
              <w:t>8</w:t>
            </w:r>
          </w:p>
          <w:p w14:paraId="45D5D2A4" w14:textId="77777777" w:rsidR="00012C6F" w:rsidRPr="003813F2" w:rsidRDefault="00012C6F" w:rsidP="0015386E">
            <w:pPr>
              <w:pStyle w:val="ListParagraph"/>
              <w:numPr>
                <w:ilvl w:val="0"/>
                <w:numId w:val="20"/>
              </w:numPr>
              <w:suppressAutoHyphens w:val="0"/>
              <w:spacing w:before="40" w:after="120" w:line="276" w:lineRule="auto"/>
              <w:ind w:left="132" w:right="118" w:hanging="132"/>
              <w:rPr>
                <w:rFonts w:asciiTheme="majorBidi" w:eastAsiaTheme="minorEastAsia" w:hAnsiTheme="majorBidi" w:cstheme="majorBidi"/>
                <w:lang w:eastAsia="ja-JP"/>
              </w:rPr>
            </w:pPr>
            <w:r w:rsidRPr="003813F2">
              <w:rPr>
                <w:rFonts w:asciiTheme="majorBidi" w:eastAsiaTheme="minorEastAsia" w:hAnsiTheme="majorBidi" w:cstheme="majorBidi"/>
                <w:lang w:eastAsia="ja-JP"/>
              </w:rPr>
              <w:t>Fire test</w:t>
            </w:r>
            <w:r w:rsidRPr="003813F2">
              <w:rPr>
                <w:rFonts w:asciiTheme="majorBidi" w:eastAsiaTheme="minorEastAsia" w:hAnsiTheme="majorBidi" w:cstheme="majorBidi"/>
                <w:vertAlign w:val="superscript"/>
                <w:lang w:eastAsia="ja-JP"/>
              </w:rPr>
              <w:t>8</w:t>
            </w:r>
          </w:p>
        </w:tc>
      </w:tr>
      <w:tr w:rsidR="00012C6F" w:rsidRPr="006B6FDC" w14:paraId="71727AB7" w14:textId="77777777" w:rsidTr="00DF37CA">
        <w:tc>
          <w:tcPr>
            <w:tcW w:w="1767" w:type="dxa"/>
            <w:vMerge/>
            <w:shd w:val="clear" w:color="auto" w:fill="auto"/>
          </w:tcPr>
          <w:p w14:paraId="66A10097" w14:textId="77777777" w:rsidR="00012C6F" w:rsidRPr="003813F2" w:rsidRDefault="00012C6F" w:rsidP="00DF37CA">
            <w:pPr>
              <w:spacing w:before="40" w:after="120"/>
              <w:ind w:right="485"/>
              <w:rPr>
                <w:rFonts w:asciiTheme="majorBidi" w:hAnsiTheme="majorBidi" w:cstheme="majorBidi"/>
                <w:lang w:eastAsia="ja-JP"/>
              </w:rPr>
            </w:pPr>
          </w:p>
        </w:tc>
        <w:tc>
          <w:tcPr>
            <w:tcW w:w="1768" w:type="dxa"/>
            <w:shd w:val="clear" w:color="auto" w:fill="auto"/>
          </w:tcPr>
          <w:p w14:paraId="49A0912C" w14:textId="77777777" w:rsidR="00012C6F" w:rsidRPr="003813F2" w:rsidRDefault="00012C6F" w:rsidP="00DF37CA">
            <w:pPr>
              <w:spacing w:before="40" w:after="120"/>
              <w:ind w:right="270"/>
              <w:rPr>
                <w:rFonts w:asciiTheme="majorBidi" w:hAnsiTheme="majorBidi" w:cstheme="majorBidi"/>
                <w:lang w:eastAsia="ja-JP"/>
              </w:rPr>
            </w:pPr>
            <w:r w:rsidRPr="003813F2">
              <w:rPr>
                <w:rFonts w:asciiTheme="majorBidi" w:hAnsiTheme="majorBidi" w:cstheme="majorBidi"/>
                <w:lang w:eastAsia="ja-JP"/>
              </w:rPr>
              <w:t>Bend radius</w:t>
            </w:r>
          </w:p>
        </w:tc>
        <w:tc>
          <w:tcPr>
            <w:tcW w:w="3690" w:type="dxa"/>
            <w:shd w:val="clear" w:color="auto" w:fill="auto"/>
            <w:tcMar>
              <w:top w:w="18" w:type="dxa"/>
              <w:left w:w="18" w:type="dxa"/>
              <w:bottom w:w="0" w:type="dxa"/>
              <w:right w:w="18" w:type="dxa"/>
            </w:tcMar>
          </w:tcPr>
          <w:p w14:paraId="2FEE298A" w14:textId="77777777" w:rsidR="00012C6F" w:rsidRPr="003813F2" w:rsidRDefault="00012C6F" w:rsidP="0015386E">
            <w:pPr>
              <w:pStyle w:val="ListParagraph"/>
              <w:numPr>
                <w:ilvl w:val="0"/>
                <w:numId w:val="20"/>
              </w:numPr>
              <w:suppressAutoHyphens w:val="0"/>
              <w:spacing w:before="40" w:after="120" w:line="276" w:lineRule="auto"/>
              <w:ind w:left="132" w:right="118" w:hanging="132"/>
              <w:rPr>
                <w:rFonts w:asciiTheme="majorBidi" w:eastAsiaTheme="minorEastAsia" w:hAnsiTheme="majorBidi" w:cstheme="majorBidi"/>
                <w:lang w:eastAsia="ja-JP"/>
              </w:rPr>
            </w:pPr>
            <w:r w:rsidRPr="003813F2">
              <w:rPr>
                <w:rFonts w:asciiTheme="majorBidi" w:eastAsiaTheme="minorEastAsia" w:hAnsiTheme="majorBidi" w:cstheme="majorBidi"/>
                <w:lang w:eastAsia="ja-JP"/>
              </w:rPr>
              <w:t>Initial burst, Initial pressure cycle life</w:t>
            </w:r>
            <w:r w:rsidRPr="003813F2">
              <w:rPr>
                <w:rFonts w:asciiTheme="majorBidi" w:eastAsiaTheme="minorEastAsia" w:hAnsiTheme="majorBidi" w:cstheme="majorBidi"/>
                <w:vertAlign w:val="superscript"/>
                <w:lang w:eastAsia="ja-JP"/>
              </w:rPr>
              <w:t>8</w:t>
            </w:r>
          </w:p>
          <w:p w14:paraId="5EBC63D4" w14:textId="77777777" w:rsidR="00012C6F" w:rsidRPr="003813F2" w:rsidRDefault="00012C6F" w:rsidP="0015386E">
            <w:pPr>
              <w:pStyle w:val="ListParagraph"/>
              <w:numPr>
                <w:ilvl w:val="0"/>
                <w:numId w:val="20"/>
              </w:numPr>
              <w:suppressAutoHyphens w:val="0"/>
              <w:spacing w:before="40" w:after="120" w:line="276" w:lineRule="auto"/>
              <w:ind w:left="132" w:right="118" w:hanging="132"/>
              <w:rPr>
                <w:rFonts w:asciiTheme="majorBidi" w:hAnsiTheme="majorBidi" w:cstheme="majorBidi"/>
              </w:rPr>
            </w:pPr>
            <w:r w:rsidRPr="003813F2">
              <w:rPr>
                <w:rFonts w:asciiTheme="majorBidi" w:eastAsiaTheme="minorEastAsia" w:hAnsiTheme="majorBidi" w:cstheme="majorBidi"/>
                <w:lang w:eastAsia="ja-JP"/>
              </w:rPr>
              <w:t>Sequential hydraulic test</w:t>
            </w:r>
            <w:r w:rsidRPr="003813F2">
              <w:rPr>
                <w:rFonts w:asciiTheme="majorBidi" w:eastAsiaTheme="minorEastAsia" w:hAnsiTheme="majorBidi" w:cstheme="majorBidi"/>
                <w:vertAlign w:val="superscript"/>
                <w:lang w:eastAsia="ja-JP"/>
              </w:rPr>
              <w:t>8</w:t>
            </w:r>
          </w:p>
          <w:p w14:paraId="7C4EADE7" w14:textId="77777777" w:rsidR="00012C6F" w:rsidRPr="003813F2" w:rsidRDefault="00012C6F" w:rsidP="0015386E">
            <w:pPr>
              <w:pStyle w:val="ListParagraph"/>
              <w:numPr>
                <w:ilvl w:val="0"/>
                <w:numId w:val="20"/>
              </w:numPr>
              <w:suppressAutoHyphens w:val="0"/>
              <w:spacing w:before="40" w:after="120" w:line="276" w:lineRule="auto"/>
              <w:ind w:left="132" w:right="118" w:hanging="132"/>
              <w:rPr>
                <w:rFonts w:asciiTheme="majorBidi" w:eastAsiaTheme="minorEastAsia" w:hAnsiTheme="majorBidi" w:cstheme="majorBidi"/>
                <w:lang w:eastAsia="ja-JP"/>
              </w:rPr>
            </w:pPr>
            <w:r w:rsidRPr="003813F2">
              <w:rPr>
                <w:rFonts w:asciiTheme="majorBidi" w:eastAsiaTheme="minorEastAsia" w:hAnsiTheme="majorBidi" w:cstheme="majorBidi"/>
                <w:lang w:eastAsia="ja-JP"/>
              </w:rPr>
              <w:t>Fire test</w:t>
            </w:r>
            <w:r w:rsidRPr="003813F2">
              <w:rPr>
                <w:rFonts w:asciiTheme="majorBidi" w:eastAsiaTheme="minorEastAsia" w:hAnsiTheme="majorBidi" w:cstheme="majorBidi"/>
                <w:vertAlign w:val="superscript"/>
                <w:lang w:eastAsia="ja-JP"/>
              </w:rPr>
              <w:t>8</w:t>
            </w:r>
          </w:p>
        </w:tc>
      </w:tr>
      <w:tr w:rsidR="00012C6F" w:rsidRPr="006B6FDC" w14:paraId="3ACFFBF7" w14:textId="77777777" w:rsidTr="00DF37CA">
        <w:tc>
          <w:tcPr>
            <w:tcW w:w="1767" w:type="dxa"/>
            <w:vMerge/>
            <w:shd w:val="clear" w:color="auto" w:fill="auto"/>
          </w:tcPr>
          <w:p w14:paraId="4FDAABCD" w14:textId="77777777" w:rsidR="00012C6F" w:rsidRPr="003813F2" w:rsidRDefault="00012C6F" w:rsidP="00DF37CA">
            <w:pPr>
              <w:spacing w:before="40" w:after="120"/>
              <w:ind w:right="485"/>
              <w:rPr>
                <w:rFonts w:asciiTheme="majorBidi" w:hAnsiTheme="majorBidi" w:cstheme="majorBidi"/>
                <w:lang w:eastAsia="ja-JP"/>
              </w:rPr>
            </w:pPr>
          </w:p>
        </w:tc>
        <w:tc>
          <w:tcPr>
            <w:tcW w:w="1768" w:type="dxa"/>
            <w:shd w:val="clear" w:color="auto" w:fill="auto"/>
          </w:tcPr>
          <w:p w14:paraId="12FDB1EA" w14:textId="77777777" w:rsidR="00012C6F" w:rsidRPr="003813F2" w:rsidRDefault="00012C6F" w:rsidP="00DF37CA">
            <w:pPr>
              <w:spacing w:before="40" w:after="120"/>
              <w:ind w:right="270"/>
              <w:rPr>
                <w:rFonts w:asciiTheme="majorBidi" w:hAnsiTheme="majorBidi" w:cstheme="majorBidi"/>
                <w:strike/>
                <w:lang w:eastAsia="ja-JP"/>
              </w:rPr>
            </w:pPr>
            <w:r w:rsidRPr="003813F2">
              <w:rPr>
                <w:rFonts w:asciiTheme="majorBidi" w:hAnsiTheme="majorBidi" w:cstheme="majorBidi"/>
                <w:lang w:eastAsia="ja-JP"/>
              </w:rPr>
              <w:t>Length</w:t>
            </w:r>
          </w:p>
        </w:tc>
        <w:tc>
          <w:tcPr>
            <w:tcW w:w="3690" w:type="dxa"/>
            <w:shd w:val="clear" w:color="auto" w:fill="auto"/>
            <w:tcMar>
              <w:top w:w="18" w:type="dxa"/>
              <w:left w:w="18" w:type="dxa"/>
              <w:bottom w:w="0" w:type="dxa"/>
              <w:right w:w="18" w:type="dxa"/>
            </w:tcMar>
          </w:tcPr>
          <w:p w14:paraId="299F1AB4" w14:textId="77777777" w:rsidR="00012C6F" w:rsidRPr="003813F2" w:rsidRDefault="00012C6F" w:rsidP="0015386E">
            <w:pPr>
              <w:pStyle w:val="ListParagraph"/>
              <w:numPr>
                <w:ilvl w:val="0"/>
                <w:numId w:val="20"/>
              </w:numPr>
              <w:suppressAutoHyphens w:val="0"/>
              <w:spacing w:before="40" w:after="120" w:line="276" w:lineRule="auto"/>
              <w:ind w:left="132" w:right="118" w:hanging="132"/>
              <w:rPr>
                <w:rFonts w:asciiTheme="majorBidi" w:eastAsiaTheme="minorEastAsia" w:hAnsiTheme="majorBidi" w:cstheme="majorBidi"/>
                <w:lang w:eastAsia="ja-JP"/>
              </w:rPr>
            </w:pPr>
            <w:r w:rsidRPr="003813F2">
              <w:rPr>
                <w:rFonts w:asciiTheme="majorBidi" w:eastAsiaTheme="minorEastAsia" w:hAnsiTheme="majorBidi" w:cstheme="majorBidi"/>
                <w:lang w:eastAsia="ja-JP"/>
              </w:rPr>
              <w:t>Initial burst, Initial pressure cycle life</w:t>
            </w:r>
            <w:r w:rsidRPr="003813F2">
              <w:rPr>
                <w:rFonts w:asciiTheme="majorBidi" w:eastAsiaTheme="minorEastAsia" w:hAnsiTheme="majorBidi" w:cstheme="majorBidi"/>
                <w:vertAlign w:val="superscript"/>
                <w:lang w:eastAsia="ja-JP"/>
              </w:rPr>
              <w:t>8</w:t>
            </w:r>
          </w:p>
          <w:p w14:paraId="57D023CF" w14:textId="77777777" w:rsidR="00012C6F" w:rsidRPr="003813F2" w:rsidRDefault="00012C6F" w:rsidP="0015386E">
            <w:pPr>
              <w:pStyle w:val="ListParagraph"/>
              <w:numPr>
                <w:ilvl w:val="0"/>
                <w:numId w:val="20"/>
              </w:numPr>
              <w:suppressAutoHyphens w:val="0"/>
              <w:spacing w:before="40" w:after="120" w:line="276" w:lineRule="auto"/>
              <w:ind w:left="132" w:right="118" w:hanging="132"/>
              <w:rPr>
                <w:rFonts w:asciiTheme="majorBidi" w:hAnsiTheme="majorBidi" w:cstheme="majorBidi"/>
              </w:rPr>
            </w:pPr>
            <w:r w:rsidRPr="003813F2">
              <w:rPr>
                <w:rFonts w:asciiTheme="majorBidi" w:eastAsiaTheme="minorEastAsia" w:hAnsiTheme="majorBidi" w:cstheme="majorBidi"/>
                <w:lang w:eastAsia="ja-JP"/>
              </w:rPr>
              <w:t>Fire test</w:t>
            </w:r>
            <w:r w:rsidRPr="003813F2">
              <w:rPr>
                <w:rFonts w:asciiTheme="majorBidi" w:eastAsiaTheme="minorEastAsia" w:hAnsiTheme="majorBidi" w:cstheme="majorBidi"/>
                <w:vertAlign w:val="superscript"/>
                <w:lang w:eastAsia="ja-JP"/>
              </w:rPr>
              <w:t>8</w:t>
            </w:r>
          </w:p>
          <w:p w14:paraId="66FAB3C8" w14:textId="77777777" w:rsidR="00012C6F" w:rsidRPr="003813F2" w:rsidRDefault="00012C6F" w:rsidP="0015386E">
            <w:pPr>
              <w:pStyle w:val="ListParagraph"/>
              <w:numPr>
                <w:ilvl w:val="0"/>
                <w:numId w:val="20"/>
              </w:numPr>
              <w:suppressAutoHyphens w:val="0"/>
              <w:spacing w:before="40" w:after="120" w:line="276" w:lineRule="auto"/>
              <w:ind w:left="132" w:right="118" w:hanging="132"/>
              <w:rPr>
                <w:rFonts w:asciiTheme="majorBidi" w:hAnsiTheme="majorBidi" w:cstheme="majorBidi"/>
                <w:strike/>
              </w:rPr>
            </w:pPr>
            <w:r w:rsidRPr="003813F2">
              <w:rPr>
                <w:rFonts w:asciiTheme="majorBidi" w:eastAsiaTheme="minorEastAsia" w:hAnsiTheme="majorBidi" w:cstheme="majorBidi"/>
                <w:lang w:eastAsia="ja-JP"/>
              </w:rPr>
              <w:t>Sequential hydraulic test</w:t>
            </w:r>
            <w:r w:rsidRPr="003813F2">
              <w:rPr>
                <w:rFonts w:asciiTheme="majorBidi" w:eastAsiaTheme="minorEastAsia" w:hAnsiTheme="majorBidi" w:cstheme="majorBidi"/>
                <w:vertAlign w:val="superscript"/>
                <w:lang w:eastAsia="ja-JP"/>
              </w:rPr>
              <w:t>8</w:t>
            </w:r>
          </w:p>
        </w:tc>
      </w:tr>
      <w:tr w:rsidR="00012C6F" w:rsidRPr="006B6FDC" w14:paraId="1E93CC8C" w14:textId="77777777" w:rsidTr="00DF37CA">
        <w:tc>
          <w:tcPr>
            <w:tcW w:w="1767" w:type="dxa"/>
            <w:vMerge/>
            <w:shd w:val="clear" w:color="auto" w:fill="auto"/>
          </w:tcPr>
          <w:p w14:paraId="5801F351" w14:textId="77777777" w:rsidR="00012C6F" w:rsidRPr="003813F2" w:rsidRDefault="00012C6F" w:rsidP="00DF37CA">
            <w:pPr>
              <w:spacing w:before="40" w:after="120"/>
              <w:ind w:right="485"/>
              <w:rPr>
                <w:rFonts w:asciiTheme="majorBidi" w:hAnsiTheme="majorBidi" w:cstheme="majorBidi"/>
                <w:lang w:eastAsia="ja-JP"/>
              </w:rPr>
            </w:pPr>
          </w:p>
        </w:tc>
        <w:tc>
          <w:tcPr>
            <w:tcW w:w="1768" w:type="dxa"/>
            <w:shd w:val="clear" w:color="auto" w:fill="auto"/>
          </w:tcPr>
          <w:p w14:paraId="5DE05A4B" w14:textId="77777777" w:rsidR="00012C6F" w:rsidRPr="003813F2" w:rsidRDefault="00012C6F" w:rsidP="00DF37CA">
            <w:pPr>
              <w:spacing w:before="40" w:after="120"/>
              <w:ind w:right="270"/>
              <w:rPr>
                <w:rFonts w:asciiTheme="majorBidi" w:hAnsiTheme="majorBidi" w:cstheme="majorBidi"/>
                <w:lang w:eastAsia="ja-JP"/>
              </w:rPr>
            </w:pPr>
            <w:r w:rsidRPr="003813F2">
              <w:rPr>
                <w:rFonts w:asciiTheme="majorBidi" w:hAnsiTheme="majorBidi" w:cstheme="majorBidi"/>
                <w:lang w:eastAsia="ja-JP"/>
              </w:rPr>
              <w:t>Line routing</w:t>
            </w:r>
          </w:p>
        </w:tc>
        <w:tc>
          <w:tcPr>
            <w:tcW w:w="3690" w:type="dxa"/>
            <w:shd w:val="clear" w:color="auto" w:fill="auto"/>
            <w:tcMar>
              <w:top w:w="18" w:type="dxa"/>
              <w:left w:w="18" w:type="dxa"/>
              <w:bottom w:w="0" w:type="dxa"/>
              <w:right w:w="18" w:type="dxa"/>
            </w:tcMar>
          </w:tcPr>
          <w:p w14:paraId="02F4D05B" w14:textId="77777777" w:rsidR="00012C6F" w:rsidRPr="003813F2" w:rsidRDefault="00012C6F" w:rsidP="0015386E">
            <w:pPr>
              <w:pStyle w:val="ListParagraph"/>
              <w:numPr>
                <w:ilvl w:val="0"/>
                <w:numId w:val="20"/>
              </w:numPr>
              <w:suppressAutoHyphens w:val="0"/>
              <w:spacing w:before="40" w:after="120" w:line="276" w:lineRule="auto"/>
              <w:ind w:left="132" w:right="118" w:hanging="132"/>
              <w:rPr>
                <w:rFonts w:asciiTheme="majorBidi" w:hAnsiTheme="majorBidi" w:cstheme="majorBidi"/>
                <w:vertAlign w:val="subscript"/>
              </w:rPr>
            </w:pPr>
            <w:r w:rsidRPr="003813F2">
              <w:rPr>
                <w:rFonts w:asciiTheme="majorBidi" w:eastAsiaTheme="minorEastAsia" w:hAnsiTheme="majorBidi" w:cstheme="majorBidi"/>
                <w:lang w:eastAsia="ja-JP"/>
              </w:rPr>
              <w:t>Initial burst, Initial pressure cycle life</w:t>
            </w:r>
            <w:r w:rsidRPr="003813F2">
              <w:rPr>
                <w:rFonts w:asciiTheme="majorBidi" w:eastAsiaTheme="minorEastAsia" w:hAnsiTheme="majorBidi" w:cstheme="majorBidi"/>
                <w:vertAlign w:val="superscript"/>
                <w:lang w:eastAsia="ja-JP"/>
              </w:rPr>
              <w:t>8</w:t>
            </w:r>
          </w:p>
          <w:p w14:paraId="04E9F620" w14:textId="77777777" w:rsidR="00012C6F" w:rsidRPr="003813F2" w:rsidRDefault="00012C6F" w:rsidP="0015386E">
            <w:pPr>
              <w:pStyle w:val="ListParagraph"/>
              <w:numPr>
                <w:ilvl w:val="0"/>
                <w:numId w:val="20"/>
              </w:numPr>
              <w:suppressAutoHyphens w:val="0"/>
              <w:spacing w:before="40" w:after="120" w:line="276" w:lineRule="auto"/>
              <w:ind w:left="132" w:right="118" w:hanging="132"/>
              <w:rPr>
                <w:rFonts w:asciiTheme="majorBidi" w:hAnsiTheme="majorBidi" w:cstheme="majorBidi"/>
                <w:vertAlign w:val="subscript"/>
              </w:rPr>
            </w:pPr>
            <w:r w:rsidRPr="003813F2">
              <w:rPr>
                <w:rFonts w:asciiTheme="majorBidi" w:eastAsiaTheme="minorEastAsia" w:hAnsiTheme="majorBidi" w:cstheme="majorBidi"/>
                <w:lang w:eastAsia="ja-JP"/>
              </w:rPr>
              <w:t>Fire test</w:t>
            </w:r>
            <w:r w:rsidRPr="003813F2">
              <w:rPr>
                <w:rFonts w:asciiTheme="majorBidi" w:eastAsiaTheme="minorEastAsia" w:hAnsiTheme="majorBidi" w:cstheme="majorBidi"/>
                <w:vertAlign w:val="superscript"/>
                <w:lang w:eastAsia="ja-JP"/>
              </w:rPr>
              <w:t>8</w:t>
            </w:r>
          </w:p>
        </w:tc>
      </w:tr>
      <w:tr w:rsidR="00012C6F" w:rsidRPr="006B6FDC" w14:paraId="630DA16E" w14:textId="77777777" w:rsidTr="00DF37CA">
        <w:trPr>
          <w:trHeight w:val="850"/>
        </w:trPr>
        <w:tc>
          <w:tcPr>
            <w:tcW w:w="1767" w:type="dxa"/>
            <w:vMerge/>
            <w:shd w:val="clear" w:color="auto" w:fill="auto"/>
          </w:tcPr>
          <w:p w14:paraId="271AD3B2" w14:textId="77777777" w:rsidR="00012C6F" w:rsidRPr="003813F2" w:rsidRDefault="00012C6F" w:rsidP="00DF37CA">
            <w:pPr>
              <w:spacing w:before="40" w:after="120"/>
              <w:ind w:right="485"/>
              <w:rPr>
                <w:rFonts w:asciiTheme="majorBidi" w:hAnsiTheme="majorBidi" w:cstheme="majorBidi"/>
                <w:lang w:eastAsia="ja-JP"/>
              </w:rPr>
            </w:pPr>
          </w:p>
        </w:tc>
        <w:tc>
          <w:tcPr>
            <w:tcW w:w="1768" w:type="dxa"/>
            <w:shd w:val="clear" w:color="auto" w:fill="auto"/>
          </w:tcPr>
          <w:p w14:paraId="4B380AC6" w14:textId="77777777" w:rsidR="00012C6F" w:rsidRPr="003813F2" w:rsidRDefault="00012C6F" w:rsidP="00DF37CA">
            <w:pPr>
              <w:spacing w:before="40" w:after="120"/>
              <w:ind w:right="270"/>
              <w:rPr>
                <w:rFonts w:asciiTheme="majorBidi" w:hAnsiTheme="majorBidi" w:cstheme="majorBidi"/>
                <w:lang w:eastAsia="ja-JP"/>
              </w:rPr>
            </w:pPr>
            <w:r w:rsidRPr="003813F2">
              <w:rPr>
                <w:rFonts w:asciiTheme="majorBidi" w:hAnsiTheme="majorBidi" w:cstheme="majorBidi"/>
                <w:lang w:eastAsia="ja-JP"/>
              </w:rPr>
              <w:t>Number of fittings</w:t>
            </w:r>
          </w:p>
        </w:tc>
        <w:tc>
          <w:tcPr>
            <w:tcW w:w="3690" w:type="dxa"/>
            <w:shd w:val="clear" w:color="auto" w:fill="auto"/>
            <w:tcMar>
              <w:top w:w="18" w:type="dxa"/>
              <w:left w:w="18" w:type="dxa"/>
              <w:bottom w:w="0" w:type="dxa"/>
              <w:right w:w="18" w:type="dxa"/>
            </w:tcMar>
          </w:tcPr>
          <w:p w14:paraId="40022B7A" w14:textId="77777777" w:rsidR="00012C6F" w:rsidRPr="003813F2" w:rsidRDefault="00012C6F" w:rsidP="0015386E">
            <w:pPr>
              <w:pStyle w:val="ListParagraph"/>
              <w:numPr>
                <w:ilvl w:val="0"/>
                <w:numId w:val="20"/>
              </w:numPr>
              <w:suppressAutoHyphens w:val="0"/>
              <w:spacing w:before="40" w:after="120" w:line="276" w:lineRule="auto"/>
              <w:ind w:left="132" w:right="118" w:hanging="132"/>
              <w:rPr>
                <w:rFonts w:asciiTheme="majorBidi" w:eastAsiaTheme="minorEastAsia" w:hAnsiTheme="majorBidi" w:cstheme="majorBidi"/>
                <w:lang w:eastAsia="ja-JP"/>
              </w:rPr>
            </w:pPr>
            <w:r w:rsidRPr="003813F2">
              <w:rPr>
                <w:rFonts w:asciiTheme="majorBidi" w:eastAsiaTheme="minorEastAsia" w:hAnsiTheme="majorBidi" w:cstheme="majorBidi"/>
                <w:lang w:eastAsia="ja-JP"/>
              </w:rPr>
              <w:t>Pneumatic sequential test</w:t>
            </w:r>
            <w:r w:rsidRPr="003813F2">
              <w:rPr>
                <w:rFonts w:asciiTheme="majorBidi" w:eastAsiaTheme="minorEastAsia" w:hAnsiTheme="majorBidi" w:cstheme="majorBidi"/>
                <w:vertAlign w:val="superscript"/>
                <w:lang w:eastAsia="ja-JP"/>
              </w:rPr>
              <w:t>8</w:t>
            </w:r>
          </w:p>
          <w:p w14:paraId="2E4ACBE0" w14:textId="77777777" w:rsidR="00012C6F" w:rsidRPr="003813F2" w:rsidRDefault="00012C6F" w:rsidP="0015386E">
            <w:pPr>
              <w:pStyle w:val="ListParagraph"/>
              <w:numPr>
                <w:ilvl w:val="0"/>
                <w:numId w:val="20"/>
              </w:numPr>
              <w:suppressAutoHyphens w:val="0"/>
              <w:spacing w:before="40" w:after="120" w:line="276" w:lineRule="auto"/>
              <w:ind w:left="132" w:right="118" w:hanging="132"/>
              <w:rPr>
                <w:rFonts w:asciiTheme="majorBidi" w:eastAsiaTheme="minorEastAsia" w:hAnsiTheme="majorBidi" w:cstheme="majorBidi"/>
                <w:lang w:eastAsia="ja-JP"/>
              </w:rPr>
            </w:pPr>
            <w:r w:rsidRPr="003813F2">
              <w:rPr>
                <w:rFonts w:asciiTheme="majorBidi" w:eastAsiaTheme="minorEastAsia" w:hAnsiTheme="majorBidi" w:cstheme="majorBidi"/>
                <w:lang w:eastAsia="ja-JP"/>
              </w:rPr>
              <w:t>Initial burst, Initial pressure cycle life</w:t>
            </w:r>
            <w:r w:rsidRPr="003813F2">
              <w:rPr>
                <w:rFonts w:asciiTheme="majorBidi" w:eastAsiaTheme="minorEastAsia" w:hAnsiTheme="majorBidi" w:cstheme="majorBidi"/>
                <w:vertAlign w:val="superscript"/>
                <w:lang w:eastAsia="ja-JP"/>
              </w:rPr>
              <w:t>8</w:t>
            </w:r>
          </w:p>
          <w:p w14:paraId="067C2114" w14:textId="77777777" w:rsidR="00012C6F" w:rsidRPr="003813F2" w:rsidRDefault="00012C6F" w:rsidP="0015386E">
            <w:pPr>
              <w:pStyle w:val="ListParagraph"/>
              <w:numPr>
                <w:ilvl w:val="0"/>
                <w:numId w:val="20"/>
              </w:numPr>
              <w:suppressAutoHyphens w:val="0"/>
              <w:spacing w:before="40" w:after="120" w:line="276" w:lineRule="auto"/>
              <w:ind w:left="132" w:right="118" w:hanging="132"/>
              <w:rPr>
                <w:rFonts w:asciiTheme="majorBidi" w:eastAsiaTheme="minorEastAsia" w:hAnsiTheme="majorBidi" w:cstheme="majorBidi"/>
                <w:lang w:eastAsia="ja-JP"/>
              </w:rPr>
            </w:pPr>
            <w:r w:rsidRPr="003813F2">
              <w:rPr>
                <w:rFonts w:asciiTheme="majorBidi" w:eastAsiaTheme="minorEastAsia" w:hAnsiTheme="majorBidi" w:cstheme="majorBidi"/>
                <w:lang w:eastAsia="ja-JP"/>
              </w:rPr>
              <w:t>Fire test</w:t>
            </w:r>
            <w:r w:rsidRPr="003813F2">
              <w:rPr>
                <w:rFonts w:asciiTheme="majorBidi" w:eastAsiaTheme="minorEastAsia" w:hAnsiTheme="majorBidi" w:cstheme="majorBidi"/>
                <w:vertAlign w:val="superscript"/>
                <w:lang w:eastAsia="ja-JP"/>
              </w:rPr>
              <w:t>8</w:t>
            </w:r>
          </w:p>
        </w:tc>
      </w:tr>
    </w:tbl>
    <w:p w14:paraId="1CF6D666" w14:textId="53588F0B" w:rsidR="00012C6F" w:rsidRPr="003813F2" w:rsidRDefault="003813F2" w:rsidP="003813F2">
      <w:pPr>
        <w:keepNext/>
        <w:spacing w:before="120" w:after="120"/>
        <w:ind w:left="1134" w:right="1134"/>
        <w:jc w:val="right"/>
        <w:rPr>
          <w:bCs/>
        </w:rPr>
      </w:pPr>
      <w:r w:rsidRPr="003813F2">
        <w:rPr>
          <w:bCs/>
        </w:rPr>
        <w:t>”</w:t>
      </w:r>
    </w:p>
    <w:p w14:paraId="4012E40A" w14:textId="77777777" w:rsidR="00133005" w:rsidRDefault="003813F2" w:rsidP="002E5854">
      <w:pPr>
        <w:spacing w:after="120"/>
        <w:ind w:left="1134" w:right="1134"/>
        <w:jc w:val="both"/>
        <w:rPr>
          <w:lang w:eastAsia="ja-JP"/>
        </w:rPr>
      </w:pPr>
      <w:bookmarkStart w:id="7" w:name="_Hlk183510915"/>
      <w:r w:rsidRPr="006B6FDC">
        <w:rPr>
          <w:i/>
          <w:iCs/>
          <w:lang w:eastAsia="ja-JP"/>
        </w:rPr>
        <w:t xml:space="preserve">Annex 7, </w:t>
      </w:r>
      <w:r w:rsidR="007E50FF">
        <w:rPr>
          <w:i/>
          <w:iCs/>
          <w:lang w:eastAsia="ja-JP"/>
        </w:rPr>
        <w:t>t</w:t>
      </w:r>
      <w:r w:rsidRPr="006B6FDC">
        <w:rPr>
          <w:i/>
          <w:iCs/>
          <w:lang w:eastAsia="ja-JP"/>
        </w:rPr>
        <w:t xml:space="preserve">able </w:t>
      </w:r>
      <w:r>
        <w:rPr>
          <w:i/>
          <w:iCs/>
          <w:lang w:eastAsia="ja-JP"/>
        </w:rPr>
        <w:t>1 notes</w:t>
      </w:r>
      <w:r w:rsidRPr="006B6FDC">
        <w:rPr>
          <w:i/>
          <w:iCs/>
          <w:lang w:eastAsia="ja-JP"/>
        </w:rPr>
        <w:t>,</w:t>
      </w:r>
      <w:r>
        <w:rPr>
          <w:i/>
          <w:iCs/>
          <w:lang w:eastAsia="ja-JP"/>
        </w:rPr>
        <w:t xml:space="preserve"> </w:t>
      </w:r>
      <w:r w:rsidRPr="003813F2">
        <w:rPr>
          <w:lang w:eastAsia="ja-JP"/>
        </w:rPr>
        <w:t>at the end, add the following</w:t>
      </w:r>
      <w:r w:rsidR="002E5854">
        <w:rPr>
          <w:lang w:eastAsia="ja-JP"/>
        </w:rPr>
        <w:t xml:space="preserve"> new</w:t>
      </w:r>
      <w:r w:rsidRPr="003813F2">
        <w:rPr>
          <w:lang w:eastAsia="ja-JP"/>
        </w:rPr>
        <w:t xml:space="preserve"> note</w:t>
      </w:r>
      <w:r w:rsidR="00133005">
        <w:rPr>
          <w:lang w:eastAsia="ja-JP"/>
        </w:rPr>
        <w:t>:</w:t>
      </w:r>
    </w:p>
    <w:p w14:paraId="448BCDF0" w14:textId="4DEA31D0" w:rsidR="00012C6F" w:rsidRPr="003813F2" w:rsidRDefault="00167B22" w:rsidP="0024765E">
      <w:pPr>
        <w:spacing w:after="120"/>
        <w:ind w:left="1701" w:right="1134" w:hanging="567"/>
        <w:jc w:val="both"/>
        <w:rPr>
          <w:iCs/>
        </w:rPr>
      </w:pPr>
      <w:r>
        <w:t>"</w:t>
      </w:r>
      <w:r w:rsidR="00012C6F" w:rsidRPr="003813F2">
        <w:t>8</w:t>
      </w:r>
      <w:r w:rsidR="002E5854">
        <w:t>.</w:t>
      </w:r>
      <w:r w:rsidR="0024765E">
        <w:tab/>
      </w:r>
      <w:r w:rsidR="00012C6F" w:rsidRPr="003813F2">
        <w:t xml:space="preserve">Fire test, </w:t>
      </w:r>
      <w:r w:rsidR="00012C6F" w:rsidRPr="003813F2">
        <w:rPr>
          <w:rFonts w:eastAsiaTheme="minorEastAsia" w:cs="Arial"/>
          <w:lang w:eastAsia="ja-JP"/>
        </w:rPr>
        <w:t xml:space="preserve">initial burst, initial pressure cycle life, </w:t>
      </w:r>
      <w:r w:rsidR="00012C6F" w:rsidRPr="003813F2">
        <w:t xml:space="preserve">hydraulic and pneumatic sequential tests are not required if the parameters of the supply lines are </w:t>
      </w:r>
      <w:r w:rsidR="00012C6F" w:rsidRPr="003813F2">
        <w:rPr>
          <w:lang w:eastAsia="ja-JP"/>
        </w:rPr>
        <w:t>covered</w:t>
      </w:r>
      <w:r w:rsidR="00012C6F" w:rsidRPr="003813F2">
        <w:t xml:space="preserve"> by the tested worst-case configuration.</w:t>
      </w:r>
      <w:r>
        <w:t>"</w:t>
      </w:r>
    </w:p>
    <w:bookmarkEnd w:id="7"/>
    <w:p w14:paraId="42684395" w14:textId="77777777" w:rsidR="00012C6F" w:rsidRPr="001F19C1" w:rsidRDefault="00012C6F" w:rsidP="00902684">
      <w:pPr>
        <w:pStyle w:val="SingleTxtG"/>
        <w:keepNext/>
        <w:rPr>
          <w:i/>
          <w:iCs/>
          <w:lang w:eastAsia="ja-JP"/>
        </w:rPr>
      </w:pPr>
      <w:r w:rsidRPr="001F19C1">
        <w:rPr>
          <w:i/>
          <w:iCs/>
          <w:lang w:eastAsia="ja-JP"/>
        </w:rPr>
        <w:lastRenderedPageBreak/>
        <w:t>Insert new Annex 9:</w:t>
      </w:r>
    </w:p>
    <w:p w14:paraId="34F58B56" w14:textId="7CB159E4" w:rsidR="00012C6F" w:rsidRPr="006B6FDC" w:rsidRDefault="00167B22" w:rsidP="00902684">
      <w:pPr>
        <w:keepNext/>
        <w:spacing w:after="120"/>
        <w:ind w:left="1134" w:right="1134"/>
        <w:jc w:val="both"/>
        <w:rPr>
          <w:b/>
          <w:sz w:val="28"/>
          <w:szCs w:val="28"/>
          <w:lang w:eastAsia="ja-JP"/>
        </w:rPr>
      </w:pPr>
      <w:bookmarkStart w:id="8" w:name="_Hlk183510977"/>
      <w:r>
        <w:rPr>
          <w:b/>
          <w:sz w:val="28"/>
          <w:szCs w:val="28"/>
          <w:lang w:eastAsia="ja-JP"/>
        </w:rPr>
        <w:t>"</w:t>
      </w:r>
      <w:r w:rsidR="00012C6F" w:rsidRPr="006B6FDC">
        <w:rPr>
          <w:b/>
          <w:sz w:val="28"/>
          <w:szCs w:val="28"/>
          <w:lang w:eastAsia="ja-JP"/>
        </w:rPr>
        <w:t>Annex 9</w:t>
      </w:r>
      <w:r w:rsidR="00012C6F" w:rsidRPr="006B6FDC">
        <w:rPr>
          <w:b/>
          <w:sz w:val="28"/>
          <w:szCs w:val="28"/>
          <w:lang w:eastAsia="ja-JP"/>
        </w:rPr>
        <w:tab/>
      </w:r>
    </w:p>
    <w:p w14:paraId="4AEF44C6" w14:textId="77777777" w:rsidR="00012C6F" w:rsidRPr="004E2758" w:rsidRDefault="00012C6F" w:rsidP="00902684">
      <w:pPr>
        <w:keepNext/>
        <w:spacing w:after="120"/>
        <w:ind w:left="1134" w:right="1134"/>
        <w:rPr>
          <w:b/>
          <w:sz w:val="28"/>
          <w:szCs w:val="28"/>
          <w:lang w:eastAsia="ja-JP"/>
        </w:rPr>
      </w:pPr>
      <w:r w:rsidRPr="004E2758">
        <w:rPr>
          <w:b/>
          <w:sz w:val="28"/>
          <w:szCs w:val="28"/>
          <w:lang w:eastAsia="ja-JP"/>
        </w:rPr>
        <w:t>Description of test articles for performance requirements in paragraphs 5.1. to 5.4.</w:t>
      </w:r>
    </w:p>
    <w:tbl>
      <w:tblPr>
        <w:tblW w:w="9918" w:type="dxa"/>
        <w:tblLayout w:type="fixed"/>
        <w:tblCellMar>
          <w:left w:w="70" w:type="dxa"/>
          <w:right w:w="70" w:type="dxa"/>
        </w:tblCellMar>
        <w:tblLook w:val="04A0" w:firstRow="1" w:lastRow="0" w:firstColumn="1" w:lastColumn="0" w:noHBand="0" w:noVBand="1"/>
      </w:tblPr>
      <w:tblGrid>
        <w:gridCol w:w="704"/>
        <w:gridCol w:w="3119"/>
        <w:gridCol w:w="1275"/>
        <w:gridCol w:w="851"/>
        <w:gridCol w:w="709"/>
        <w:gridCol w:w="3260"/>
      </w:tblGrid>
      <w:tr w:rsidR="00012C6F" w:rsidRPr="004E2758" w14:paraId="66925197" w14:textId="77777777" w:rsidTr="007E50FF">
        <w:trPr>
          <w:trHeight w:val="20"/>
        </w:trPr>
        <w:tc>
          <w:tcPr>
            <w:tcW w:w="704" w:type="dxa"/>
            <w:vMerge w:val="restart"/>
            <w:tcBorders>
              <w:top w:val="single" w:sz="4" w:space="0" w:color="auto"/>
              <w:left w:val="single" w:sz="4" w:space="0" w:color="auto"/>
              <w:right w:val="single" w:sz="4" w:space="0" w:color="auto"/>
            </w:tcBorders>
            <w:shd w:val="clear" w:color="auto" w:fill="auto"/>
            <w:vAlign w:val="center"/>
          </w:tcPr>
          <w:p w14:paraId="582E344C"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Test No.</w:t>
            </w:r>
          </w:p>
        </w:tc>
        <w:tc>
          <w:tcPr>
            <w:tcW w:w="3119" w:type="dxa"/>
            <w:vMerge w:val="restart"/>
            <w:tcBorders>
              <w:top w:val="single" w:sz="4" w:space="0" w:color="auto"/>
              <w:left w:val="nil"/>
              <w:right w:val="single" w:sz="4" w:space="0" w:color="auto"/>
            </w:tcBorders>
            <w:shd w:val="clear" w:color="auto" w:fill="auto"/>
            <w:vAlign w:val="center"/>
          </w:tcPr>
          <w:p w14:paraId="7F9935AD"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Test title</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33AD2788"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CHSS</w:t>
            </w:r>
          </w:p>
        </w:tc>
        <w:tc>
          <w:tcPr>
            <w:tcW w:w="3260" w:type="dxa"/>
            <w:vMerge w:val="restart"/>
            <w:tcBorders>
              <w:top w:val="single" w:sz="4" w:space="0" w:color="auto"/>
              <w:left w:val="nil"/>
              <w:right w:val="single" w:sz="4" w:space="0" w:color="auto"/>
            </w:tcBorders>
            <w:shd w:val="clear" w:color="auto" w:fill="auto"/>
            <w:vAlign w:val="center"/>
          </w:tcPr>
          <w:p w14:paraId="14D265A6"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Notes</w:t>
            </w:r>
          </w:p>
        </w:tc>
      </w:tr>
      <w:tr w:rsidR="00012C6F" w:rsidRPr="004E2758" w14:paraId="76A20BA9" w14:textId="77777777" w:rsidTr="007E50FF">
        <w:trPr>
          <w:trHeight w:val="20"/>
        </w:trPr>
        <w:tc>
          <w:tcPr>
            <w:tcW w:w="704" w:type="dxa"/>
            <w:vMerge/>
            <w:tcBorders>
              <w:left w:val="single" w:sz="4" w:space="0" w:color="auto"/>
              <w:right w:val="single" w:sz="4" w:space="0" w:color="auto"/>
            </w:tcBorders>
            <w:shd w:val="clear" w:color="auto" w:fill="auto"/>
            <w:vAlign w:val="center"/>
            <w:hideMark/>
          </w:tcPr>
          <w:p w14:paraId="16510837" w14:textId="77777777" w:rsidR="00012C6F" w:rsidRPr="004E2758" w:rsidRDefault="00012C6F" w:rsidP="001B2806">
            <w:pPr>
              <w:keepNext/>
              <w:keepLines/>
              <w:spacing w:line="240" w:lineRule="auto"/>
              <w:rPr>
                <w:sz w:val="18"/>
                <w:szCs w:val="18"/>
                <w:lang w:eastAsia="ja-JP"/>
              </w:rPr>
            </w:pPr>
          </w:p>
        </w:tc>
        <w:tc>
          <w:tcPr>
            <w:tcW w:w="3119" w:type="dxa"/>
            <w:vMerge/>
            <w:tcBorders>
              <w:left w:val="nil"/>
              <w:right w:val="single" w:sz="4" w:space="0" w:color="auto"/>
            </w:tcBorders>
            <w:shd w:val="clear" w:color="auto" w:fill="auto"/>
            <w:vAlign w:val="center"/>
            <w:hideMark/>
          </w:tcPr>
          <w:p w14:paraId="3DB4F135" w14:textId="77777777" w:rsidR="00012C6F" w:rsidRPr="004E2758" w:rsidRDefault="00012C6F" w:rsidP="001B2806">
            <w:pPr>
              <w:keepNext/>
              <w:keepLines/>
              <w:spacing w:line="240" w:lineRule="auto"/>
              <w:rPr>
                <w:sz w:val="18"/>
                <w:szCs w:val="18"/>
                <w:highlight w:val="yellow"/>
                <w:lang w:eastAsia="ja-JP"/>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196662D"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Container with attachments (if any)</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DACA13"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Primary closure devices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87332A"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Supply lines</w:t>
            </w:r>
          </w:p>
        </w:tc>
        <w:tc>
          <w:tcPr>
            <w:tcW w:w="3260" w:type="dxa"/>
            <w:vMerge/>
            <w:tcBorders>
              <w:left w:val="nil"/>
              <w:right w:val="single" w:sz="4" w:space="0" w:color="auto"/>
            </w:tcBorders>
            <w:shd w:val="clear" w:color="auto" w:fill="auto"/>
            <w:vAlign w:val="center"/>
            <w:hideMark/>
          </w:tcPr>
          <w:p w14:paraId="5AC29A30" w14:textId="77777777" w:rsidR="00012C6F" w:rsidRPr="004E2758" w:rsidRDefault="00012C6F" w:rsidP="001B2806">
            <w:pPr>
              <w:keepNext/>
              <w:keepLines/>
              <w:spacing w:line="240" w:lineRule="auto"/>
              <w:rPr>
                <w:sz w:val="18"/>
                <w:szCs w:val="18"/>
                <w:lang w:eastAsia="ja-JP"/>
              </w:rPr>
            </w:pPr>
          </w:p>
        </w:tc>
      </w:tr>
      <w:tr w:rsidR="00012C6F" w:rsidRPr="004E2758" w14:paraId="27E0622E" w14:textId="77777777" w:rsidTr="007E50FF">
        <w:trPr>
          <w:trHeight w:val="20"/>
        </w:trPr>
        <w:tc>
          <w:tcPr>
            <w:tcW w:w="704" w:type="dxa"/>
            <w:vMerge/>
            <w:tcBorders>
              <w:left w:val="single" w:sz="4" w:space="0" w:color="auto"/>
              <w:bottom w:val="single" w:sz="4" w:space="0" w:color="auto"/>
              <w:right w:val="single" w:sz="4" w:space="0" w:color="auto"/>
            </w:tcBorders>
            <w:shd w:val="clear" w:color="auto" w:fill="auto"/>
            <w:vAlign w:val="center"/>
          </w:tcPr>
          <w:p w14:paraId="41A645A2" w14:textId="77777777" w:rsidR="00012C6F" w:rsidRPr="004E2758" w:rsidRDefault="00012C6F" w:rsidP="001B2806">
            <w:pPr>
              <w:keepNext/>
              <w:keepLines/>
              <w:spacing w:line="240" w:lineRule="auto"/>
              <w:rPr>
                <w:sz w:val="18"/>
                <w:szCs w:val="18"/>
                <w:lang w:eastAsia="ja-JP"/>
              </w:rPr>
            </w:pPr>
          </w:p>
        </w:tc>
        <w:tc>
          <w:tcPr>
            <w:tcW w:w="3119" w:type="dxa"/>
            <w:vMerge/>
            <w:tcBorders>
              <w:left w:val="nil"/>
              <w:bottom w:val="single" w:sz="4" w:space="0" w:color="auto"/>
              <w:right w:val="single" w:sz="4" w:space="0" w:color="auto"/>
            </w:tcBorders>
            <w:shd w:val="clear" w:color="auto" w:fill="auto"/>
            <w:vAlign w:val="center"/>
          </w:tcPr>
          <w:p w14:paraId="22CA3FC7" w14:textId="77777777" w:rsidR="00012C6F" w:rsidRPr="004E2758" w:rsidRDefault="00012C6F" w:rsidP="001B2806">
            <w:pPr>
              <w:keepNext/>
              <w:keepLines/>
              <w:spacing w:line="240" w:lineRule="auto"/>
              <w:rPr>
                <w:sz w:val="18"/>
                <w:szCs w:val="18"/>
                <w:highlight w:val="yellow"/>
                <w:lang w:eastAsia="ja-JP"/>
              </w:rPr>
            </w:pP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43FD8CA9"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Test article</w:t>
            </w:r>
          </w:p>
        </w:tc>
        <w:tc>
          <w:tcPr>
            <w:tcW w:w="3260" w:type="dxa"/>
            <w:vMerge/>
            <w:tcBorders>
              <w:left w:val="nil"/>
              <w:bottom w:val="single" w:sz="4" w:space="0" w:color="auto"/>
              <w:right w:val="single" w:sz="4" w:space="0" w:color="auto"/>
            </w:tcBorders>
            <w:shd w:val="clear" w:color="auto" w:fill="auto"/>
            <w:vAlign w:val="center"/>
          </w:tcPr>
          <w:p w14:paraId="710A014A" w14:textId="77777777" w:rsidR="00012C6F" w:rsidRPr="004E2758" w:rsidRDefault="00012C6F" w:rsidP="001B2806">
            <w:pPr>
              <w:keepNext/>
              <w:keepLines/>
              <w:spacing w:line="240" w:lineRule="auto"/>
              <w:rPr>
                <w:sz w:val="18"/>
                <w:szCs w:val="18"/>
                <w:lang w:eastAsia="ja-JP"/>
              </w:rPr>
            </w:pPr>
          </w:p>
        </w:tc>
      </w:tr>
      <w:tr w:rsidR="00012C6F" w:rsidRPr="004E2758" w14:paraId="6ADEDD8B" w14:textId="77777777" w:rsidTr="007E50FF">
        <w:trPr>
          <w:trHeight w:val="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6234092"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5.1.</w:t>
            </w:r>
          </w:p>
        </w:tc>
        <w:tc>
          <w:tcPr>
            <w:tcW w:w="5954" w:type="dxa"/>
            <w:gridSpan w:val="4"/>
            <w:tcBorders>
              <w:top w:val="nil"/>
              <w:left w:val="nil"/>
              <w:bottom w:val="single" w:sz="4" w:space="0" w:color="auto"/>
              <w:right w:val="single" w:sz="4" w:space="0" w:color="auto"/>
            </w:tcBorders>
            <w:shd w:val="clear" w:color="000000" w:fill="FFFFFF"/>
            <w:vAlign w:val="center"/>
            <w:hideMark/>
          </w:tcPr>
          <w:p w14:paraId="71711447"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Verifications test for baseline metrics</w:t>
            </w:r>
          </w:p>
        </w:tc>
        <w:tc>
          <w:tcPr>
            <w:tcW w:w="3260" w:type="dxa"/>
            <w:tcBorders>
              <w:top w:val="nil"/>
              <w:left w:val="nil"/>
              <w:bottom w:val="single" w:sz="4" w:space="0" w:color="auto"/>
              <w:right w:val="single" w:sz="4" w:space="0" w:color="auto"/>
            </w:tcBorders>
            <w:shd w:val="clear" w:color="000000" w:fill="FFFFFF"/>
            <w:noWrap/>
            <w:vAlign w:val="center"/>
            <w:hideMark/>
          </w:tcPr>
          <w:p w14:paraId="1A23CF92" w14:textId="77777777" w:rsidR="00012C6F" w:rsidRPr="004E2758" w:rsidRDefault="00012C6F" w:rsidP="001B2806">
            <w:pPr>
              <w:keepNext/>
              <w:keepLines/>
              <w:spacing w:line="240" w:lineRule="auto"/>
              <w:rPr>
                <w:sz w:val="18"/>
                <w:szCs w:val="18"/>
                <w:lang w:eastAsia="ja-JP"/>
              </w:rPr>
            </w:pPr>
          </w:p>
        </w:tc>
      </w:tr>
      <w:tr w:rsidR="00012C6F" w:rsidRPr="004E2758" w14:paraId="6C4D0CE0" w14:textId="77777777" w:rsidTr="007E50F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E5FE9B"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5.1.1.</w:t>
            </w:r>
          </w:p>
        </w:tc>
        <w:tc>
          <w:tcPr>
            <w:tcW w:w="3119" w:type="dxa"/>
            <w:tcBorders>
              <w:top w:val="nil"/>
              <w:left w:val="nil"/>
              <w:bottom w:val="single" w:sz="4" w:space="0" w:color="auto"/>
              <w:right w:val="single" w:sz="4" w:space="0" w:color="auto"/>
            </w:tcBorders>
            <w:shd w:val="clear" w:color="auto" w:fill="auto"/>
            <w:vAlign w:val="center"/>
            <w:hideMark/>
          </w:tcPr>
          <w:p w14:paraId="4C65435E"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Baseline initial burst pressure</w:t>
            </w:r>
          </w:p>
        </w:tc>
        <w:tc>
          <w:tcPr>
            <w:tcW w:w="1275" w:type="dxa"/>
            <w:tcBorders>
              <w:top w:val="nil"/>
              <w:left w:val="nil"/>
              <w:bottom w:val="single" w:sz="4" w:space="0" w:color="auto"/>
              <w:right w:val="single" w:sz="4" w:space="0" w:color="auto"/>
            </w:tcBorders>
            <w:shd w:val="clear" w:color="auto" w:fill="auto"/>
            <w:noWrap/>
            <w:vAlign w:val="center"/>
            <w:hideMark/>
          </w:tcPr>
          <w:p w14:paraId="63D65CCB"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31B2BAF4" w14:textId="77777777" w:rsidR="00012C6F" w:rsidRPr="004E2758" w:rsidRDefault="00012C6F" w:rsidP="001B2806">
            <w:pPr>
              <w:keepNext/>
              <w:keepLines/>
              <w:spacing w:line="240" w:lineRule="auto"/>
              <w:jc w:val="center"/>
              <w:rPr>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30BAE900" w14:textId="77777777" w:rsidR="00012C6F" w:rsidRPr="004E2758" w:rsidRDefault="00012C6F" w:rsidP="001B2806">
            <w:pPr>
              <w:keepNext/>
              <w:keepLines/>
              <w:spacing w:line="240" w:lineRule="auto"/>
              <w:jc w:val="center"/>
              <w:rPr>
                <w:sz w:val="18"/>
                <w:szCs w:val="18"/>
                <w:vertAlign w:val="superscript"/>
                <w:lang w:eastAsia="ja-JP"/>
              </w:rPr>
            </w:pPr>
            <w:r w:rsidRPr="004E2758">
              <w:rPr>
                <w:sz w:val="18"/>
                <w:szCs w:val="18"/>
                <w:lang w:eastAsia="ja-JP"/>
              </w:rPr>
              <w:t>x</w:t>
            </w:r>
            <w:r w:rsidRPr="004E2758">
              <w:rPr>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0D896DFC"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 </w:t>
            </w:r>
          </w:p>
        </w:tc>
      </w:tr>
      <w:tr w:rsidR="00012C6F" w:rsidRPr="004E2758" w14:paraId="2CA1F921" w14:textId="77777777" w:rsidTr="007E50F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F3CD48"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5.1.2.</w:t>
            </w:r>
          </w:p>
        </w:tc>
        <w:tc>
          <w:tcPr>
            <w:tcW w:w="3119" w:type="dxa"/>
            <w:tcBorders>
              <w:top w:val="nil"/>
              <w:left w:val="nil"/>
              <w:bottom w:val="single" w:sz="4" w:space="0" w:color="auto"/>
              <w:right w:val="single" w:sz="4" w:space="0" w:color="auto"/>
            </w:tcBorders>
            <w:shd w:val="clear" w:color="auto" w:fill="auto"/>
            <w:vAlign w:val="center"/>
            <w:hideMark/>
          </w:tcPr>
          <w:p w14:paraId="3E17302D"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Baseline initial pressure cycle life</w:t>
            </w:r>
          </w:p>
        </w:tc>
        <w:tc>
          <w:tcPr>
            <w:tcW w:w="1275" w:type="dxa"/>
            <w:tcBorders>
              <w:top w:val="nil"/>
              <w:left w:val="nil"/>
              <w:bottom w:val="single" w:sz="4" w:space="0" w:color="auto"/>
              <w:right w:val="single" w:sz="4" w:space="0" w:color="auto"/>
            </w:tcBorders>
            <w:shd w:val="clear" w:color="auto" w:fill="auto"/>
            <w:noWrap/>
            <w:vAlign w:val="center"/>
            <w:hideMark/>
          </w:tcPr>
          <w:p w14:paraId="1AA01334"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0A0D781A" w14:textId="77777777" w:rsidR="00012C6F" w:rsidRPr="004E2758" w:rsidRDefault="00012C6F" w:rsidP="001B2806">
            <w:pPr>
              <w:keepNext/>
              <w:keepLines/>
              <w:spacing w:line="240" w:lineRule="auto"/>
              <w:jc w:val="center"/>
              <w:rPr>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41C5387D"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r w:rsidRPr="004E2758">
              <w:rPr>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4614F258"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 </w:t>
            </w:r>
          </w:p>
        </w:tc>
      </w:tr>
      <w:tr w:rsidR="00012C6F" w:rsidRPr="004E2758" w14:paraId="59A05EF7" w14:textId="77777777" w:rsidTr="007E50FF">
        <w:trPr>
          <w:trHeight w:val="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CDF34B0"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5.2.</w:t>
            </w:r>
          </w:p>
        </w:tc>
        <w:tc>
          <w:tcPr>
            <w:tcW w:w="5954" w:type="dxa"/>
            <w:gridSpan w:val="4"/>
            <w:tcBorders>
              <w:top w:val="nil"/>
              <w:left w:val="nil"/>
              <w:bottom w:val="single" w:sz="4" w:space="0" w:color="auto"/>
              <w:right w:val="single" w:sz="4" w:space="0" w:color="auto"/>
            </w:tcBorders>
            <w:shd w:val="clear" w:color="000000" w:fill="FFFFFF"/>
            <w:vAlign w:val="center"/>
            <w:hideMark/>
          </w:tcPr>
          <w:p w14:paraId="79F52BA3"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Verification tests for performance durability (Hydraulic sequential tests)</w:t>
            </w:r>
          </w:p>
        </w:tc>
        <w:tc>
          <w:tcPr>
            <w:tcW w:w="3260" w:type="dxa"/>
            <w:tcBorders>
              <w:top w:val="nil"/>
              <w:left w:val="nil"/>
              <w:bottom w:val="single" w:sz="4" w:space="0" w:color="auto"/>
              <w:right w:val="single" w:sz="4" w:space="0" w:color="auto"/>
            </w:tcBorders>
            <w:shd w:val="clear" w:color="000000" w:fill="FFFFFF"/>
            <w:vAlign w:val="center"/>
            <w:hideMark/>
          </w:tcPr>
          <w:p w14:paraId="4D97F50A"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At the discretion of the Technical Service and the Type Approval Authority, for supply lines the worst-case approach may be applied, e.g., longest lines, largest diameter, smallest bend radius and highest number of fittings.</w:t>
            </w:r>
          </w:p>
        </w:tc>
      </w:tr>
      <w:tr w:rsidR="00012C6F" w:rsidRPr="004E2758" w14:paraId="6BD04F16" w14:textId="77777777" w:rsidTr="007E50F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681DDE"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5.2.1.</w:t>
            </w:r>
          </w:p>
        </w:tc>
        <w:tc>
          <w:tcPr>
            <w:tcW w:w="3119" w:type="dxa"/>
            <w:tcBorders>
              <w:top w:val="nil"/>
              <w:left w:val="nil"/>
              <w:bottom w:val="single" w:sz="4" w:space="0" w:color="auto"/>
              <w:right w:val="single" w:sz="4" w:space="0" w:color="auto"/>
            </w:tcBorders>
            <w:shd w:val="clear" w:color="auto" w:fill="auto"/>
            <w:vAlign w:val="center"/>
            <w:hideMark/>
          </w:tcPr>
          <w:p w14:paraId="4D4EBC51"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 xml:space="preserve">Proof pressure test </w:t>
            </w:r>
          </w:p>
        </w:tc>
        <w:tc>
          <w:tcPr>
            <w:tcW w:w="1275" w:type="dxa"/>
            <w:tcBorders>
              <w:top w:val="nil"/>
              <w:left w:val="nil"/>
              <w:bottom w:val="single" w:sz="4" w:space="0" w:color="auto"/>
              <w:right w:val="single" w:sz="4" w:space="0" w:color="auto"/>
            </w:tcBorders>
            <w:shd w:val="clear" w:color="auto" w:fill="auto"/>
            <w:noWrap/>
            <w:vAlign w:val="center"/>
            <w:hideMark/>
          </w:tcPr>
          <w:p w14:paraId="609B5434"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41FA347E" w14:textId="77777777" w:rsidR="00012C6F" w:rsidRPr="004E2758" w:rsidRDefault="00012C6F" w:rsidP="001B2806">
            <w:pPr>
              <w:keepNext/>
              <w:keepLines/>
              <w:spacing w:line="240" w:lineRule="auto"/>
              <w:jc w:val="center"/>
              <w:rPr>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36BCAB4D"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r w:rsidRPr="004E2758">
              <w:rPr>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7F048787"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 </w:t>
            </w:r>
          </w:p>
        </w:tc>
      </w:tr>
      <w:tr w:rsidR="00012C6F" w:rsidRPr="004E2758" w14:paraId="792E8373" w14:textId="77777777" w:rsidTr="007E50F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76E160"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5.2.2.</w:t>
            </w:r>
          </w:p>
        </w:tc>
        <w:tc>
          <w:tcPr>
            <w:tcW w:w="3119" w:type="dxa"/>
            <w:tcBorders>
              <w:top w:val="nil"/>
              <w:left w:val="nil"/>
              <w:bottom w:val="single" w:sz="4" w:space="0" w:color="auto"/>
              <w:right w:val="single" w:sz="4" w:space="0" w:color="auto"/>
            </w:tcBorders>
            <w:shd w:val="clear" w:color="auto" w:fill="auto"/>
            <w:vAlign w:val="center"/>
            <w:hideMark/>
          </w:tcPr>
          <w:p w14:paraId="38B0E662"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Drop (impact) test</w:t>
            </w:r>
          </w:p>
        </w:tc>
        <w:tc>
          <w:tcPr>
            <w:tcW w:w="1275" w:type="dxa"/>
            <w:tcBorders>
              <w:top w:val="nil"/>
              <w:left w:val="nil"/>
              <w:bottom w:val="single" w:sz="4" w:space="0" w:color="auto"/>
              <w:right w:val="single" w:sz="4" w:space="0" w:color="auto"/>
            </w:tcBorders>
            <w:shd w:val="clear" w:color="auto" w:fill="auto"/>
            <w:noWrap/>
            <w:vAlign w:val="center"/>
            <w:hideMark/>
          </w:tcPr>
          <w:p w14:paraId="75831484"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40B700C4" w14:textId="77777777" w:rsidR="00012C6F" w:rsidRPr="004E2758" w:rsidRDefault="00012C6F" w:rsidP="001B2806">
            <w:pPr>
              <w:keepNext/>
              <w:keepLines/>
              <w:spacing w:line="240" w:lineRule="auto"/>
              <w:jc w:val="center"/>
              <w:rPr>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47A53FEF" w14:textId="77777777" w:rsidR="00012C6F" w:rsidRPr="004E2758" w:rsidRDefault="00012C6F" w:rsidP="001B2806">
            <w:pPr>
              <w:keepNext/>
              <w:keepLines/>
              <w:spacing w:line="240" w:lineRule="auto"/>
              <w:jc w:val="center"/>
              <w:rPr>
                <w:sz w:val="18"/>
                <w:szCs w:val="18"/>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2992A0C6"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 xml:space="preserve">The manufacturer applying for approval shall provide handling procedures to ensure that the supply lines for additional TPRDs will not suffer damage or contamination during handling. It shall require the removal from service of supply lines that have unacceptable damage. </w:t>
            </w:r>
          </w:p>
        </w:tc>
      </w:tr>
      <w:tr w:rsidR="00012C6F" w:rsidRPr="004E2758" w14:paraId="556032DC" w14:textId="77777777" w:rsidTr="007E50F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75C379"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5.2.3.</w:t>
            </w:r>
          </w:p>
        </w:tc>
        <w:tc>
          <w:tcPr>
            <w:tcW w:w="3119" w:type="dxa"/>
            <w:tcBorders>
              <w:top w:val="nil"/>
              <w:left w:val="nil"/>
              <w:bottom w:val="single" w:sz="4" w:space="0" w:color="auto"/>
              <w:right w:val="single" w:sz="4" w:space="0" w:color="auto"/>
            </w:tcBorders>
            <w:shd w:val="clear" w:color="auto" w:fill="auto"/>
            <w:vAlign w:val="center"/>
            <w:hideMark/>
          </w:tcPr>
          <w:p w14:paraId="28D8B3A1"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 xml:space="preserve">Surface damage test </w:t>
            </w:r>
          </w:p>
        </w:tc>
        <w:tc>
          <w:tcPr>
            <w:tcW w:w="1275" w:type="dxa"/>
            <w:tcBorders>
              <w:top w:val="nil"/>
              <w:left w:val="nil"/>
              <w:bottom w:val="single" w:sz="4" w:space="0" w:color="auto"/>
              <w:right w:val="single" w:sz="4" w:space="0" w:color="auto"/>
            </w:tcBorders>
            <w:shd w:val="clear" w:color="auto" w:fill="auto"/>
            <w:noWrap/>
            <w:vAlign w:val="center"/>
            <w:hideMark/>
          </w:tcPr>
          <w:p w14:paraId="1C6FE395"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r w:rsidRPr="004E2758">
              <w:rPr>
                <w:sz w:val="18"/>
                <w:szCs w:val="18"/>
                <w:vertAlign w:val="superscript"/>
                <w:lang w:eastAsia="ja-JP"/>
              </w:rPr>
              <w:t>2</w:t>
            </w:r>
          </w:p>
        </w:tc>
        <w:tc>
          <w:tcPr>
            <w:tcW w:w="851" w:type="dxa"/>
            <w:tcBorders>
              <w:top w:val="nil"/>
              <w:left w:val="nil"/>
              <w:bottom w:val="single" w:sz="4" w:space="0" w:color="auto"/>
              <w:right w:val="single" w:sz="4" w:space="0" w:color="auto"/>
            </w:tcBorders>
            <w:shd w:val="clear" w:color="auto" w:fill="auto"/>
            <w:noWrap/>
            <w:vAlign w:val="center"/>
          </w:tcPr>
          <w:p w14:paraId="0B7A9889" w14:textId="77777777" w:rsidR="00012C6F" w:rsidRPr="004E2758" w:rsidRDefault="00012C6F" w:rsidP="001B2806">
            <w:pPr>
              <w:keepNext/>
              <w:keepLines/>
              <w:spacing w:line="240" w:lineRule="auto"/>
              <w:jc w:val="center"/>
              <w:rPr>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793A653B" w14:textId="77777777" w:rsidR="00012C6F" w:rsidRPr="004E2758" w:rsidRDefault="00012C6F" w:rsidP="001B2806">
            <w:pPr>
              <w:keepNext/>
              <w:keepLines/>
              <w:spacing w:line="240" w:lineRule="auto"/>
              <w:jc w:val="center"/>
              <w:rPr>
                <w:sz w:val="18"/>
                <w:szCs w:val="18"/>
                <w:lang w:eastAsia="ja-JP"/>
              </w:rPr>
            </w:pPr>
          </w:p>
        </w:tc>
        <w:tc>
          <w:tcPr>
            <w:tcW w:w="3260" w:type="dxa"/>
            <w:tcBorders>
              <w:top w:val="nil"/>
              <w:left w:val="nil"/>
              <w:bottom w:val="single" w:sz="4" w:space="0" w:color="auto"/>
              <w:right w:val="single" w:sz="4" w:space="0" w:color="auto"/>
            </w:tcBorders>
            <w:shd w:val="clear" w:color="auto" w:fill="auto"/>
            <w:noWrap/>
            <w:vAlign w:val="center"/>
            <w:hideMark/>
          </w:tcPr>
          <w:p w14:paraId="504A81BE" w14:textId="77777777" w:rsidR="00012C6F" w:rsidRPr="004E2758" w:rsidRDefault="00012C6F" w:rsidP="001B2806">
            <w:pPr>
              <w:keepNext/>
              <w:keepLines/>
              <w:spacing w:line="240" w:lineRule="auto"/>
              <w:rPr>
                <w:strike/>
                <w:sz w:val="18"/>
                <w:szCs w:val="18"/>
                <w:lang w:eastAsia="ja-JP"/>
              </w:rPr>
            </w:pPr>
          </w:p>
        </w:tc>
      </w:tr>
      <w:tr w:rsidR="00012C6F" w:rsidRPr="004E2758" w14:paraId="05D2BC81" w14:textId="77777777" w:rsidTr="007E50F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8BFDC8"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5.2.4.</w:t>
            </w:r>
          </w:p>
        </w:tc>
        <w:tc>
          <w:tcPr>
            <w:tcW w:w="3119" w:type="dxa"/>
            <w:tcBorders>
              <w:top w:val="nil"/>
              <w:left w:val="nil"/>
              <w:bottom w:val="single" w:sz="4" w:space="0" w:color="auto"/>
              <w:right w:val="single" w:sz="4" w:space="0" w:color="auto"/>
            </w:tcBorders>
            <w:shd w:val="clear" w:color="auto" w:fill="auto"/>
            <w:vAlign w:val="center"/>
            <w:hideMark/>
          </w:tcPr>
          <w:p w14:paraId="2393D606"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 xml:space="preserve">Chemical exposure and ambient-temperature pressure cycling test </w:t>
            </w:r>
          </w:p>
        </w:tc>
        <w:tc>
          <w:tcPr>
            <w:tcW w:w="1275" w:type="dxa"/>
            <w:tcBorders>
              <w:top w:val="nil"/>
              <w:left w:val="nil"/>
              <w:bottom w:val="single" w:sz="4" w:space="0" w:color="auto"/>
              <w:right w:val="single" w:sz="4" w:space="0" w:color="auto"/>
            </w:tcBorders>
            <w:shd w:val="clear" w:color="auto" w:fill="auto"/>
            <w:noWrap/>
            <w:vAlign w:val="center"/>
            <w:hideMark/>
          </w:tcPr>
          <w:p w14:paraId="79865B06"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r w:rsidRPr="004E2758">
              <w:rPr>
                <w:sz w:val="18"/>
                <w:szCs w:val="18"/>
                <w:vertAlign w:val="superscript"/>
                <w:lang w:eastAsia="ja-JP"/>
              </w:rPr>
              <w:t>2</w:t>
            </w:r>
          </w:p>
        </w:tc>
        <w:tc>
          <w:tcPr>
            <w:tcW w:w="851" w:type="dxa"/>
            <w:tcBorders>
              <w:top w:val="nil"/>
              <w:left w:val="nil"/>
              <w:bottom w:val="single" w:sz="4" w:space="0" w:color="auto"/>
              <w:right w:val="single" w:sz="4" w:space="0" w:color="auto"/>
            </w:tcBorders>
            <w:shd w:val="clear" w:color="auto" w:fill="auto"/>
            <w:noWrap/>
            <w:vAlign w:val="center"/>
          </w:tcPr>
          <w:p w14:paraId="325EF3E2" w14:textId="77777777" w:rsidR="00012C6F" w:rsidRPr="004E2758" w:rsidRDefault="00012C6F" w:rsidP="001B2806">
            <w:pPr>
              <w:keepNext/>
              <w:keepLines/>
              <w:spacing w:line="240" w:lineRule="auto"/>
              <w:jc w:val="center"/>
              <w:rPr>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7FBF04EE"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r w:rsidRPr="004E2758">
              <w:rPr>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5E2D2AE0"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 </w:t>
            </w:r>
          </w:p>
        </w:tc>
      </w:tr>
      <w:tr w:rsidR="00012C6F" w:rsidRPr="004E2758" w14:paraId="4CEACF6B" w14:textId="77777777" w:rsidTr="007E50F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964E46"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5.2.5.</w:t>
            </w:r>
          </w:p>
        </w:tc>
        <w:tc>
          <w:tcPr>
            <w:tcW w:w="3119" w:type="dxa"/>
            <w:tcBorders>
              <w:top w:val="nil"/>
              <w:left w:val="nil"/>
              <w:bottom w:val="single" w:sz="4" w:space="0" w:color="auto"/>
              <w:right w:val="single" w:sz="4" w:space="0" w:color="auto"/>
            </w:tcBorders>
            <w:shd w:val="clear" w:color="auto" w:fill="auto"/>
            <w:vAlign w:val="center"/>
            <w:hideMark/>
          </w:tcPr>
          <w:p w14:paraId="214589C1"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High temperature static pressure test</w:t>
            </w:r>
          </w:p>
        </w:tc>
        <w:tc>
          <w:tcPr>
            <w:tcW w:w="1275" w:type="dxa"/>
            <w:tcBorders>
              <w:top w:val="nil"/>
              <w:left w:val="nil"/>
              <w:bottom w:val="single" w:sz="4" w:space="0" w:color="auto"/>
              <w:right w:val="single" w:sz="4" w:space="0" w:color="auto"/>
            </w:tcBorders>
            <w:shd w:val="clear" w:color="auto" w:fill="auto"/>
            <w:noWrap/>
            <w:vAlign w:val="center"/>
            <w:hideMark/>
          </w:tcPr>
          <w:p w14:paraId="03C27F0B"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r w:rsidRPr="004E2758">
              <w:rPr>
                <w:sz w:val="18"/>
                <w:szCs w:val="18"/>
                <w:vertAlign w:val="superscript"/>
                <w:lang w:eastAsia="ja-JP"/>
              </w:rPr>
              <w:t>2</w:t>
            </w:r>
          </w:p>
        </w:tc>
        <w:tc>
          <w:tcPr>
            <w:tcW w:w="851" w:type="dxa"/>
            <w:tcBorders>
              <w:top w:val="nil"/>
              <w:left w:val="nil"/>
              <w:bottom w:val="single" w:sz="4" w:space="0" w:color="auto"/>
              <w:right w:val="single" w:sz="4" w:space="0" w:color="auto"/>
            </w:tcBorders>
            <w:shd w:val="clear" w:color="auto" w:fill="auto"/>
            <w:noWrap/>
            <w:vAlign w:val="center"/>
          </w:tcPr>
          <w:p w14:paraId="57908460" w14:textId="77777777" w:rsidR="00012C6F" w:rsidRPr="004E2758" w:rsidRDefault="00012C6F" w:rsidP="001B2806">
            <w:pPr>
              <w:keepNext/>
              <w:keepLines/>
              <w:spacing w:line="240" w:lineRule="auto"/>
              <w:jc w:val="center"/>
              <w:rPr>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5E3341FC"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r w:rsidRPr="004E2758">
              <w:rPr>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6F77404D"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 </w:t>
            </w:r>
          </w:p>
        </w:tc>
      </w:tr>
      <w:tr w:rsidR="00012C6F" w:rsidRPr="004E2758" w14:paraId="6DC0FF12" w14:textId="77777777" w:rsidTr="007E50F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24290A"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5.2.6.</w:t>
            </w:r>
          </w:p>
        </w:tc>
        <w:tc>
          <w:tcPr>
            <w:tcW w:w="3119" w:type="dxa"/>
            <w:tcBorders>
              <w:top w:val="nil"/>
              <w:left w:val="nil"/>
              <w:bottom w:val="single" w:sz="4" w:space="0" w:color="auto"/>
              <w:right w:val="single" w:sz="4" w:space="0" w:color="auto"/>
            </w:tcBorders>
            <w:shd w:val="clear" w:color="auto" w:fill="auto"/>
            <w:vAlign w:val="center"/>
            <w:hideMark/>
          </w:tcPr>
          <w:p w14:paraId="7147576C"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Extreme temperature pressure cycling test</w:t>
            </w:r>
          </w:p>
        </w:tc>
        <w:tc>
          <w:tcPr>
            <w:tcW w:w="1275" w:type="dxa"/>
            <w:tcBorders>
              <w:top w:val="nil"/>
              <w:left w:val="nil"/>
              <w:bottom w:val="single" w:sz="4" w:space="0" w:color="auto"/>
              <w:right w:val="single" w:sz="4" w:space="0" w:color="auto"/>
            </w:tcBorders>
            <w:shd w:val="clear" w:color="auto" w:fill="auto"/>
            <w:noWrap/>
            <w:vAlign w:val="center"/>
            <w:hideMark/>
          </w:tcPr>
          <w:p w14:paraId="58F1AE90"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r w:rsidRPr="004E2758">
              <w:rPr>
                <w:sz w:val="18"/>
                <w:szCs w:val="18"/>
                <w:vertAlign w:val="superscript"/>
                <w:lang w:eastAsia="ja-JP"/>
              </w:rPr>
              <w:t>2</w:t>
            </w:r>
          </w:p>
        </w:tc>
        <w:tc>
          <w:tcPr>
            <w:tcW w:w="851" w:type="dxa"/>
            <w:tcBorders>
              <w:top w:val="nil"/>
              <w:left w:val="nil"/>
              <w:bottom w:val="single" w:sz="4" w:space="0" w:color="auto"/>
              <w:right w:val="single" w:sz="4" w:space="0" w:color="auto"/>
            </w:tcBorders>
            <w:shd w:val="clear" w:color="auto" w:fill="auto"/>
            <w:noWrap/>
            <w:vAlign w:val="center"/>
          </w:tcPr>
          <w:p w14:paraId="4AC2AC8B" w14:textId="77777777" w:rsidR="00012C6F" w:rsidRPr="004E2758" w:rsidRDefault="00012C6F" w:rsidP="001B2806">
            <w:pPr>
              <w:keepNext/>
              <w:keepLines/>
              <w:spacing w:line="240" w:lineRule="auto"/>
              <w:jc w:val="center"/>
              <w:rPr>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29622F5B"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r w:rsidRPr="004E2758">
              <w:rPr>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36BF8E40"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 </w:t>
            </w:r>
          </w:p>
        </w:tc>
      </w:tr>
      <w:tr w:rsidR="00012C6F" w:rsidRPr="004E2758" w14:paraId="0F4ED76E" w14:textId="77777777" w:rsidTr="007E50F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063CDE"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5.2.7.</w:t>
            </w:r>
          </w:p>
        </w:tc>
        <w:tc>
          <w:tcPr>
            <w:tcW w:w="3119" w:type="dxa"/>
            <w:tcBorders>
              <w:top w:val="nil"/>
              <w:left w:val="nil"/>
              <w:bottom w:val="single" w:sz="4" w:space="0" w:color="auto"/>
              <w:right w:val="single" w:sz="4" w:space="0" w:color="auto"/>
            </w:tcBorders>
            <w:shd w:val="clear" w:color="auto" w:fill="auto"/>
            <w:vAlign w:val="center"/>
            <w:hideMark/>
          </w:tcPr>
          <w:p w14:paraId="2A59D6B5"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Residual proof pressure test</w:t>
            </w:r>
          </w:p>
        </w:tc>
        <w:tc>
          <w:tcPr>
            <w:tcW w:w="1275" w:type="dxa"/>
            <w:tcBorders>
              <w:top w:val="nil"/>
              <w:left w:val="nil"/>
              <w:bottom w:val="single" w:sz="4" w:space="0" w:color="auto"/>
              <w:right w:val="single" w:sz="4" w:space="0" w:color="auto"/>
            </w:tcBorders>
            <w:shd w:val="clear" w:color="auto" w:fill="auto"/>
            <w:noWrap/>
            <w:vAlign w:val="center"/>
            <w:hideMark/>
          </w:tcPr>
          <w:p w14:paraId="538EB139"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r w:rsidRPr="004E2758">
              <w:rPr>
                <w:sz w:val="18"/>
                <w:szCs w:val="18"/>
                <w:vertAlign w:val="superscript"/>
                <w:lang w:eastAsia="ja-JP"/>
              </w:rPr>
              <w:t>2</w:t>
            </w:r>
          </w:p>
        </w:tc>
        <w:tc>
          <w:tcPr>
            <w:tcW w:w="851" w:type="dxa"/>
            <w:tcBorders>
              <w:top w:val="nil"/>
              <w:left w:val="nil"/>
              <w:bottom w:val="single" w:sz="4" w:space="0" w:color="auto"/>
              <w:right w:val="single" w:sz="4" w:space="0" w:color="auto"/>
            </w:tcBorders>
            <w:shd w:val="clear" w:color="auto" w:fill="auto"/>
            <w:noWrap/>
            <w:vAlign w:val="center"/>
          </w:tcPr>
          <w:p w14:paraId="2431BEE3" w14:textId="77777777" w:rsidR="00012C6F" w:rsidRPr="004E2758" w:rsidRDefault="00012C6F" w:rsidP="001B2806">
            <w:pPr>
              <w:keepNext/>
              <w:keepLines/>
              <w:spacing w:line="240" w:lineRule="auto"/>
              <w:jc w:val="center"/>
              <w:rPr>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2374C283"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r w:rsidRPr="004E2758">
              <w:rPr>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5156F055"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 </w:t>
            </w:r>
          </w:p>
        </w:tc>
      </w:tr>
      <w:tr w:rsidR="00012C6F" w:rsidRPr="004E2758" w14:paraId="12F39E73" w14:textId="77777777" w:rsidTr="007E50F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AB55AD"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5.2.8.</w:t>
            </w:r>
          </w:p>
        </w:tc>
        <w:tc>
          <w:tcPr>
            <w:tcW w:w="3119" w:type="dxa"/>
            <w:tcBorders>
              <w:top w:val="nil"/>
              <w:left w:val="nil"/>
              <w:bottom w:val="single" w:sz="4" w:space="0" w:color="auto"/>
              <w:right w:val="single" w:sz="4" w:space="0" w:color="auto"/>
            </w:tcBorders>
            <w:shd w:val="clear" w:color="auto" w:fill="auto"/>
            <w:vAlign w:val="center"/>
            <w:hideMark/>
          </w:tcPr>
          <w:p w14:paraId="6E02A8F5"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Residual strength burst test</w:t>
            </w:r>
          </w:p>
        </w:tc>
        <w:tc>
          <w:tcPr>
            <w:tcW w:w="1275" w:type="dxa"/>
            <w:tcBorders>
              <w:top w:val="nil"/>
              <w:left w:val="nil"/>
              <w:bottom w:val="single" w:sz="4" w:space="0" w:color="auto"/>
              <w:right w:val="single" w:sz="4" w:space="0" w:color="auto"/>
            </w:tcBorders>
            <w:shd w:val="clear" w:color="auto" w:fill="auto"/>
            <w:noWrap/>
            <w:vAlign w:val="center"/>
            <w:hideMark/>
          </w:tcPr>
          <w:p w14:paraId="7718BA68"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r w:rsidRPr="004E2758">
              <w:rPr>
                <w:sz w:val="18"/>
                <w:szCs w:val="18"/>
                <w:vertAlign w:val="superscript"/>
                <w:lang w:eastAsia="ja-JP"/>
              </w:rPr>
              <w:t>2</w:t>
            </w:r>
          </w:p>
        </w:tc>
        <w:tc>
          <w:tcPr>
            <w:tcW w:w="851" w:type="dxa"/>
            <w:tcBorders>
              <w:top w:val="nil"/>
              <w:left w:val="nil"/>
              <w:bottom w:val="single" w:sz="4" w:space="0" w:color="auto"/>
              <w:right w:val="single" w:sz="4" w:space="0" w:color="auto"/>
            </w:tcBorders>
            <w:shd w:val="clear" w:color="auto" w:fill="auto"/>
            <w:noWrap/>
            <w:vAlign w:val="center"/>
          </w:tcPr>
          <w:p w14:paraId="0AB42E48" w14:textId="77777777" w:rsidR="00012C6F" w:rsidRPr="004E2758" w:rsidRDefault="00012C6F" w:rsidP="001B2806">
            <w:pPr>
              <w:keepNext/>
              <w:keepLines/>
              <w:spacing w:line="240" w:lineRule="auto"/>
              <w:jc w:val="center"/>
              <w:rPr>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3D60356E"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r w:rsidRPr="004E2758">
              <w:rPr>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2EEE9C6C"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 </w:t>
            </w:r>
          </w:p>
        </w:tc>
      </w:tr>
      <w:tr w:rsidR="00012C6F" w:rsidRPr="004E2758" w14:paraId="4947B6C6" w14:textId="77777777" w:rsidTr="007E50FF">
        <w:trPr>
          <w:trHeight w:val="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71252A2"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5.3.</w:t>
            </w:r>
          </w:p>
        </w:tc>
        <w:tc>
          <w:tcPr>
            <w:tcW w:w="5954" w:type="dxa"/>
            <w:gridSpan w:val="4"/>
            <w:tcBorders>
              <w:top w:val="nil"/>
              <w:left w:val="nil"/>
              <w:bottom w:val="single" w:sz="4" w:space="0" w:color="auto"/>
              <w:right w:val="single" w:sz="4" w:space="0" w:color="auto"/>
            </w:tcBorders>
            <w:shd w:val="clear" w:color="000000" w:fill="FFFFFF"/>
            <w:vAlign w:val="center"/>
            <w:hideMark/>
          </w:tcPr>
          <w:p w14:paraId="04F8D4D1"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Verification test for expected on-road performance (Pneumatic sequential tests)</w:t>
            </w:r>
          </w:p>
        </w:tc>
        <w:tc>
          <w:tcPr>
            <w:tcW w:w="3260" w:type="dxa"/>
            <w:tcBorders>
              <w:top w:val="nil"/>
              <w:left w:val="nil"/>
              <w:bottom w:val="single" w:sz="4" w:space="0" w:color="auto"/>
              <w:right w:val="single" w:sz="4" w:space="0" w:color="auto"/>
            </w:tcBorders>
            <w:shd w:val="clear" w:color="000000" w:fill="FFFFFF"/>
            <w:vAlign w:val="bottom"/>
            <w:hideMark/>
          </w:tcPr>
          <w:p w14:paraId="5908FFBC"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At the discretion of the Technical Service and the Type Approval Authority, for such supply lines the worst-case approach may be applied, e.g., longest lines, largest diameter, smallest bend radius and highest number of fittings.</w:t>
            </w:r>
          </w:p>
        </w:tc>
      </w:tr>
      <w:tr w:rsidR="00012C6F" w:rsidRPr="004E2758" w14:paraId="03A7CA49" w14:textId="77777777" w:rsidTr="007E50F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3B9DD9"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5.3.1.</w:t>
            </w:r>
          </w:p>
        </w:tc>
        <w:tc>
          <w:tcPr>
            <w:tcW w:w="3119" w:type="dxa"/>
            <w:tcBorders>
              <w:top w:val="nil"/>
              <w:left w:val="nil"/>
              <w:bottom w:val="single" w:sz="4" w:space="0" w:color="auto"/>
              <w:right w:val="single" w:sz="4" w:space="0" w:color="auto"/>
            </w:tcBorders>
            <w:shd w:val="clear" w:color="auto" w:fill="auto"/>
            <w:vAlign w:val="center"/>
            <w:hideMark/>
          </w:tcPr>
          <w:p w14:paraId="0D237875" w14:textId="77777777" w:rsidR="00012C6F" w:rsidRPr="004E2758" w:rsidRDefault="00012C6F" w:rsidP="001B2806">
            <w:pPr>
              <w:keepNext/>
              <w:keepLines/>
              <w:spacing w:line="240" w:lineRule="auto"/>
              <w:rPr>
                <w:strike/>
                <w:sz w:val="18"/>
                <w:szCs w:val="18"/>
                <w:lang w:eastAsia="ja-JP"/>
              </w:rPr>
            </w:pPr>
            <w:r w:rsidRPr="004E2758">
              <w:rPr>
                <w:sz w:val="18"/>
                <w:szCs w:val="18"/>
                <w:lang w:eastAsia="ja-JP"/>
              </w:rPr>
              <w:t>Proof pressure test</w:t>
            </w:r>
          </w:p>
        </w:tc>
        <w:tc>
          <w:tcPr>
            <w:tcW w:w="1275" w:type="dxa"/>
            <w:tcBorders>
              <w:top w:val="nil"/>
              <w:left w:val="nil"/>
              <w:bottom w:val="single" w:sz="4" w:space="0" w:color="auto"/>
              <w:right w:val="single" w:sz="4" w:space="0" w:color="auto"/>
            </w:tcBorders>
            <w:shd w:val="clear" w:color="auto" w:fill="auto"/>
            <w:noWrap/>
            <w:vAlign w:val="center"/>
            <w:hideMark/>
          </w:tcPr>
          <w:p w14:paraId="24D0E630"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hideMark/>
          </w:tcPr>
          <w:p w14:paraId="7D1B966D" w14:textId="77777777" w:rsidR="00012C6F" w:rsidRPr="004E2758" w:rsidRDefault="00012C6F" w:rsidP="001B2806">
            <w:pPr>
              <w:keepNext/>
              <w:keepLines/>
              <w:spacing w:line="240" w:lineRule="auto"/>
              <w:jc w:val="center"/>
              <w:rPr>
                <w:strike/>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2666CF62"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r w:rsidRPr="004E2758">
              <w:rPr>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512E98C6"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 </w:t>
            </w:r>
          </w:p>
        </w:tc>
      </w:tr>
      <w:tr w:rsidR="00012C6F" w:rsidRPr="004E2758" w14:paraId="50FF3798" w14:textId="77777777" w:rsidTr="007E50F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080AA4"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5.3.2.</w:t>
            </w:r>
          </w:p>
        </w:tc>
        <w:tc>
          <w:tcPr>
            <w:tcW w:w="3119" w:type="dxa"/>
            <w:tcBorders>
              <w:top w:val="nil"/>
              <w:left w:val="nil"/>
              <w:bottom w:val="single" w:sz="4" w:space="0" w:color="auto"/>
              <w:right w:val="single" w:sz="4" w:space="0" w:color="auto"/>
            </w:tcBorders>
            <w:shd w:val="clear" w:color="auto" w:fill="auto"/>
            <w:vAlign w:val="center"/>
            <w:hideMark/>
          </w:tcPr>
          <w:p w14:paraId="6A8D114A"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Ambient and extreme temperature gas pressure cycling test (pneumatic)</w:t>
            </w:r>
          </w:p>
        </w:tc>
        <w:tc>
          <w:tcPr>
            <w:tcW w:w="1275" w:type="dxa"/>
            <w:tcBorders>
              <w:top w:val="nil"/>
              <w:left w:val="nil"/>
              <w:bottom w:val="single" w:sz="4" w:space="0" w:color="auto"/>
              <w:right w:val="single" w:sz="4" w:space="0" w:color="auto"/>
            </w:tcBorders>
            <w:shd w:val="clear" w:color="auto" w:fill="auto"/>
            <w:noWrap/>
            <w:vAlign w:val="center"/>
            <w:hideMark/>
          </w:tcPr>
          <w:p w14:paraId="40DD2A4F"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hideMark/>
          </w:tcPr>
          <w:p w14:paraId="7FACFE26"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p>
        </w:tc>
        <w:tc>
          <w:tcPr>
            <w:tcW w:w="709" w:type="dxa"/>
            <w:tcBorders>
              <w:top w:val="nil"/>
              <w:left w:val="nil"/>
              <w:bottom w:val="single" w:sz="4" w:space="0" w:color="auto"/>
              <w:right w:val="single" w:sz="4" w:space="0" w:color="auto"/>
            </w:tcBorders>
            <w:shd w:val="clear" w:color="auto" w:fill="auto"/>
            <w:noWrap/>
            <w:vAlign w:val="center"/>
            <w:hideMark/>
          </w:tcPr>
          <w:p w14:paraId="2A9EF5C3"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p>
        </w:tc>
        <w:tc>
          <w:tcPr>
            <w:tcW w:w="3260" w:type="dxa"/>
            <w:tcBorders>
              <w:top w:val="nil"/>
              <w:left w:val="nil"/>
              <w:bottom w:val="single" w:sz="4" w:space="0" w:color="auto"/>
              <w:right w:val="single" w:sz="4" w:space="0" w:color="auto"/>
            </w:tcBorders>
            <w:shd w:val="clear" w:color="auto" w:fill="auto"/>
            <w:noWrap/>
            <w:vAlign w:val="center"/>
            <w:hideMark/>
          </w:tcPr>
          <w:p w14:paraId="2F46FA5B"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 </w:t>
            </w:r>
          </w:p>
        </w:tc>
      </w:tr>
      <w:tr w:rsidR="00012C6F" w:rsidRPr="004E2758" w14:paraId="612F8D30" w14:textId="77777777" w:rsidTr="007E50F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04A772"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5.3.3.</w:t>
            </w:r>
          </w:p>
        </w:tc>
        <w:tc>
          <w:tcPr>
            <w:tcW w:w="3119" w:type="dxa"/>
            <w:tcBorders>
              <w:top w:val="nil"/>
              <w:left w:val="nil"/>
              <w:bottom w:val="single" w:sz="4" w:space="0" w:color="auto"/>
              <w:right w:val="single" w:sz="4" w:space="0" w:color="auto"/>
            </w:tcBorders>
            <w:shd w:val="clear" w:color="auto" w:fill="auto"/>
            <w:vAlign w:val="center"/>
            <w:hideMark/>
          </w:tcPr>
          <w:p w14:paraId="4F98A977"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Extreme temperature static gas pressure permeation, leak test (pneumatic)</w:t>
            </w:r>
          </w:p>
        </w:tc>
        <w:tc>
          <w:tcPr>
            <w:tcW w:w="1275" w:type="dxa"/>
            <w:tcBorders>
              <w:top w:val="nil"/>
              <w:left w:val="nil"/>
              <w:bottom w:val="single" w:sz="4" w:space="0" w:color="auto"/>
              <w:right w:val="single" w:sz="4" w:space="0" w:color="auto"/>
            </w:tcBorders>
            <w:shd w:val="clear" w:color="auto" w:fill="auto"/>
            <w:noWrap/>
            <w:vAlign w:val="center"/>
            <w:hideMark/>
          </w:tcPr>
          <w:p w14:paraId="2EAA0709"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hideMark/>
          </w:tcPr>
          <w:p w14:paraId="4BDC9EB7"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p>
        </w:tc>
        <w:tc>
          <w:tcPr>
            <w:tcW w:w="709" w:type="dxa"/>
            <w:tcBorders>
              <w:top w:val="nil"/>
              <w:left w:val="nil"/>
              <w:bottom w:val="single" w:sz="4" w:space="0" w:color="auto"/>
              <w:right w:val="single" w:sz="4" w:space="0" w:color="auto"/>
            </w:tcBorders>
            <w:shd w:val="clear" w:color="auto" w:fill="auto"/>
            <w:noWrap/>
            <w:vAlign w:val="center"/>
            <w:hideMark/>
          </w:tcPr>
          <w:p w14:paraId="69C1A007"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p>
        </w:tc>
        <w:tc>
          <w:tcPr>
            <w:tcW w:w="3260" w:type="dxa"/>
            <w:tcBorders>
              <w:top w:val="nil"/>
              <w:left w:val="nil"/>
              <w:bottom w:val="single" w:sz="4" w:space="0" w:color="auto"/>
              <w:right w:val="single" w:sz="4" w:space="0" w:color="auto"/>
            </w:tcBorders>
            <w:shd w:val="clear" w:color="auto" w:fill="auto"/>
            <w:noWrap/>
            <w:vAlign w:val="center"/>
            <w:hideMark/>
          </w:tcPr>
          <w:p w14:paraId="44252CAC"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 </w:t>
            </w:r>
          </w:p>
        </w:tc>
      </w:tr>
      <w:tr w:rsidR="00012C6F" w:rsidRPr="004E2758" w14:paraId="44D8021E" w14:textId="77777777" w:rsidTr="007E50F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4847F2"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5.3.4.</w:t>
            </w:r>
          </w:p>
        </w:tc>
        <w:tc>
          <w:tcPr>
            <w:tcW w:w="3119" w:type="dxa"/>
            <w:tcBorders>
              <w:top w:val="nil"/>
              <w:left w:val="nil"/>
              <w:bottom w:val="single" w:sz="4" w:space="0" w:color="auto"/>
              <w:right w:val="single" w:sz="4" w:space="0" w:color="auto"/>
            </w:tcBorders>
            <w:shd w:val="clear" w:color="auto" w:fill="auto"/>
            <w:vAlign w:val="center"/>
            <w:hideMark/>
          </w:tcPr>
          <w:p w14:paraId="07FD0322" w14:textId="77777777" w:rsidR="00012C6F" w:rsidRPr="004E2758" w:rsidRDefault="00012C6F" w:rsidP="001B2806">
            <w:pPr>
              <w:keepNext/>
              <w:keepLines/>
              <w:spacing w:line="240" w:lineRule="auto"/>
              <w:rPr>
                <w:strike/>
                <w:sz w:val="18"/>
                <w:szCs w:val="18"/>
                <w:lang w:eastAsia="ja-JP"/>
              </w:rPr>
            </w:pPr>
            <w:r w:rsidRPr="004E2758">
              <w:rPr>
                <w:sz w:val="18"/>
                <w:szCs w:val="18"/>
                <w:lang w:eastAsia="ja-JP"/>
              </w:rPr>
              <w:t>Residual proof pressure test (hydraulic)</w:t>
            </w:r>
          </w:p>
        </w:tc>
        <w:tc>
          <w:tcPr>
            <w:tcW w:w="1275" w:type="dxa"/>
            <w:tcBorders>
              <w:top w:val="nil"/>
              <w:left w:val="nil"/>
              <w:bottom w:val="single" w:sz="4" w:space="0" w:color="auto"/>
              <w:right w:val="single" w:sz="4" w:space="0" w:color="auto"/>
            </w:tcBorders>
            <w:shd w:val="clear" w:color="auto" w:fill="auto"/>
            <w:noWrap/>
            <w:vAlign w:val="center"/>
          </w:tcPr>
          <w:p w14:paraId="106DD857"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611142CB" w14:textId="77777777" w:rsidR="00012C6F" w:rsidRPr="004E2758" w:rsidRDefault="00012C6F" w:rsidP="001B2806">
            <w:pPr>
              <w:keepNext/>
              <w:keepLines/>
              <w:spacing w:line="240" w:lineRule="auto"/>
              <w:jc w:val="center"/>
              <w:rPr>
                <w:strike/>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6E3C40A2"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r w:rsidRPr="004E2758">
              <w:rPr>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18886D5B"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 </w:t>
            </w:r>
          </w:p>
        </w:tc>
      </w:tr>
      <w:tr w:rsidR="00012C6F" w:rsidRPr="004E2758" w14:paraId="7D880976" w14:textId="77777777" w:rsidTr="007E50F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D60C5F"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5.3.5.</w:t>
            </w:r>
          </w:p>
        </w:tc>
        <w:tc>
          <w:tcPr>
            <w:tcW w:w="3119" w:type="dxa"/>
            <w:tcBorders>
              <w:top w:val="nil"/>
              <w:left w:val="nil"/>
              <w:bottom w:val="single" w:sz="4" w:space="0" w:color="auto"/>
              <w:right w:val="single" w:sz="4" w:space="0" w:color="auto"/>
            </w:tcBorders>
            <w:shd w:val="clear" w:color="auto" w:fill="auto"/>
            <w:vAlign w:val="center"/>
            <w:hideMark/>
          </w:tcPr>
          <w:p w14:paraId="07A55954"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Residual strength burst test (hydraulic)</w:t>
            </w:r>
          </w:p>
        </w:tc>
        <w:tc>
          <w:tcPr>
            <w:tcW w:w="1275" w:type="dxa"/>
            <w:tcBorders>
              <w:top w:val="nil"/>
              <w:left w:val="nil"/>
              <w:bottom w:val="single" w:sz="4" w:space="0" w:color="auto"/>
              <w:right w:val="single" w:sz="4" w:space="0" w:color="auto"/>
            </w:tcBorders>
            <w:shd w:val="clear" w:color="auto" w:fill="auto"/>
            <w:noWrap/>
            <w:vAlign w:val="center"/>
          </w:tcPr>
          <w:p w14:paraId="6D60A38F"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2F6FA00F" w14:textId="77777777" w:rsidR="00012C6F" w:rsidRPr="004E2758" w:rsidRDefault="00012C6F" w:rsidP="001B2806">
            <w:pPr>
              <w:keepNext/>
              <w:keepLines/>
              <w:spacing w:line="240" w:lineRule="auto"/>
              <w:jc w:val="center"/>
              <w:rPr>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685C23B5"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r w:rsidRPr="004E2758">
              <w:rPr>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31D2C2CD"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 </w:t>
            </w:r>
          </w:p>
        </w:tc>
      </w:tr>
      <w:tr w:rsidR="00012C6F" w:rsidRPr="004E2758" w14:paraId="63D89EC7" w14:textId="77777777" w:rsidTr="007E50F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DFEFA6"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5.4.</w:t>
            </w:r>
          </w:p>
        </w:tc>
        <w:tc>
          <w:tcPr>
            <w:tcW w:w="3119" w:type="dxa"/>
            <w:tcBorders>
              <w:top w:val="nil"/>
              <w:left w:val="nil"/>
              <w:bottom w:val="single" w:sz="4" w:space="0" w:color="auto"/>
              <w:right w:val="single" w:sz="4" w:space="0" w:color="auto"/>
            </w:tcBorders>
            <w:shd w:val="clear" w:color="auto" w:fill="auto"/>
            <w:vAlign w:val="center"/>
            <w:hideMark/>
          </w:tcPr>
          <w:p w14:paraId="37F98FD8"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Verification test for service terminating performance in fire</w:t>
            </w:r>
          </w:p>
        </w:tc>
        <w:tc>
          <w:tcPr>
            <w:tcW w:w="1275" w:type="dxa"/>
            <w:tcBorders>
              <w:top w:val="nil"/>
              <w:left w:val="nil"/>
              <w:bottom w:val="single" w:sz="4" w:space="0" w:color="auto"/>
              <w:right w:val="single" w:sz="4" w:space="0" w:color="auto"/>
            </w:tcBorders>
            <w:shd w:val="clear" w:color="auto" w:fill="auto"/>
            <w:noWrap/>
            <w:vAlign w:val="center"/>
            <w:hideMark/>
          </w:tcPr>
          <w:p w14:paraId="7C101174"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hideMark/>
          </w:tcPr>
          <w:p w14:paraId="0F7A93FE"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p>
        </w:tc>
        <w:tc>
          <w:tcPr>
            <w:tcW w:w="709" w:type="dxa"/>
            <w:tcBorders>
              <w:top w:val="nil"/>
              <w:left w:val="nil"/>
              <w:bottom w:val="single" w:sz="4" w:space="0" w:color="auto"/>
              <w:right w:val="single" w:sz="4" w:space="0" w:color="auto"/>
            </w:tcBorders>
            <w:shd w:val="clear" w:color="auto" w:fill="auto"/>
            <w:noWrap/>
            <w:vAlign w:val="center"/>
            <w:hideMark/>
          </w:tcPr>
          <w:p w14:paraId="6C8C2CB2" w14:textId="77777777" w:rsidR="00012C6F" w:rsidRPr="004E2758" w:rsidRDefault="00012C6F" w:rsidP="001B2806">
            <w:pPr>
              <w:keepNext/>
              <w:keepLines/>
              <w:spacing w:line="240" w:lineRule="auto"/>
              <w:jc w:val="center"/>
              <w:rPr>
                <w:sz w:val="18"/>
                <w:szCs w:val="18"/>
                <w:lang w:eastAsia="ja-JP"/>
              </w:rPr>
            </w:pPr>
            <w:r w:rsidRPr="004E2758">
              <w:rPr>
                <w:sz w:val="18"/>
                <w:szCs w:val="18"/>
                <w:lang w:eastAsia="ja-JP"/>
              </w:rPr>
              <w:t>x</w:t>
            </w:r>
          </w:p>
        </w:tc>
        <w:tc>
          <w:tcPr>
            <w:tcW w:w="3260" w:type="dxa"/>
            <w:tcBorders>
              <w:top w:val="nil"/>
              <w:left w:val="nil"/>
              <w:bottom w:val="single" w:sz="4" w:space="0" w:color="auto"/>
              <w:right w:val="single" w:sz="4" w:space="0" w:color="auto"/>
            </w:tcBorders>
            <w:shd w:val="clear" w:color="auto" w:fill="auto"/>
            <w:noWrap/>
            <w:vAlign w:val="center"/>
            <w:hideMark/>
          </w:tcPr>
          <w:p w14:paraId="589B960F" w14:textId="77777777" w:rsidR="00012C6F" w:rsidRPr="004E2758" w:rsidRDefault="00012C6F" w:rsidP="001B2806">
            <w:pPr>
              <w:keepNext/>
              <w:keepLines/>
              <w:spacing w:line="240" w:lineRule="auto"/>
              <w:rPr>
                <w:sz w:val="18"/>
                <w:szCs w:val="18"/>
                <w:lang w:eastAsia="ja-JP"/>
              </w:rPr>
            </w:pPr>
            <w:r w:rsidRPr="004E2758">
              <w:rPr>
                <w:sz w:val="18"/>
                <w:szCs w:val="18"/>
                <w:lang w:eastAsia="ja-JP"/>
              </w:rPr>
              <w:t> </w:t>
            </w:r>
          </w:p>
        </w:tc>
      </w:tr>
    </w:tbl>
    <w:p w14:paraId="084C550C" w14:textId="54CDAC94" w:rsidR="00012C6F" w:rsidRPr="008C0DB4" w:rsidRDefault="008C0DB4" w:rsidP="008C0DB4">
      <w:pPr>
        <w:pStyle w:val="ListParagraph"/>
        <w:suppressAutoHyphens w:val="0"/>
        <w:spacing w:before="240" w:after="120" w:line="276" w:lineRule="auto"/>
        <w:ind w:left="1134" w:right="1134" w:hanging="567"/>
        <w:jc w:val="both"/>
        <w:rPr>
          <w:lang w:eastAsia="ja-JP"/>
        </w:rPr>
      </w:pPr>
      <w:r w:rsidRPr="008C0DB4">
        <w:rPr>
          <w:lang w:eastAsia="ja-JP"/>
        </w:rPr>
        <w:t>1.</w:t>
      </w:r>
      <w:r w:rsidRPr="008C0DB4">
        <w:rPr>
          <w:lang w:eastAsia="ja-JP"/>
        </w:rPr>
        <w:tab/>
      </w:r>
      <w:r w:rsidR="00012C6F" w:rsidRPr="008C0DB4">
        <w:rPr>
          <w:lang w:eastAsia="ja-JP"/>
        </w:rPr>
        <w:t>Supply lines for additional TPRDs (if any) shall be tested with the container through appropriate adaptors.</w:t>
      </w:r>
    </w:p>
    <w:p w14:paraId="376D164C" w14:textId="3AD286A0" w:rsidR="001C6663" w:rsidRDefault="008C0DB4" w:rsidP="007E50FF">
      <w:pPr>
        <w:pStyle w:val="ListParagraph"/>
        <w:suppressAutoHyphens w:val="0"/>
        <w:spacing w:after="120" w:line="276" w:lineRule="auto"/>
        <w:ind w:left="1134" w:right="1134" w:hanging="567"/>
        <w:jc w:val="both"/>
        <w:rPr>
          <w:iCs/>
        </w:rPr>
      </w:pPr>
      <w:r w:rsidRPr="008C0DB4">
        <w:rPr>
          <w:lang w:eastAsia="ja-JP"/>
        </w:rPr>
        <w:t>2.</w:t>
      </w:r>
      <w:r w:rsidRPr="008C0DB4">
        <w:rPr>
          <w:lang w:eastAsia="ja-JP"/>
        </w:rPr>
        <w:tab/>
      </w:r>
      <w:r w:rsidR="00012C6F" w:rsidRPr="008C0DB4">
        <w:rPr>
          <w:lang w:eastAsia="ja-JP"/>
        </w:rPr>
        <w:t>Container attachments may be removed in accordance with Annex 3, paragraph 3.3.</w:t>
      </w:r>
      <w:r w:rsidR="00167B22">
        <w:rPr>
          <w:iCs/>
        </w:rPr>
        <w:t>"</w:t>
      </w:r>
      <w:bookmarkEnd w:id="8"/>
    </w:p>
    <w:p w14:paraId="7B364DBC" w14:textId="0D347B1F" w:rsidR="007E50FF" w:rsidRPr="00524040" w:rsidRDefault="00524040" w:rsidP="00524040">
      <w:pPr>
        <w:spacing w:before="240"/>
        <w:jc w:val="center"/>
        <w:rPr>
          <w:u w:val="single"/>
        </w:rPr>
      </w:pPr>
      <w:r>
        <w:rPr>
          <w:u w:val="single"/>
        </w:rPr>
        <w:tab/>
      </w:r>
      <w:r>
        <w:rPr>
          <w:u w:val="single"/>
        </w:rPr>
        <w:tab/>
      </w:r>
      <w:r>
        <w:rPr>
          <w:u w:val="single"/>
        </w:rPr>
        <w:tab/>
      </w:r>
    </w:p>
    <w:sectPr w:rsidR="007E50FF" w:rsidRPr="00524040" w:rsidSect="009C0BD0">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5CA4" w14:textId="77777777" w:rsidR="00662949" w:rsidRDefault="00662949"/>
  </w:endnote>
  <w:endnote w:type="continuationSeparator" w:id="0">
    <w:p w14:paraId="47DA8F5B" w14:textId="77777777" w:rsidR="00662949" w:rsidRDefault="00662949"/>
  </w:endnote>
  <w:endnote w:type="continuationNotice" w:id="1">
    <w:p w14:paraId="5BC500CF" w14:textId="77777777" w:rsidR="00662949" w:rsidRDefault="00662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32AA" w14:textId="4E95607B" w:rsidR="009C0BD0" w:rsidRPr="009C0BD0" w:rsidRDefault="009C0BD0" w:rsidP="009C0BD0">
    <w:pPr>
      <w:pStyle w:val="Footer"/>
      <w:tabs>
        <w:tab w:val="right" w:pos="9638"/>
      </w:tabs>
      <w:rPr>
        <w:sz w:val="18"/>
      </w:rPr>
    </w:pP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2</w:t>
    </w:r>
    <w:r w:rsidRPr="009C0BD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17D3" w14:textId="5065356D" w:rsidR="009C0BD0" w:rsidRPr="009C0BD0" w:rsidRDefault="009C0BD0" w:rsidP="009C0BD0">
    <w:pPr>
      <w:pStyle w:val="Footer"/>
      <w:tabs>
        <w:tab w:val="right" w:pos="9638"/>
      </w:tabs>
      <w:rPr>
        <w:b/>
        <w:sz w:val="18"/>
      </w:rPr>
    </w:pPr>
    <w:r>
      <w:tab/>
    </w: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3</w:t>
    </w:r>
    <w:r w:rsidRPr="009C0BD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91BF" w14:textId="20929BDB" w:rsidR="0035223F" w:rsidRDefault="00304F96" w:rsidP="00304F96">
    <w:pPr>
      <w:pStyle w:val="Footer"/>
      <w:rPr>
        <w:sz w:val="20"/>
      </w:rPr>
    </w:pPr>
    <w:r w:rsidRPr="00304F96">
      <w:rPr>
        <w:noProof/>
        <w:sz w:val="20"/>
        <w:lang w:val="en-US"/>
      </w:rPr>
      <w:drawing>
        <wp:anchor distT="0" distB="0" distL="114300" distR="114300" simplePos="0" relativeHeight="251659264" behindDoc="0" locked="1" layoutInCell="1" allowOverlap="1" wp14:anchorId="3371E0EC" wp14:editId="32CE98B3">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BBE4AA7" w14:textId="480BAC92" w:rsidR="00304F96" w:rsidRPr="00304F96" w:rsidRDefault="00304F96" w:rsidP="00304F96">
    <w:pPr>
      <w:pStyle w:val="Footer"/>
      <w:ind w:right="1134"/>
      <w:rPr>
        <w:sz w:val="20"/>
      </w:rPr>
    </w:pPr>
    <w:r>
      <w:rPr>
        <w:sz w:val="20"/>
      </w:rPr>
      <w:t>GE.25-13285  (E)</w:t>
    </w:r>
    <w:r>
      <w:rPr>
        <w:noProof/>
        <w:sz w:val="20"/>
      </w:rPr>
      <w:drawing>
        <wp:anchor distT="0" distB="0" distL="114300" distR="114300" simplePos="0" relativeHeight="251660288" behindDoc="0" locked="0" layoutInCell="1" allowOverlap="1" wp14:anchorId="1E6896D8" wp14:editId="5C76F9EB">
          <wp:simplePos x="0" y="0"/>
          <wp:positionH relativeFrom="margin">
            <wp:posOffset>5583555</wp:posOffset>
          </wp:positionH>
          <wp:positionV relativeFrom="margin">
            <wp:posOffset>8981440</wp:posOffset>
          </wp:positionV>
          <wp:extent cx="571500" cy="571500"/>
          <wp:effectExtent l="0" t="0" r="0" b="0"/>
          <wp:wrapNone/>
          <wp:docPr id="240920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057F" w14:textId="77777777" w:rsidR="00662949" w:rsidRPr="000B175B" w:rsidRDefault="00662949" w:rsidP="000B175B">
      <w:pPr>
        <w:tabs>
          <w:tab w:val="right" w:pos="2155"/>
        </w:tabs>
        <w:spacing w:after="80"/>
        <w:ind w:left="680"/>
        <w:rPr>
          <w:u w:val="single"/>
        </w:rPr>
      </w:pPr>
      <w:r>
        <w:rPr>
          <w:u w:val="single"/>
        </w:rPr>
        <w:tab/>
      </w:r>
    </w:p>
  </w:footnote>
  <w:footnote w:type="continuationSeparator" w:id="0">
    <w:p w14:paraId="2F93646A" w14:textId="77777777" w:rsidR="00662949" w:rsidRPr="00FC68B7" w:rsidRDefault="00662949" w:rsidP="00FC68B7">
      <w:pPr>
        <w:tabs>
          <w:tab w:val="left" w:pos="2155"/>
        </w:tabs>
        <w:spacing w:after="80"/>
        <w:ind w:left="680"/>
        <w:rPr>
          <w:u w:val="single"/>
        </w:rPr>
      </w:pPr>
      <w:r>
        <w:rPr>
          <w:u w:val="single"/>
        </w:rPr>
        <w:tab/>
      </w:r>
    </w:p>
  </w:footnote>
  <w:footnote w:type="continuationNotice" w:id="1">
    <w:p w14:paraId="7CDB1C36" w14:textId="77777777" w:rsidR="00662949" w:rsidRDefault="00662949"/>
  </w:footnote>
  <w:footnote w:id="2">
    <w:p w14:paraId="005F3EA5" w14:textId="77777777" w:rsidR="00DD6CDA" w:rsidRDefault="00DD6CDA" w:rsidP="00DD6CDA">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 xml:space="preserve">2025 as outlined in proposed programme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60F2F3B7" w14:textId="77777777" w:rsidR="00DD6CDA" w:rsidRDefault="00DD6CDA" w:rsidP="00DD6CDA">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DE5A" w14:textId="72B68772" w:rsidR="009C0BD0" w:rsidRPr="009C0BD0" w:rsidRDefault="009C0BD0">
    <w:pPr>
      <w:pStyle w:val="Header"/>
    </w:pPr>
    <w:r>
      <w:t>ECE/TRANS/WP.29/2025/130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FBF0" w14:textId="75DAF9C9" w:rsidR="009C0BD0" w:rsidRPr="009C0BD0" w:rsidRDefault="009C0BD0" w:rsidP="009C0BD0">
    <w:pPr>
      <w:pStyle w:val="Header"/>
      <w:jc w:val="right"/>
    </w:pPr>
    <w:r>
      <w:t>ECE/TRANS/WP.29/2025/130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265055"/>
    <w:multiLevelType w:val="hybridMultilevel"/>
    <w:tmpl w:val="14C64D9E"/>
    <w:lvl w:ilvl="0" w:tplc="70FCCC6E">
      <w:start w:val="1"/>
      <w:numFmt w:val="lowerLetter"/>
      <w:lvlText w:val="(%1)"/>
      <w:lvlJc w:val="left"/>
      <w:pPr>
        <w:ind w:left="2703" w:hanging="435"/>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8" w15:restartNumberingAfterBreak="0">
    <w:nsid w:val="57D602CF"/>
    <w:multiLevelType w:val="hybridMultilevel"/>
    <w:tmpl w:val="D4C2B5B2"/>
    <w:lvl w:ilvl="0" w:tplc="D570E9AA">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0A37B6"/>
    <w:multiLevelType w:val="hybridMultilevel"/>
    <w:tmpl w:val="137CDBF2"/>
    <w:lvl w:ilvl="0" w:tplc="6D46A5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1" w15:restartNumberingAfterBreak="0">
    <w:nsid w:val="72CC5F26"/>
    <w:multiLevelType w:val="hybridMultilevel"/>
    <w:tmpl w:val="EC9CCCA2"/>
    <w:lvl w:ilvl="0" w:tplc="3E62B9B6">
      <w:start w:val="5"/>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35905028">
    <w:abstractNumId w:val="1"/>
  </w:num>
  <w:num w:numId="2" w16cid:durableId="1567951986">
    <w:abstractNumId w:val="0"/>
  </w:num>
  <w:num w:numId="3" w16cid:durableId="1189219230">
    <w:abstractNumId w:val="2"/>
  </w:num>
  <w:num w:numId="4" w16cid:durableId="1258903353">
    <w:abstractNumId w:val="3"/>
  </w:num>
  <w:num w:numId="5" w16cid:durableId="627661027">
    <w:abstractNumId w:val="8"/>
  </w:num>
  <w:num w:numId="6" w16cid:durableId="811412830">
    <w:abstractNumId w:val="9"/>
  </w:num>
  <w:num w:numId="7" w16cid:durableId="1182356347">
    <w:abstractNumId w:val="7"/>
  </w:num>
  <w:num w:numId="8" w16cid:durableId="997610764">
    <w:abstractNumId w:val="6"/>
  </w:num>
  <w:num w:numId="9" w16cid:durableId="138038854">
    <w:abstractNumId w:val="5"/>
  </w:num>
  <w:num w:numId="10" w16cid:durableId="1990016105">
    <w:abstractNumId w:val="4"/>
  </w:num>
  <w:num w:numId="11" w16cid:durableId="1448430471">
    <w:abstractNumId w:val="15"/>
  </w:num>
  <w:num w:numId="12" w16cid:durableId="1492715315">
    <w:abstractNumId w:val="14"/>
  </w:num>
  <w:num w:numId="13" w16cid:durableId="1396975989">
    <w:abstractNumId w:val="10"/>
  </w:num>
  <w:num w:numId="14" w16cid:durableId="304507896">
    <w:abstractNumId w:val="12"/>
  </w:num>
  <w:num w:numId="15" w16cid:durableId="327945471">
    <w:abstractNumId w:val="16"/>
  </w:num>
  <w:num w:numId="16" w16cid:durableId="2127002688">
    <w:abstractNumId w:val="13"/>
  </w:num>
  <w:num w:numId="17" w16cid:durableId="237521305">
    <w:abstractNumId w:val="19"/>
  </w:num>
  <w:num w:numId="18" w16cid:durableId="1401321970">
    <w:abstractNumId w:val="22"/>
  </w:num>
  <w:num w:numId="19" w16cid:durableId="1612278803">
    <w:abstractNumId w:val="11"/>
  </w:num>
  <w:num w:numId="20" w16cid:durableId="574047798">
    <w:abstractNumId w:val="21"/>
  </w:num>
  <w:num w:numId="21" w16cid:durableId="1464494582">
    <w:abstractNumId w:val="20"/>
  </w:num>
  <w:num w:numId="22" w16cid:durableId="2059934419">
    <w:abstractNumId w:val="17"/>
  </w:num>
  <w:num w:numId="23" w16cid:durableId="134902235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D0"/>
    <w:rsid w:val="00002A7D"/>
    <w:rsid w:val="000038A8"/>
    <w:rsid w:val="00005DF3"/>
    <w:rsid w:val="00006790"/>
    <w:rsid w:val="00012C6F"/>
    <w:rsid w:val="00027624"/>
    <w:rsid w:val="000279D7"/>
    <w:rsid w:val="00032A95"/>
    <w:rsid w:val="00050F6B"/>
    <w:rsid w:val="0006705A"/>
    <w:rsid w:val="000678CD"/>
    <w:rsid w:val="00072C8C"/>
    <w:rsid w:val="0007639E"/>
    <w:rsid w:val="00081CE0"/>
    <w:rsid w:val="00084D30"/>
    <w:rsid w:val="00085844"/>
    <w:rsid w:val="00090320"/>
    <w:rsid w:val="000931C0"/>
    <w:rsid w:val="00097003"/>
    <w:rsid w:val="000A2E09"/>
    <w:rsid w:val="000B175B"/>
    <w:rsid w:val="000B3A0F"/>
    <w:rsid w:val="000C3985"/>
    <w:rsid w:val="000D1A6E"/>
    <w:rsid w:val="000E0415"/>
    <w:rsid w:val="000F7715"/>
    <w:rsid w:val="0010114B"/>
    <w:rsid w:val="00103980"/>
    <w:rsid w:val="00114D3B"/>
    <w:rsid w:val="00114F10"/>
    <w:rsid w:val="0011522A"/>
    <w:rsid w:val="00115D77"/>
    <w:rsid w:val="00133005"/>
    <w:rsid w:val="0015386E"/>
    <w:rsid w:val="00156B99"/>
    <w:rsid w:val="00165223"/>
    <w:rsid w:val="00166124"/>
    <w:rsid w:val="00167B22"/>
    <w:rsid w:val="00184DDA"/>
    <w:rsid w:val="001900CD"/>
    <w:rsid w:val="001923E0"/>
    <w:rsid w:val="001A0452"/>
    <w:rsid w:val="001B2806"/>
    <w:rsid w:val="001B4B04"/>
    <w:rsid w:val="001B5875"/>
    <w:rsid w:val="001C4B9C"/>
    <w:rsid w:val="001C6663"/>
    <w:rsid w:val="001C7895"/>
    <w:rsid w:val="001D26DF"/>
    <w:rsid w:val="001E3A94"/>
    <w:rsid w:val="001F1599"/>
    <w:rsid w:val="001F19C1"/>
    <w:rsid w:val="001F19C4"/>
    <w:rsid w:val="002043F0"/>
    <w:rsid w:val="00211CE0"/>
    <w:rsid w:val="00211E0B"/>
    <w:rsid w:val="002170B9"/>
    <w:rsid w:val="0022022C"/>
    <w:rsid w:val="0022621F"/>
    <w:rsid w:val="00232123"/>
    <w:rsid w:val="00232575"/>
    <w:rsid w:val="00247258"/>
    <w:rsid w:val="0024765E"/>
    <w:rsid w:val="00257CAC"/>
    <w:rsid w:val="0027237A"/>
    <w:rsid w:val="002974E9"/>
    <w:rsid w:val="002A306B"/>
    <w:rsid w:val="002A7F94"/>
    <w:rsid w:val="002B109A"/>
    <w:rsid w:val="002C541C"/>
    <w:rsid w:val="002C6D45"/>
    <w:rsid w:val="002D5EFB"/>
    <w:rsid w:val="002D6E53"/>
    <w:rsid w:val="002D7626"/>
    <w:rsid w:val="002E5854"/>
    <w:rsid w:val="002F046D"/>
    <w:rsid w:val="002F3023"/>
    <w:rsid w:val="00301764"/>
    <w:rsid w:val="00304F96"/>
    <w:rsid w:val="003229D8"/>
    <w:rsid w:val="003275F4"/>
    <w:rsid w:val="00336C97"/>
    <w:rsid w:val="00336D30"/>
    <w:rsid w:val="00337F88"/>
    <w:rsid w:val="00342432"/>
    <w:rsid w:val="00350E4B"/>
    <w:rsid w:val="0035223F"/>
    <w:rsid w:val="003522AC"/>
    <w:rsid w:val="00352D4B"/>
    <w:rsid w:val="00355725"/>
    <w:rsid w:val="0035638C"/>
    <w:rsid w:val="003813F2"/>
    <w:rsid w:val="003A46BB"/>
    <w:rsid w:val="003A4EC7"/>
    <w:rsid w:val="003A548B"/>
    <w:rsid w:val="003A7295"/>
    <w:rsid w:val="003B1F60"/>
    <w:rsid w:val="003C2CC4"/>
    <w:rsid w:val="003C38B1"/>
    <w:rsid w:val="003D3FB9"/>
    <w:rsid w:val="003D4B23"/>
    <w:rsid w:val="003E1106"/>
    <w:rsid w:val="003E278A"/>
    <w:rsid w:val="00413520"/>
    <w:rsid w:val="00427F25"/>
    <w:rsid w:val="004325CB"/>
    <w:rsid w:val="00440A07"/>
    <w:rsid w:val="004452F9"/>
    <w:rsid w:val="00447819"/>
    <w:rsid w:val="004533F9"/>
    <w:rsid w:val="00462880"/>
    <w:rsid w:val="00465199"/>
    <w:rsid w:val="00476D34"/>
    <w:rsid w:val="00476F24"/>
    <w:rsid w:val="00486A15"/>
    <w:rsid w:val="004927BA"/>
    <w:rsid w:val="004A5D33"/>
    <w:rsid w:val="004B5F46"/>
    <w:rsid w:val="004C52C0"/>
    <w:rsid w:val="004C55B0"/>
    <w:rsid w:val="004D25C0"/>
    <w:rsid w:val="004E2758"/>
    <w:rsid w:val="004E461B"/>
    <w:rsid w:val="004F6BA0"/>
    <w:rsid w:val="004F6D80"/>
    <w:rsid w:val="00501278"/>
    <w:rsid w:val="00503BEA"/>
    <w:rsid w:val="00524040"/>
    <w:rsid w:val="00533616"/>
    <w:rsid w:val="00535ABA"/>
    <w:rsid w:val="0053768B"/>
    <w:rsid w:val="005414CF"/>
    <w:rsid w:val="005420F2"/>
    <w:rsid w:val="0054285C"/>
    <w:rsid w:val="00572C6C"/>
    <w:rsid w:val="00584173"/>
    <w:rsid w:val="00595520"/>
    <w:rsid w:val="005A17C5"/>
    <w:rsid w:val="005A44B9"/>
    <w:rsid w:val="005B1BA0"/>
    <w:rsid w:val="005B3DB3"/>
    <w:rsid w:val="005C0268"/>
    <w:rsid w:val="005C4835"/>
    <w:rsid w:val="005C5BF2"/>
    <w:rsid w:val="005D15CA"/>
    <w:rsid w:val="005D184A"/>
    <w:rsid w:val="005E421B"/>
    <w:rsid w:val="005F08DF"/>
    <w:rsid w:val="005F2C2E"/>
    <w:rsid w:val="005F3066"/>
    <w:rsid w:val="005F3E61"/>
    <w:rsid w:val="00604DDD"/>
    <w:rsid w:val="006107D6"/>
    <w:rsid w:val="006115CC"/>
    <w:rsid w:val="00611FC4"/>
    <w:rsid w:val="006165E3"/>
    <w:rsid w:val="006176FB"/>
    <w:rsid w:val="00630FCB"/>
    <w:rsid w:val="006374EC"/>
    <w:rsid w:val="00640B26"/>
    <w:rsid w:val="0065110C"/>
    <w:rsid w:val="0065766B"/>
    <w:rsid w:val="00662949"/>
    <w:rsid w:val="00665192"/>
    <w:rsid w:val="006770B2"/>
    <w:rsid w:val="00681371"/>
    <w:rsid w:val="00686A48"/>
    <w:rsid w:val="0068763C"/>
    <w:rsid w:val="006940E1"/>
    <w:rsid w:val="00696FE0"/>
    <w:rsid w:val="006A3C72"/>
    <w:rsid w:val="006A7392"/>
    <w:rsid w:val="006B03A1"/>
    <w:rsid w:val="006B1762"/>
    <w:rsid w:val="006B67D9"/>
    <w:rsid w:val="006C4B95"/>
    <w:rsid w:val="006C5535"/>
    <w:rsid w:val="006D0589"/>
    <w:rsid w:val="006D16A8"/>
    <w:rsid w:val="006E564B"/>
    <w:rsid w:val="006E65F6"/>
    <w:rsid w:val="006E7154"/>
    <w:rsid w:val="006F1CC9"/>
    <w:rsid w:val="007003CD"/>
    <w:rsid w:val="0070260E"/>
    <w:rsid w:val="00705411"/>
    <w:rsid w:val="0070701E"/>
    <w:rsid w:val="0071667A"/>
    <w:rsid w:val="0072632A"/>
    <w:rsid w:val="00732857"/>
    <w:rsid w:val="007358E8"/>
    <w:rsid w:val="00736ECE"/>
    <w:rsid w:val="0074533B"/>
    <w:rsid w:val="00753472"/>
    <w:rsid w:val="00757926"/>
    <w:rsid w:val="007643BC"/>
    <w:rsid w:val="00772770"/>
    <w:rsid w:val="00777F26"/>
    <w:rsid w:val="00780C59"/>
    <w:rsid w:val="00780C68"/>
    <w:rsid w:val="0079310D"/>
    <w:rsid w:val="007959FE"/>
    <w:rsid w:val="007A0CF1"/>
    <w:rsid w:val="007A22C4"/>
    <w:rsid w:val="007B1F93"/>
    <w:rsid w:val="007B6BA5"/>
    <w:rsid w:val="007C3390"/>
    <w:rsid w:val="007C42D8"/>
    <w:rsid w:val="007C4F4B"/>
    <w:rsid w:val="007D2E05"/>
    <w:rsid w:val="007D46A1"/>
    <w:rsid w:val="007D47B0"/>
    <w:rsid w:val="007D6F65"/>
    <w:rsid w:val="007D7362"/>
    <w:rsid w:val="007E50FF"/>
    <w:rsid w:val="007E54BB"/>
    <w:rsid w:val="007E6239"/>
    <w:rsid w:val="007F5CE2"/>
    <w:rsid w:val="007F649C"/>
    <w:rsid w:val="007F6611"/>
    <w:rsid w:val="00801765"/>
    <w:rsid w:val="0080759C"/>
    <w:rsid w:val="00810BAC"/>
    <w:rsid w:val="00814C29"/>
    <w:rsid w:val="008175E9"/>
    <w:rsid w:val="008239BE"/>
    <w:rsid w:val="008242D7"/>
    <w:rsid w:val="0082577B"/>
    <w:rsid w:val="00825CB5"/>
    <w:rsid w:val="008303D0"/>
    <w:rsid w:val="008316AC"/>
    <w:rsid w:val="0085656C"/>
    <w:rsid w:val="008629BD"/>
    <w:rsid w:val="00866893"/>
    <w:rsid w:val="00866F02"/>
    <w:rsid w:val="00867D18"/>
    <w:rsid w:val="00871F9A"/>
    <w:rsid w:val="00871FD5"/>
    <w:rsid w:val="0088172E"/>
    <w:rsid w:val="00881EFA"/>
    <w:rsid w:val="008879CB"/>
    <w:rsid w:val="00895B7E"/>
    <w:rsid w:val="008979B1"/>
    <w:rsid w:val="008A6B25"/>
    <w:rsid w:val="008A6C4F"/>
    <w:rsid w:val="008B389E"/>
    <w:rsid w:val="008C0DB4"/>
    <w:rsid w:val="008C7B57"/>
    <w:rsid w:val="008D045E"/>
    <w:rsid w:val="008D3F25"/>
    <w:rsid w:val="008D4D82"/>
    <w:rsid w:val="008E0E46"/>
    <w:rsid w:val="008E1B6C"/>
    <w:rsid w:val="008E23B8"/>
    <w:rsid w:val="008E66C5"/>
    <w:rsid w:val="008E7116"/>
    <w:rsid w:val="008F0E43"/>
    <w:rsid w:val="008F143B"/>
    <w:rsid w:val="008F3882"/>
    <w:rsid w:val="008F4B7C"/>
    <w:rsid w:val="008F7582"/>
    <w:rsid w:val="00902684"/>
    <w:rsid w:val="0092556A"/>
    <w:rsid w:val="00926E47"/>
    <w:rsid w:val="00947162"/>
    <w:rsid w:val="0095002B"/>
    <w:rsid w:val="009610D0"/>
    <w:rsid w:val="0096375C"/>
    <w:rsid w:val="009662E6"/>
    <w:rsid w:val="0097095E"/>
    <w:rsid w:val="0097548A"/>
    <w:rsid w:val="0098592B"/>
    <w:rsid w:val="00985FC4"/>
    <w:rsid w:val="00990766"/>
    <w:rsid w:val="00991261"/>
    <w:rsid w:val="0099368D"/>
    <w:rsid w:val="009964C4"/>
    <w:rsid w:val="009A0EB4"/>
    <w:rsid w:val="009A7B81"/>
    <w:rsid w:val="009B011B"/>
    <w:rsid w:val="009B7EB7"/>
    <w:rsid w:val="009C0BD0"/>
    <w:rsid w:val="009C2C93"/>
    <w:rsid w:val="009D01C0"/>
    <w:rsid w:val="009D6A08"/>
    <w:rsid w:val="009E0A16"/>
    <w:rsid w:val="009E6CB7"/>
    <w:rsid w:val="009E7970"/>
    <w:rsid w:val="009F2EAC"/>
    <w:rsid w:val="009F57E3"/>
    <w:rsid w:val="00A0126D"/>
    <w:rsid w:val="00A077A2"/>
    <w:rsid w:val="00A10F4F"/>
    <w:rsid w:val="00A11067"/>
    <w:rsid w:val="00A1704A"/>
    <w:rsid w:val="00A36AC2"/>
    <w:rsid w:val="00A425EB"/>
    <w:rsid w:val="00A45806"/>
    <w:rsid w:val="00A478E9"/>
    <w:rsid w:val="00A614EC"/>
    <w:rsid w:val="00A72F22"/>
    <w:rsid w:val="00A733BC"/>
    <w:rsid w:val="00A748A6"/>
    <w:rsid w:val="00A76A69"/>
    <w:rsid w:val="00A8092D"/>
    <w:rsid w:val="00A879A4"/>
    <w:rsid w:val="00AA0FF8"/>
    <w:rsid w:val="00AC0F2C"/>
    <w:rsid w:val="00AC502A"/>
    <w:rsid w:val="00AE1E26"/>
    <w:rsid w:val="00AF58C1"/>
    <w:rsid w:val="00B04A3F"/>
    <w:rsid w:val="00B06643"/>
    <w:rsid w:val="00B15055"/>
    <w:rsid w:val="00B20551"/>
    <w:rsid w:val="00B30179"/>
    <w:rsid w:val="00B310B1"/>
    <w:rsid w:val="00B31E0B"/>
    <w:rsid w:val="00B33FC7"/>
    <w:rsid w:val="00B37B15"/>
    <w:rsid w:val="00B4162A"/>
    <w:rsid w:val="00B45C02"/>
    <w:rsid w:val="00B67F0C"/>
    <w:rsid w:val="00B70B63"/>
    <w:rsid w:val="00B72A1E"/>
    <w:rsid w:val="00B81E12"/>
    <w:rsid w:val="00B82F98"/>
    <w:rsid w:val="00B82FF3"/>
    <w:rsid w:val="00BA0164"/>
    <w:rsid w:val="00BA339B"/>
    <w:rsid w:val="00BB23CC"/>
    <w:rsid w:val="00BC1E7E"/>
    <w:rsid w:val="00BC51B9"/>
    <w:rsid w:val="00BC74E9"/>
    <w:rsid w:val="00BE36A9"/>
    <w:rsid w:val="00BE618E"/>
    <w:rsid w:val="00BE7BEC"/>
    <w:rsid w:val="00BF0A5A"/>
    <w:rsid w:val="00BF0E63"/>
    <w:rsid w:val="00BF12A3"/>
    <w:rsid w:val="00BF16D7"/>
    <w:rsid w:val="00BF2373"/>
    <w:rsid w:val="00BF279B"/>
    <w:rsid w:val="00C039AC"/>
    <w:rsid w:val="00C044E2"/>
    <w:rsid w:val="00C048CB"/>
    <w:rsid w:val="00C066F3"/>
    <w:rsid w:val="00C234D3"/>
    <w:rsid w:val="00C327FF"/>
    <w:rsid w:val="00C33702"/>
    <w:rsid w:val="00C429A6"/>
    <w:rsid w:val="00C463DD"/>
    <w:rsid w:val="00C5331F"/>
    <w:rsid w:val="00C64A23"/>
    <w:rsid w:val="00C719D2"/>
    <w:rsid w:val="00C73265"/>
    <w:rsid w:val="00C73CB4"/>
    <w:rsid w:val="00C745C3"/>
    <w:rsid w:val="00C927BA"/>
    <w:rsid w:val="00C95A4D"/>
    <w:rsid w:val="00C978F5"/>
    <w:rsid w:val="00CA24A4"/>
    <w:rsid w:val="00CA32AA"/>
    <w:rsid w:val="00CB15F8"/>
    <w:rsid w:val="00CB348D"/>
    <w:rsid w:val="00CD46F5"/>
    <w:rsid w:val="00CE4A8F"/>
    <w:rsid w:val="00CE6574"/>
    <w:rsid w:val="00CF071D"/>
    <w:rsid w:val="00D0123D"/>
    <w:rsid w:val="00D036A5"/>
    <w:rsid w:val="00D04356"/>
    <w:rsid w:val="00D15B04"/>
    <w:rsid w:val="00D2031B"/>
    <w:rsid w:val="00D25FE2"/>
    <w:rsid w:val="00D31A65"/>
    <w:rsid w:val="00D37DA9"/>
    <w:rsid w:val="00D406A7"/>
    <w:rsid w:val="00D41AE9"/>
    <w:rsid w:val="00D43252"/>
    <w:rsid w:val="00D44D86"/>
    <w:rsid w:val="00D50B7D"/>
    <w:rsid w:val="00D52012"/>
    <w:rsid w:val="00D564D1"/>
    <w:rsid w:val="00D57B90"/>
    <w:rsid w:val="00D704E5"/>
    <w:rsid w:val="00D72727"/>
    <w:rsid w:val="00D978C6"/>
    <w:rsid w:val="00DA0956"/>
    <w:rsid w:val="00DA357F"/>
    <w:rsid w:val="00DA3E12"/>
    <w:rsid w:val="00DC18AD"/>
    <w:rsid w:val="00DD6CDA"/>
    <w:rsid w:val="00DF414D"/>
    <w:rsid w:val="00DF7CAE"/>
    <w:rsid w:val="00E050C2"/>
    <w:rsid w:val="00E07728"/>
    <w:rsid w:val="00E417C3"/>
    <w:rsid w:val="00E423C0"/>
    <w:rsid w:val="00E6414C"/>
    <w:rsid w:val="00E64C9D"/>
    <w:rsid w:val="00E7260F"/>
    <w:rsid w:val="00E72F25"/>
    <w:rsid w:val="00E74124"/>
    <w:rsid w:val="00E8702D"/>
    <w:rsid w:val="00E905F4"/>
    <w:rsid w:val="00E916A9"/>
    <w:rsid w:val="00E916DE"/>
    <w:rsid w:val="00E925AD"/>
    <w:rsid w:val="00E96630"/>
    <w:rsid w:val="00EA4314"/>
    <w:rsid w:val="00EA73A2"/>
    <w:rsid w:val="00EB7E44"/>
    <w:rsid w:val="00ED18DC"/>
    <w:rsid w:val="00ED285B"/>
    <w:rsid w:val="00ED4D0D"/>
    <w:rsid w:val="00ED6201"/>
    <w:rsid w:val="00ED7A2A"/>
    <w:rsid w:val="00EF1D7F"/>
    <w:rsid w:val="00EF7EAB"/>
    <w:rsid w:val="00F00232"/>
    <w:rsid w:val="00F002CD"/>
    <w:rsid w:val="00F0137E"/>
    <w:rsid w:val="00F04E44"/>
    <w:rsid w:val="00F0671D"/>
    <w:rsid w:val="00F21786"/>
    <w:rsid w:val="00F25D06"/>
    <w:rsid w:val="00F31CFF"/>
    <w:rsid w:val="00F3742B"/>
    <w:rsid w:val="00F41FDB"/>
    <w:rsid w:val="00F464DD"/>
    <w:rsid w:val="00F50597"/>
    <w:rsid w:val="00F523FF"/>
    <w:rsid w:val="00F56D63"/>
    <w:rsid w:val="00F609A9"/>
    <w:rsid w:val="00F65143"/>
    <w:rsid w:val="00F75B00"/>
    <w:rsid w:val="00F80C99"/>
    <w:rsid w:val="00F867EC"/>
    <w:rsid w:val="00F91B2B"/>
    <w:rsid w:val="00F96313"/>
    <w:rsid w:val="00FB0F70"/>
    <w:rsid w:val="00FC03CD"/>
    <w:rsid w:val="00FC0646"/>
    <w:rsid w:val="00FC68B7"/>
    <w:rsid w:val="00FD185F"/>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5ECC4"/>
  <w15:docId w15:val="{722027C3-AC88-4DA1-998B-2363EE65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26D"/>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DD6CDA"/>
    <w:rPr>
      <w:lang w:val="en-GB"/>
    </w:rPr>
  </w:style>
  <w:style w:type="character" w:customStyle="1" w:styleId="HChGChar">
    <w:name w:val="_ H _Ch_G Char"/>
    <w:link w:val="HChG"/>
    <w:qFormat/>
    <w:locked/>
    <w:rsid w:val="00DD6CDA"/>
    <w:rPr>
      <w:b/>
      <w:sz w:val="28"/>
      <w:lang w:val="en-GB"/>
    </w:rPr>
  </w:style>
  <w:style w:type="character" w:customStyle="1" w:styleId="H1GChar">
    <w:name w:val="_ H_1_G Char"/>
    <w:link w:val="H1G"/>
    <w:locked/>
    <w:rsid w:val="00DD6CDA"/>
    <w:rPr>
      <w:b/>
      <w:sz w:val="24"/>
      <w:lang w:val="en-GB"/>
    </w:rPr>
  </w:style>
  <w:style w:type="paragraph" w:styleId="ListParagraph">
    <w:name w:val="List Paragraph"/>
    <w:basedOn w:val="Normal"/>
    <w:uiPriority w:val="34"/>
    <w:qFormat/>
    <w:rsid w:val="00012C6F"/>
    <w:pPr>
      <w:suppressAutoHyphens/>
      <w:ind w:left="720"/>
      <w:contextualSpacing/>
    </w:pPr>
    <w:rPr>
      <w:rFonts w:eastAsia="Batang"/>
      <w:lang w:eastAsia="en-US"/>
    </w:rPr>
  </w:style>
  <w:style w:type="character" w:styleId="CommentReference">
    <w:name w:val="annotation reference"/>
    <w:basedOn w:val="DefaultParagraphFont"/>
    <w:semiHidden/>
    <w:unhideWhenUsed/>
    <w:rsid w:val="006165E3"/>
    <w:rPr>
      <w:sz w:val="16"/>
      <w:szCs w:val="16"/>
    </w:rPr>
  </w:style>
  <w:style w:type="paragraph" w:styleId="CommentText">
    <w:name w:val="annotation text"/>
    <w:basedOn w:val="Normal"/>
    <w:link w:val="CommentTextChar"/>
    <w:unhideWhenUsed/>
    <w:rsid w:val="006165E3"/>
    <w:pPr>
      <w:spacing w:line="240" w:lineRule="auto"/>
    </w:pPr>
  </w:style>
  <w:style w:type="character" w:customStyle="1" w:styleId="CommentTextChar">
    <w:name w:val="Comment Text Char"/>
    <w:basedOn w:val="DefaultParagraphFont"/>
    <w:link w:val="CommentText"/>
    <w:rsid w:val="006165E3"/>
    <w:rPr>
      <w:lang w:val="en-GB"/>
    </w:rPr>
  </w:style>
  <w:style w:type="paragraph" w:styleId="CommentSubject">
    <w:name w:val="annotation subject"/>
    <w:basedOn w:val="CommentText"/>
    <w:next w:val="CommentText"/>
    <w:link w:val="CommentSubjectChar"/>
    <w:semiHidden/>
    <w:unhideWhenUsed/>
    <w:rsid w:val="006165E3"/>
    <w:rPr>
      <w:b/>
      <w:bCs/>
    </w:rPr>
  </w:style>
  <w:style w:type="character" w:customStyle="1" w:styleId="CommentSubjectChar">
    <w:name w:val="Comment Subject Char"/>
    <w:basedOn w:val="CommentTextChar"/>
    <w:link w:val="CommentSubject"/>
    <w:semiHidden/>
    <w:rsid w:val="006165E3"/>
    <w:rPr>
      <w:b/>
      <w:bCs/>
      <w:lang w:val="en-GB"/>
    </w:rPr>
  </w:style>
  <w:style w:type="paragraph" w:styleId="Revision">
    <w:name w:val="Revision"/>
    <w:hidden/>
    <w:uiPriority w:val="99"/>
    <w:semiHidden/>
    <w:rsid w:val="00732857"/>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1ADC2CA9-1A50-4B34-9F3E-E7C115224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6</Pages>
  <Words>2432</Words>
  <Characters>13310</Characters>
  <Application>Microsoft Office Word</Application>
  <DocSecurity>0</DocSecurity>
  <Lines>392</Lines>
  <Paragraphs>204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ECE/TRANS/WP.29/2025/130</dc:title>
  <dc:subject>2513285</dc:subject>
  <dc:creator>Add.16/Rev.8/Amend.1(2025/46)</dc:creator>
  <cp:keywords/>
  <dc:description/>
  <cp:lastModifiedBy>Anni Vi Tirol</cp:lastModifiedBy>
  <cp:revision>2</cp:revision>
  <cp:lastPrinted>2009-02-18T09:36:00Z</cp:lastPrinted>
  <dcterms:created xsi:type="dcterms:W3CDTF">2025-08-19T15:29:00Z</dcterms:created>
  <dcterms:modified xsi:type="dcterms:W3CDTF">2025-08-19T15:29:00Z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