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0503BAC6" w:rsidR="00ED7F18" w:rsidRPr="00B11ACD" w:rsidRDefault="00ED7F18" w:rsidP="00B11ACD">
      <w:pPr>
        <w:pStyle w:val="HChG"/>
      </w:pPr>
      <w:r w:rsidRPr="00B11ACD">
        <w:tab/>
      </w:r>
      <w:r w:rsidRPr="00B11ACD">
        <w:tab/>
      </w:r>
      <w:r w:rsidR="00306236">
        <w:t>Corrections</w:t>
      </w:r>
      <w:r w:rsidR="0027673C" w:rsidRPr="00B11ACD">
        <w:t xml:space="preserve"> to </w:t>
      </w:r>
      <w:r w:rsidR="0018196C" w:rsidRPr="0018196C">
        <w:t>ECE/TRANS/WP.29/2025/4</w:t>
      </w:r>
      <w:r w:rsidR="00793077">
        <w:t>8</w:t>
      </w:r>
      <w:r w:rsidR="00786DA8" w:rsidRPr="00B11ACD">
        <w:rPr>
          <w:rStyle w:val="FootnoteReference"/>
          <w:sz w:val="28"/>
          <w:vertAlign w:val="baseline"/>
        </w:rPr>
        <w:footnoteReference w:customMarkFollows="1" w:id="2"/>
        <w:t>*</w:t>
      </w:r>
    </w:p>
    <w:p w14:paraId="18C1B722" w14:textId="2FE9F9A3" w:rsidR="002D352D" w:rsidRDefault="00895B92" w:rsidP="00123348">
      <w:pPr>
        <w:pStyle w:val="SingleTxtG"/>
        <w:rPr>
          <w:color w:val="000000" w:themeColor="text1"/>
        </w:rPr>
      </w:pPr>
      <w:r w:rsidRPr="00895B92">
        <w:t xml:space="preserve">The text below </w:t>
      </w:r>
      <w:r w:rsidR="00123348">
        <w:t xml:space="preserve">contains corrections to the </w:t>
      </w:r>
      <w:r w:rsidR="00756959">
        <w:t>p</w:t>
      </w:r>
      <w:r w:rsidR="00123348">
        <w:t>roposal for a 01 series of amendments to UN Regulation No. 174 (Safety-belt reminders)</w:t>
      </w:r>
      <w:r w:rsidRPr="00895B92">
        <w:t>.</w:t>
      </w:r>
      <w:r w:rsidR="0012745C">
        <w:t xml:space="preserve"> The corrections were adopted by GRSP on its</w:t>
      </w:r>
      <w:r w:rsidR="00CD3106">
        <w:t xml:space="preserve"> May session</w:t>
      </w:r>
      <w:r w:rsidR="00A968A8">
        <w:t xml:space="preserve"> based on </w:t>
      </w:r>
      <w:r w:rsidR="00B24951" w:rsidRPr="00B24951">
        <w:t xml:space="preserve">ECE/TRANS/WP.29/GRSP/2025/6 and </w:t>
      </w:r>
      <w:r w:rsidR="00B24951">
        <w:t xml:space="preserve">informal document </w:t>
      </w:r>
      <w:r w:rsidR="00B24951" w:rsidRPr="00B24951">
        <w:t>GRSP-77-16, as amended</w:t>
      </w:r>
      <w:r w:rsidR="00CD3106">
        <w:t xml:space="preserve">. </w:t>
      </w:r>
      <w:r w:rsidR="00A968A8">
        <w:t xml:space="preserve">GRSP </w:t>
      </w:r>
      <w:r w:rsidR="00B24951">
        <w:t xml:space="preserve">initially </w:t>
      </w:r>
      <w:r w:rsidR="00A968A8">
        <w:t>requested</w:t>
      </w:r>
      <w:r w:rsidR="00B24951">
        <w:t xml:space="preserve"> the secretariat</w:t>
      </w:r>
      <w:r w:rsidR="00FD23F1">
        <w:t xml:space="preserve"> </w:t>
      </w:r>
      <w:r w:rsidR="00FD23F1" w:rsidRPr="00E306E6">
        <w:t>to submit</w:t>
      </w:r>
      <w:r w:rsidR="00FD23F1">
        <w:t xml:space="preserve"> them</w:t>
      </w:r>
      <w:r w:rsidR="00FD23F1" w:rsidRPr="00E306E6">
        <w:t xml:space="preserve"> </w:t>
      </w:r>
      <w:r w:rsidR="00FD23F1">
        <w:t>as a corrigendum</w:t>
      </w:r>
      <w:r w:rsidR="00FD23F1" w:rsidRPr="00E306E6">
        <w:t xml:space="preserve"> to the </w:t>
      </w:r>
      <w:r w:rsidR="00FD23F1">
        <w:t>November</w:t>
      </w:r>
      <w:r w:rsidR="00FD23F1" w:rsidRPr="00E306E6">
        <w:t xml:space="preserve"> 2025 sessions </w:t>
      </w:r>
      <w:r w:rsidR="00FD23F1" w:rsidRPr="0079577F">
        <w:t>of WP.29 and AC.1.</w:t>
      </w:r>
      <w:r w:rsidR="002C1D11">
        <w:t xml:space="preserve"> The secretariat is, however, proposing to adopt the</w:t>
      </w:r>
      <w:r w:rsidR="00516EE4">
        <w:t xml:space="preserve">m now in order to </w:t>
      </w:r>
      <w:r w:rsidR="008E2000">
        <w:t xml:space="preserve">avoid the </w:t>
      </w:r>
      <w:r w:rsidR="0084435F">
        <w:t>need for corrigendum</w:t>
      </w:r>
      <w:r w:rsidR="00EA11A5">
        <w:t>.</w:t>
      </w:r>
    </w:p>
    <w:p w14:paraId="37CBB239" w14:textId="1F010F66" w:rsidR="005760CB" w:rsidRDefault="00831D3D" w:rsidP="00455A06">
      <w:pPr>
        <w:pStyle w:val="HChG"/>
      </w:pPr>
      <w:r>
        <w:tab/>
        <w:t>I.</w:t>
      </w:r>
      <w:r>
        <w:tab/>
      </w:r>
      <w:r w:rsidR="005760CB" w:rsidRPr="00831D3D">
        <w:t>Proposal</w:t>
      </w:r>
    </w:p>
    <w:p w14:paraId="30CB683A" w14:textId="77777777" w:rsidR="00ED1676" w:rsidRPr="008A627A" w:rsidRDefault="00ED1676" w:rsidP="00ED1676">
      <w:pPr>
        <w:pStyle w:val="SingleTxtG"/>
        <w:rPr>
          <w:b/>
        </w:rPr>
      </w:pPr>
      <w:r w:rsidRPr="006C3CA9">
        <w:rPr>
          <w:i/>
          <w:iCs/>
        </w:rPr>
        <w:t xml:space="preserve">Paragraph </w:t>
      </w:r>
      <w:r>
        <w:rPr>
          <w:i/>
          <w:iCs/>
        </w:rPr>
        <w:t>0</w:t>
      </w:r>
      <w:r w:rsidRPr="006C3CA9">
        <w:rPr>
          <w:i/>
          <w:iCs/>
        </w:rPr>
        <w:t>.</w:t>
      </w:r>
      <w:r>
        <w:rPr>
          <w:i/>
          <w:iCs/>
        </w:rPr>
        <w:t>, sub-paragraph under the list</w:t>
      </w:r>
      <w:r w:rsidRPr="006C3CA9">
        <w:rPr>
          <w:i/>
          <w:iCs/>
        </w:rPr>
        <w:t>,</w:t>
      </w:r>
      <w:r w:rsidRPr="006C3CA9">
        <w:t xml:space="preserve"> </w:t>
      </w:r>
      <w:r>
        <w:t>amend to read:</w:t>
      </w:r>
    </w:p>
    <w:p w14:paraId="066A3E75" w14:textId="77777777" w:rsidR="00ED1676" w:rsidRPr="00B16B68" w:rsidRDefault="00ED1676" w:rsidP="00ED1676">
      <w:pPr>
        <w:pStyle w:val="SingleTxtG"/>
        <w:ind w:left="2268" w:hanging="1134"/>
      </w:pPr>
      <w:r>
        <w:t>“</w:t>
      </w:r>
      <w:r w:rsidRPr="00B16B68">
        <w:tab/>
      </w:r>
      <w:r>
        <w:tab/>
      </w:r>
      <w:r w:rsidRPr="00B16B68">
        <w:t xml:space="preserve">UN Regulation No. </w:t>
      </w:r>
      <w:r w:rsidRPr="002A57CE">
        <w:rPr>
          <w:b/>
          <w:bCs/>
        </w:rPr>
        <w:t>174</w:t>
      </w:r>
      <w:r>
        <w:t xml:space="preserve"> </w:t>
      </w:r>
      <w:r w:rsidRPr="00B16B68">
        <w:t>consists of the specific requirements and approval process of a vehicle type with regard to its safety-belt reminders. The requirements are derived from UN Regulation No. 16 as amended by the 09 series of amendments. From a technical point of view, the requirements are identical. Therefore, it is important to define clear transitional provisions in the updated UN Regulation No. 16 as amended by the 10 series of amendments, explaining the equivalence between approvals issued according to this UN Regulation and UN Regulation No. 16 as amended by the 09 series of amendments.</w:t>
      </w:r>
      <w:r>
        <w:t>”</w:t>
      </w:r>
    </w:p>
    <w:p w14:paraId="34EAC9A0" w14:textId="77777777" w:rsidR="00ED1676" w:rsidRPr="00B66079" w:rsidRDefault="00ED1676" w:rsidP="00ED1676">
      <w:pPr>
        <w:pStyle w:val="SingleTxtG"/>
        <w:tabs>
          <w:tab w:val="clear" w:pos="1701"/>
          <w:tab w:val="clear" w:pos="2268"/>
          <w:tab w:val="clear" w:pos="2835"/>
        </w:tabs>
        <w:ind w:left="2268" w:hanging="1134"/>
      </w:pPr>
      <w:r w:rsidRPr="00831D3D">
        <w:rPr>
          <w:i/>
          <w:iCs/>
        </w:rPr>
        <w:t xml:space="preserve">Paragraph </w:t>
      </w:r>
      <w:r>
        <w:rPr>
          <w:i/>
          <w:iCs/>
        </w:rPr>
        <w:t>2.4</w:t>
      </w:r>
      <w:r w:rsidRPr="00831D3D">
        <w:rPr>
          <w:i/>
          <w:iCs/>
        </w:rPr>
        <w:t>.,</w:t>
      </w:r>
      <w:r w:rsidRPr="00B66079">
        <w:t xml:space="preserve"> amend to read:</w:t>
      </w:r>
    </w:p>
    <w:p w14:paraId="2E45BEAA" w14:textId="77777777" w:rsidR="00ED1676" w:rsidRPr="00455A06" w:rsidRDefault="00ED1676" w:rsidP="00ED1676">
      <w:pPr>
        <w:pStyle w:val="SingleTxtG"/>
        <w:tabs>
          <w:tab w:val="clear" w:pos="1701"/>
          <w:tab w:val="clear" w:pos="2268"/>
          <w:tab w:val="clear" w:pos="2835"/>
        </w:tabs>
        <w:ind w:left="2268" w:hanging="1134"/>
      </w:pPr>
      <w:r w:rsidRPr="00455A06">
        <w:t>“2.4</w:t>
      </w:r>
      <w:r w:rsidRPr="00455A06">
        <w:rPr>
          <w:rFonts w:hint="eastAsia"/>
        </w:rPr>
        <w:t>.</w:t>
      </w:r>
      <w:r w:rsidRPr="00455A06">
        <w:rPr>
          <w:rFonts w:hint="eastAsia"/>
        </w:rPr>
        <w:tab/>
      </w:r>
      <w:r w:rsidRPr="00455A06">
        <w:t xml:space="preserve">"First level warning" means a visual warning activated when the ignition switch or </w:t>
      </w:r>
      <w:r w:rsidRPr="00455A06">
        <w:rPr>
          <w:b/>
          <w:bCs/>
        </w:rPr>
        <w:t>vehicle</w:t>
      </w:r>
      <w:r w:rsidRPr="00455A06">
        <w:t xml:space="preserve"> master control switch is activated and any of the occupants’ safety-belt is not fastened. An audible warning can be added as an option.”</w:t>
      </w:r>
    </w:p>
    <w:p w14:paraId="44B05ACC" w14:textId="77777777" w:rsidR="00ED1676" w:rsidRDefault="00ED1676" w:rsidP="00ED1676">
      <w:pPr>
        <w:pStyle w:val="SingleTxtG"/>
      </w:pPr>
      <w:r w:rsidRPr="006C3CA9">
        <w:rPr>
          <w:i/>
          <w:iCs/>
        </w:rPr>
        <w:t>Paragraph 2.5.,</w:t>
      </w:r>
      <w:r w:rsidRPr="006C3CA9">
        <w:t xml:space="preserve"> </w:t>
      </w:r>
      <w:r>
        <w:t>amend to read:</w:t>
      </w:r>
    </w:p>
    <w:p w14:paraId="3C98122F" w14:textId="77777777" w:rsidR="00ED1676" w:rsidRDefault="00ED1676" w:rsidP="00ED1676">
      <w:pPr>
        <w:pStyle w:val="SingleTxtG"/>
        <w:ind w:left="2268" w:hanging="1134"/>
        <w:rPr>
          <w:lang w:eastAsia="ja-JP"/>
        </w:rPr>
      </w:pPr>
      <w:r>
        <w:t>“</w:t>
      </w:r>
      <w:r w:rsidRPr="00B16B68">
        <w:t>2.5.</w:t>
      </w:r>
      <w:r w:rsidRPr="00B16B68">
        <w:tab/>
      </w:r>
      <w:r>
        <w:tab/>
      </w:r>
      <w:r w:rsidRPr="00B16B68">
        <w:rPr>
          <w:lang w:eastAsia="ja-JP"/>
        </w:rPr>
        <w:t>"</w:t>
      </w:r>
      <w:r w:rsidRPr="00B16B68">
        <w:rPr>
          <w:i/>
        </w:rPr>
        <w:t>Second level warning</w:t>
      </w:r>
      <w:r w:rsidRPr="00B16B68">
        <w:rPr>
          <w:lang w:eastAsia="ja-JP"/>
        </w:rPr>
        <w:t>"</w:t>
      </w:r>
      <w:r w:rsidRPr="00B16B68">
        <w:t xml:space="preserve"> means a visual and audible warning activated when </w:t>
      </w:r>
      <w:r w:rsidRPr="00B16B68">
        <w:rPr>
          <w:lang w:eastAsia="ja-JP"/>
        </w:rPr>
        <w:t xml:space="preserve">the </w:t>
      </w:r>
      <w:r w:rsidRPr="00B16B68">
        <w:t xml:space="preserve">vehicle </w:t>
      </w:r>
      <w:r w:rsidRPr="00B16B68">
        <w:rPr>
          <w:lang w:eastAsia="ja-JP"/>
        </w:rPr>
        <w:t xml:space="preserve">is operated in accordance with paragraphs </w:t>
      </w:r>
      <w:r w:rsidRPr="006C224B">
        <w:rPr>
          <w:b/>
          <w:bCs/>
          <w:lang w:eastAsia="ja-JP"/>
        </w:rPr>
        <w:t>5.2.4.1.1.</w:t>
      </w:r>
      <w:r w:rsidRPr="00B16B68">
        <w:rPr>
          <w:lang w:eastAsia="ja-JP"/>
        </w:rPr>
        <w:t xml:space="preserve"> to</w:t>
      </w:r>
      <w:r>
        <w:rPr>
          <w:lang w:eastAsia="ja-JP"/>
        </w:rPr>
        <w:t xml:space="preserve"> </w:t>
      </w:r>
      <w:r w:rsidRPr="006C224B">
        <w:rPr>
          <w:b/>
          <w:bCs/>
          <w:lang w:eastAsia="ja-JP"/>
        </w:rPr>
        <w:t>5.2.4.1.3.</w:t>
      </w:r>
      <w:r w:rsidRPr="00B16B68">
        <w:rPr>
          <w:lang w:eastAsia="ja-JP"/>
        </w:rPr>
        <w:t xml:space="preserve"> and when the safety-belt is or becomes unfastened, depending on the relevant seating position requirement.</w:t>
      </w:r>
      <w:r>
        <w:rPr>
          <w:lang w:eastAsia="ja-JP"/>
        </w:rPr>
        <w:t>”</w:t>
      </w:r>
    </w:p>
    <w:p w14:paraId="30FE7941" w14:textId="77777777" w:rsidR="00ED1676" w:rsidRPr="00B66079" w:rsidRDefault="00ED1676" w:rsidP="00ED1676">
      <w:pPr>
        <w:pStyle w:val="SingleTxtG"/>
        <w:tabs>
          <w:tab w:val="clear" w:pos="1701"/>
          <w:tab w:val="clear" w:pos="2268"/>
          <w:tab w:val="clear" w:pos="2835"/>
        </w:tabs>
        <w:ind w:left="2268" w:hanging="1134"/>
      </w:pPr>
      <w:r w:rsidRPr="00831D3D">
        <w:rPr>
          <w:i/>
          <w:iCs/>
        </w:rPr>
        <w:t xml:space="preserve">Paragraph </w:t>
      </w:r>
      <w:r>
        <w:rPr>
          <w:i/>
          <w:iCs/>
        </w:rPr>
        <w:t>5.2.3.1</w:t>
      </w:r>
      <w:r w:rsidRPr="00831D3D">
        <w:rPr>
          <w:i/>
          <w:iCs/>
        </w:rPr>
        <w:t>.,</w:t>
      </w:r>
      <w:r w:rsidRPr="00B66079">
        <w:t xml:space="preserve"> amend to read:</w:t>
      </w:r>
    </w:p>
    <w:p w14:paraId="2D7E86D6" w14:textId="77777777" w:rsidR="00ED1676" w:rsidRDefault="00ED1676" w:rsidP="00ED1676">
      <w:pPr>
        <w:pStyle w:val="SingleTxtG"/>
        <w:tabs>
          <w:tab w:val="clear" w:pos="1701"/>
          <w:tab w:val="clear" w:pos="2268"/>
          <w:tab w:val="clear" w:pos="2835"/>
        </w:tabs>
        <w:ind w:left="2268" w:hanging="1134"/>
      </w:pPr>
      <w:r>
        <w:t>“5.2.3.1.</w:t>
      </w:r>
      <w:r w:rsidRPr="00831D3D">
        <w:rPr>
          <w:rFonts w:hint="eastAsia"/>
        </w:rPr>
        <w:tab/>
      </w:r>
      <w:r>
        <w:t xml:space="preserve">The first level warning shall be at least a visual warning activated for 30 seconds or longer for seating positions covered by paragraph 5.1.1. and for 60 seconds or longer for seating positions covered by paragraph 5.1.2. when the safety-belt of any of the seats is not fastened and the ignition switch or </w:t>
      </w:r>
      <w:r w:rsidRPr="00CE1EC2">
        <w:rPr>
          <w:b/>
        </w:rPr>
        <w:t>vehicle</w:t>
      </w:r>
      <w:r>
        <w:t xml:space="preserve"> master control switch is activated</w:t>
      </w:r>
      <w:r w:rsidRPr="00EE7F4A">
        <w:rPr>
          <w:b/>
        </w:rPr>
        <w:t>.</w:t>
      </w:r>
      <w:r>
        <w:rPr>
          <w:b/>
        </w:rPr>
        <w:t>”</w:t>
      </w:r>
    </w:p>
    <w:p w14:paraId="6A077982" w14:textId="77777777" w:rsidR="00ED1676" w:rsidRPr="00B66079" w:rsidRDefault="00ED1676" w:rsidP="00ED1676">
      <w:pPr>
        <w:pStyle w:val="SingleTxtG"/>
        <w:tabs>
          <w:tab w:val="clear" w:pos="1701"/>
          <w:tab w:val="clear" w:pos="2268"/>
          <w:tab w:val="clear" w:pos="2835"/>
        </w:tabs>
        <w:ind w:left="2268" w:hanging="1134"/>
      </w:pPr>
      <w:r w:rsidRPr="00831D3D">
        <w:rPr>
          <w:i/>
          <w:iCs/>
        </w:rPr>
        <w:t xml:space="preserve">Paragraph </w:t>
      </w:r>
      <w:r>
        <w:rPr>
          <w:i/>
          <w:iCs/>
        </w:rPr>
        <w:t>5.5.1</w:t>
      </w:r>
      <w:r w:rsidRPr="00831D3D">
        <w:rPr>
          <w:i/>
          <w:iCs/>
        </w:rPr>
        <w:t>.,</w:t>
      </w:r>
      <w:r w:rsidRPr="00B66079">
        <w:t xml:space="preserve"> amend to read:</w:t>
      </w:r>
    </w:p>
    <w:p w14:paraId="3BCD7227" w14:textId="77777777" w:rsidR="00ED1676" w:rsidRPr="00831D3D" w:rsidRDefault="00ED1676" w:rsidP="00ED1676">
      <w:pPr>
        <w:pStyle w:val="SingleTxtG"/>
        <w:tabs>
          <w:tab w:val="clear" w:pos="1701"/>
          <w:tab w:val="clear" w:pos="2268"/>
          <w:tab w:val="clear" w:pos="2835"/>
        </w:tabs>
        <w:ind w:left="2268" w:hanging="1134"/>
      </w:pPr>
      <w:r>
        <w:t>“5.5.</w:t>
      </w:r>
      <w:r w:rsidRPr="00831D3D">
        <w:rPr>
          <w:rFonts w:hint="eastAsia"/>
        </w:rPr>
        <w:t>1.</w:t>
      </w:r>
      <w:r w:rsidRPr="00831D3D">
        <w:rPr>
          <w:rFonts w:hint="eastAsia"/>
        </w:rPr>
        <w:tab/>
      </w:r>
      <w:r>
        <w:t xml:space="preserve">In the case that a short-term deactivation is provided, it shall be significantly more difficult to deactivate the safety-belt reminder than buckling the safety-belt on and off (i.e. it shall consist of an operation of specific controls that are not integrated in the safety-belt buckle) and this operation shall only be possible when the vehicle is stationary. When the ignition or </w:t>
      </w:r>
      <w:r w:rsidRPr="00EE7F4A">
        <w:rPr>
          <w:b/>
        </w:rPr>
        <w:t>vehicle</w:t>
      </w:r>
      <w:r>
        <w:t xml:space="preserve"> master control switch is deactivated for more than 30 minutes and activated again, a short-term deactivated safety-belt reminder shall reactivate. It shall not be possible to provide short-term deactivation of the relevant visual warning(s).”</w:t>
      </w:r>
    </w:p>
    <w:p w14:paraId="53A11AA8" w14:textId="77777777" w:rsidR="00ED1676" w:rsidRPr="00B66079" w:rsidRDefault="00ED1676" w:rsidP="00ED1676">
      <w:pPr>
        <w:pStyle w:val="SingleTxtG"/>
        <w:tabs>
          <w:tab w:val="clear" w:pos="1701"/>
          <w:tab w:val="clear" w:pos="2268"/>
          <w:tab w:val="clear" w:pos="2835"/>
        </w:tabs>
        <w:ind w:left="2268" w:hanging="1134"/>
      </w:pPr>
      <w:r w:rsidRPr="00831D3D">
        <w:rPr>
          <w:i/>
          <w:iCs/>
        </w:rPr>
        <w:t xml:space="preserve">Paragraph </w:t>
      </w:r>
      <w:r>
        <w:rPr>
          <w:i/>
          <w:iCs/>
        </w:rPr>
        <w:t>5.6.2.4</w:t>
      </w:r>
      <w:r w:rsidRPr="00831D3D">
        <w:rPr>
          <w:i/>
          <w:iCs/>
        </w:rPr>
        <w:t>.,</w:t>
      </w:r>
      <w:r w:rsidRPr="00B66079">
        <w:t xml:space="preserve"> amend to read:</w:t>
      </w:r>
    </w:p>
    <w:p w14:paraId="66888CB9" w14:textId="77777777" w:rsidR="00ED1676" w:rsidRDefault="00ED1676" w:rsidP="00ED1676">
      <w:pPr>
        <w:pStyle w:val="SingleTxtG"/>
        <w:tabs>
          <w:tab w:val="clear" w:pos="1701"/>
          <w:tab w:val="clear" w:pos="2268"/>
          <w:tab w:val="clear" w:pos="2835"/>
        </w:tabs>
        <w:ind w:left="2268" w:hanging="1134"/>
      </w:pPr>
      <w:r>
        <w:t>“5.6.2.4</w:t>
      </w:r>
      <w:r w:rsidRPr="00831D3D">
        <w:rPr>
          <w:rFonts w:hint="eastAsia"/>
        </w:rPr>
        <w:t>.</w:t>
      </w:r>
      <w:r w:rsidRPr="00831D3D">
        <w:rPr>
          <w:rFonts w:hint="eastAsia"/>
        </w:rPr>
        <w:tab/>
      </w:r>
      <w:r>
        <w:t xml:space="preserve">In case a connector is misconnected or disconnected for removable seating positions covered by paragraph 5.1.1., a warning visible to the driver shall be </w:t>
      </w:r>
      <w:r>
        <w:lastRenderedPageBreak/>
        <w:t xml:space="preserve">activated for 30 seconds when the ignition switch or </w:t>
      </w:r>
      <w:r w:rsidRPr="00EE7F4A">
        <w:rPr>
          <w:b/>
        </w:rPr>
        <w:t>vehicle</w:t>
      </w:r>
      <w:r>
        <w:t xml:space="preserve"> master control switch is activated.”</w:t>
      </w:r>
    </w:p>
    <w:p w14:paraId="1F8B926A" w14:textId="77777777" w:rsidR="00ED1676" w:rsidRPr="00B66079" w:rsidRDefault="00ED1676" w:rsidP="00ED1676">
      <w:pPr>
        <w:pStyle w:val="SingleTxtG"/>
        <w:tabs>
          <w:tab w:val="clear" w:pos="1701"/>
          <w:tab w:val="clear" w:pos="2268"/>
          <w:tab w:val="clear" w:pos="2835"/>
        </w:tabs>
        <w:ind w:left="2268" w:hanging="1134"/>
      </w:pPr>
      <w:r w:rsidRPr="00831D3D">
        <w:rPr>
          <w:i/>
          <w:iCs/>
        </w:rPr>
        <w:t xml:space="preserve">Paragraph </w:t>
      </w:r>
      <w:r>
        <w:rPr>
          <w:i/>
          <w:iCs/>
        </w:rPr>
        <w:t>5.6.2.5</w:t>
      </w:r>
      <w:r w:rsidRPr="00831D3D">
        <w:rPr>
          <w:i/>
          <w:iCs/>
        </w:rPr>
        <w:t>.,</w:t>
      </w:r>
      <w:r w:rsidRPr="00B66079">
        <w:t xml:space="preserve"> amend to read:</w:t>
      </w:r>
    </w:p>
    <w:p w14:paraId="487CB3FD" w14:textId="77777777" w:rsidR="00ED1676" w:rsidRDefault="00ED1676" w:rsidP="00ED1676">
      <w:pPr>
        <w:pStyle w:val="SingleTxtG"/>
        <w:tabs>
          <w:tab w:val="clear" w:pos="1701"/>
          <w:tab w:val="clear" w:pos="2268"/>
          <w:tab w:val="clear" w:pos="2835"/>
        </w:tabs>
        <w:ind w:left="2268" w:hanging="1134"/>
      </w:pPr>
      <w:r>
        <w:t>“5</w:t>
      </w:r>
      <w:r w:rsidRPr="00831D3D">
        <w:rPr>
          <w:rFonts w:hint="eastAsia"/>
        </w:rPr>
        <w:t>.</w:t>
      </w:r>
      <w:r>
        <w:t>6</w:t>
      </w:r>
      <w:r w:rsidRPr="00831D3D">
        <w:rPr>
          <w:rFonts w:hint="eastAsia"/>
        </w:rPr>
        <w:t>.</w:t>
      </w:r>
      <w:r>
        <w:t>2</w:t>
      </w:r>
      <w:r w:rsidRPr="00831D3D">
        <w:rPr>
          <w:rFonts w:hint="eastAsia"/>
        </w:rPr>
        <w:t>.</w:t>
      </w:r>
      <w:r>
        <w:t>5</w:t>
      </w:r>
      <w:r w:rsidRPr="00831D3D">
        <w:rPr>
          <w:rFonts w:hint="eastAsia"/>
        </w:rPr>
        <w:t>.</w:t>
      </w:r>
      <w:r w:rsidRPr="00831D3D">
        <w:rPr>
          <w:rFonts w:hint="eastAsia"/>
        </w:rPr>
        <w:tab/>
      </w:r>
      <w:r>
        <w:t xml:space="preserve">When a seat is removable for seating positions covered by paragraph 5.1.2., the visual warning of paragraph 5.4.2. shall indicate at least all rear seating position to allow the driver to identify, while facing forward as seated on the driver seat, any removable seating position in which the connector is misconnected or disconnected, and it shall be activated for 60 seconds when the ignition switch or </w:t>
      </w:r>
      <w:r w:rsidRPr="00284E14">
        <w:rPr>
          <w:b/>
        </w:rPr>
        <w:t>vehicle</w:t>
      </w:r>
      <w:r>
        <w:t xml:space="preserve"> master control switch is activated. For seats, which can be fixed to different designated seating positions within the vehicle (e.g. floor rail mounted), the visual warning shall at least indicate when any rear removable seating position connector is misconnected or disconnected.”</w:t>
      </w:r>
    </w:p>
    <w:p w14:paraId="076E62A7" w14:textId="555F6C9A" w:rsidR="00ED1676" w:rsidRPr="00557F7D" w:rsidRDefault="00557F7D" w:rsidP="00557F7D">
      <w:pPr>
        <w:spacing w:before="240"/>
        <w:jc w:val="center"/>
        <w:rPr>
          <w:u w:val="single"/>
        </w:rPr>
      </w:pPr>
      <w:r>
        <w:rPr>
          <w:u w:val="single"/>
        </w:rPr>
        <w:tab/>
      </w:r>
      <w:r>
        <w:rPr>
          <w:u w:val="single"/>
        </w:rPr>
        <w:tab/>
      </w:r>
      <w:r>
        <w:rPr>
          <w:u w:val="single"/>
        </w:rPr>
        <w:tab/>
      </w:r>
    </w:p>
    <w:sectPr w:rsidR="00ED1676" w:rsidRPr="00557F7D" w:rsidSect="00F205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73E4" w14:textId="77777777" w:rsidR="00531024" w:rsidRDefault="00531024"/>
  </w:endnote>
  <w:endnote w:type="continuationSeparator" w:id="0">
    <w:p w14:paraId="4C0FCB3B" w14:textId="77777777" w:rsidR="00531024" w:rsidRDefault="00531024"/>
  </w:endnote>
  <w:endnote w:type="continuationNotice" w:id="1">
    <w:p w14:paraId="02A62689" w14:textId="77777777" w:rsidR="00531024" w:rsidRDefault="0053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55BF" w14:textId="77777777" w:rsidR="0000514C" w:rsidRDefault="00005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87A0" w14:textId="77777777" w:rsidR="00531024" w:rsidRPr="000B175B" w:rsidRDefault="00531024" w:rsidP="000B175B">
      <w:pPr>
        <w:tabs>
          <w:tab w:val="right" w:pos="2155"/>
        </w:tabs>
        <w:spacing w:after="80"/>
        <w:ind w:left="680"/>
        <w:rPr>
          <w:u w:val="single"/>
        </w:rPr>
      </w:pPr>
      <w:r>
        <w:rPr>
          <w:u w:val="single"/>
        </w:rPr>
        <w:tab/>
      </w:r>
    </w:p>
  </w:footnote>
  <w:footnote w:type="continuationSeparator" w:id="0">
    <w:p w14:paraId="4E61D7C4" w14:textId="77777777" w:rsidR="00531024" w:rsidRPr="00FC68B7" w:rsidRDefault="00531024" w:rsidP="00FC68B7">
      <w:pPr>
        <w:tabs>
          <w:tab w:val="left" w:pos="2155"/>
        </w:tabs>
        <w:spacing w:after="80"/>
        <w:ind w:left="680"/>
        <w:rPr>
          <w:u w:val="single"/>
        </w:rPr>
      </w:pPr>
      <w:r>
        <w:rPr>
          <w:u w:val="single"/>
        </w:rPr>
        <w:tab/>
      </w:r>
    </w:p>
  </w:footnote>
  <w:footnote w:type="continuationNotice" w:id="1">
    <w:p w14:paraId="6C4B6878" w14:textId="77777777" w:rsidR="00531024" w:rsidRDefault="00531024"/>
  </w:footnote>
  <w:footnote w:id="2">
    <w:p w14:paraId="01A4D817" w14:textId="4C63A8B2" w:rsidR="00786DA8" w:rsidRPr="00786DA8" w:rsidRDefault="00786DA8" w:rsidP="0018196C">
      <w:pPr>
        <w:pStyle w:val="FootnoteText"/>
        <w:rPr>
          <w:lang w:val="en-US"/>
        </w:rPr>
      </w:pPr>
      <w:r>
        <w:rPr>
          <w:rStyle w:val="FootnoteReference"/>
        </w:rPr>
        <w:tab/>
      </w:r>
      <w:r w:rsidRPr="00786DA8">
        <w:rPr>
          <w:rStyle w:val="FootnoteReference"/>
          <w:sz w:val="20"/>
          <w:vertAlign w:val="baseline"/>
        </w:rPr>
        <w:t>*</w:t>
      </w:r>
      <w:r>
        <w:rPr>
          <w:rStyle w:val="FootnoteReference"/>
          <w:sz w:val="20"/>
          <w:vertAlign w:val="baseline"/>
        </w:rPr>
        <w:tab/>
      </w:r>
      <w:r w:rsidR="0018196C" w:rsidRPr="0018196C">
        <w:rPr>
          <w:sz w:val="20"/>
        </w:rPr>
        <w:t>Proposal for a 01 series of amendments to UN Regulation</w:t>
      </w:r>
      <w:r w:rsidR="0018196C">
        <w:rPr>
          <w:sz w:val="20"/>
        </w:rPr>
        <w:t xml:space="preserve"> </w:t>
      </w:r>
      <w:r w:rsidR="0018196C" w:rsidRPr="0018196C">
        <w:rPr>
          <w:sz w:val="20"/>
        </w:rPr>
        <w:t>No. 174 (Safety-belt reminders)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E78F" w14:textId="77777777" w:rsidR="0000514C" w:rsidRDefault="00005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230" w14:textId="03536C57" w:rsidR="006761E0" w:rsidRPr="006761E0" w:rsidRDefault="006761E0" w:rsidP="006761E0">
    <w:pPr>
      <w:pStyle w:val="Header"/>
      <w:tabs>
        <w:tab w:val="right" w:pos="9639"/>
      </w:tabs>
      <w:rPr>
        <w:b w:val="0"/>
        <w:bCs/>
        <w:lang w:val="en-US"/>
      </w:rPr>
    </w:pPr>
    <w:r w:rsidRPr="006761E0">
      <w:rPr>
        <w:b w:val="0"/>
        <w:bCs/>
        <w:lang w:val="en-US"/>
      </w:rPr>
      <w:t xml:space="preserve">Submitted by the </w:t>
    </w:r>
    <w:r w:rsidR="0000514C">
      <w:rPr>
        <w:b w:val="0"/>
        <w:bCs/>
        <w:lang w:val="en-US"/>
      </w:rPr>
      <w:t>Secretariat</w:t>
    </w:r>
    <w:r w:rsidRPr="006761E0">
      <w:rPr>
        <w:b w:val="0"/>
        <w:bCs/>
        <w:lang w:val="en-US"/>
      </w:rPr>
      <w:tab/>
    </w:r>
    <w:r w:rsidRPr="00557F7D">
      <w:rPr>
        <w:b w:val="0"/>
        <w:bCs/>
        <w:u w:val="single"/>
        <w:lang w:val="en-US"/>
      </w:rPr>
      <w:t>Informal document</w:t>
    </w:r>
    <w:r w:rsidRPr="006761E0">
      <w:rPr>
        <w:b w:val="0"/>
        <w:bCs/>
        <w:lang w:val="en-US"/>
      </w:rPr>
      <w:t xml:space="preserve"> </w:t>
    </w:r>
    <w:r w:rsidRPr="00D36CA2">
      <w:rPr>
        <w:lang w:val="en-US"/>
      </w:rPr>
      <w:t>WP.29-196-06</w:t>
    </w:r>
    <w:r w:rsidR="0000514C">
      <w:rPr>
        <w:lang w:val="en-US"/>
      </w:rPr>
      <w:t>/Rev.1</w:t>
    </w:r>
  </w:p>
  <w:p w14:paraId="007CB01E" w14:textId="77777777" w:rsidR="006761E0" w:rsidRPr="006761E0" w:rsidRDefault="006761E0" w:rsidP="006761E0">
    <w:pPr>
      <w:pStyle w:val="Header"/>
      <w:tabs>
        <w:tab w:val="right" w:pos="9639"/>
      </w:tabs>
      <w:ind w:firstLine="7088"/>
      <w:rPr>
        <w:b w:val="0"/>
        <w:bCs/>
        <w:lang w:val="en-US"/>
      </w:rPr>
    </w:pPr>
    <w:r w:rsidRPr="006761E0">
      <w:rPr>
        <w:b w:val="0"/>
        <w:bCs/>
        <w:lang w:val="en-US"/>
      </w:rPr>
      <w:t>(196th WP.29, 24 to 27 June 2025</w:t>
    </w:r>
  </w:p>
  <w:p w14:paraId="59FC1F7B" w14:textId="7B40B9B0" w:rsidR="00EC545B" w:rsidRDefault="006761E0" w:rsidP="006761E0">
    <w:pPr>
      <w:pStyle w:val="Header"/>
      <w:tabs>
        <w:tab w:val="right" w:pos="9639"/>
      </w:tabs>
      <w:ind w:firstLine="7088"/>
      <w:rPr>
        <w:b w:val="0"/>
        <w:bCs/>
        <w:lang w:val="en-US"/>
      </w:rPr>
    </w:pPr>
    <w:r w:rsidRPr="006761E0">
      <w:rPr>
        <w:b w:val="0"/>
        <w:bCs/>
        <w:lang w:val="en-US"/>
      </w:rPr>
      <w:t xml:space="preserve">Agenda item </w:t>
    </w:r>
    <w:r w:rsidR="007178AC">
      <w:rPr>
        <w:b w:val="0"/>
        <w:bCs/>
        <w:lang w:val="en-US"/>
      </w:rPr>
      <w:t>4.6.3</w:t>
    </w:r>
    <w:r w:rsidRPr="006761E0">
      <w:rPr>
        <w:b w:val="0"/>
        <w:bCs/>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F13284"/>
    <w:multiLevelType w:val="hybridMultilevel"/>
    <w:tmpl w:val="52F02832"/>
    <w:lvl w:ilvl="0" w:tplc="0C0A0019">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37156"/>
    <w:multiLevelType w:val="hybridMultilevel"/>
    <w:tmpl w:val="FA0EB062"/>
    <w:lvl w:ilvl="0" w:tplc="3ADA31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8651A7"/>
    <w:multiLevelType w:val="hybridMultilevel"/>
    <w:tmpl w:val="BD3C357E"/>
    <w:lvl w:ilvl="0" w:tplc="DE449BAC">
      <w:start w:val="1"/>
      <w:numFmt w:val="decimal"/>
      <w:lvlText w:val="%1."/>
      <w:lvlJc w:val="left"/>
      <w:pPr>
        <w:ind w:left="1689" w:hanging="55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15:restartNumberingAfterBreak="0">
    <w:nsid w:val="29DD4E4F"/>
    <w:multiLevelType w:val="multilevel"/>
    <w:tmpl w:val="026E901E"/>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688" w:hanging="11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abstractNum w:abstractNumId="19"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0B41D6"/>
    <w:multiLevelType w:val="hybridMultilevel"/>
    <w:tmpl w:val="FB824CC0"/>
    <w:lvl w:ilvl="0" w:tplc="CB8C7510">
      <w:numFmt w:val="bullet"/>
      <w:lvlText w:val="-"/>
      <w:lvlJc w:val="left"/>
      <w:pPr>
        <w:ind w:left="2619" w:hanging="360"/>
      </w:pPr>
      <w:rPr>
        <w:rFonts w:ascii="Aptos" w:eastAsiaTheme="minorHAnsi" w:hAnsi="Aptos" w:cstheme="minorBidi" w:hint="default"/>
      </w:rPr>
    </w:lvl>
    <w:lvl w:ilvl="1" w:tplc="04130003" w:tentative="1">
      <w:start w:val="1"/>
      <w:numFmt w:val="bullet"/>
      <w:lvlText w:val="o"/>
      <w:lvlJc w:val="left"/>
      <w:pPr>
        <w:ind w:left="3339" w:hanging="360"/>
      </w:pPr>
      <w:rPr>
        <w:rFonts w:ascii="Courier New" w:hAnsi="Courier New" w:cs="Courier New" w:hint="default"/>
      </w:rPr>
    </w:lvl>
    <w:lvl w:ilvl="2" w:tplc="04130005" w:tentative="1">
      <w:start w:val="1"/>
      <w:numFmt w:val="bullet"/>
      <w:lvlText w:val=""/>
      <w:lvlJc w:val="left"/>
      <w:pPr>
        <w:ind w:left="4059" w:hanging="360"/>
      </w:pPr>
      <w:rPr>
        <w:rFonts w:ascii="Wingdings" w:hAnsi="Wingdings" w:hint="default"/>
      </w:rPr>
    </w:lvl>
    <w:lvl w:ilvl="3" w:tplc="04130001" w:tentative="1">
      <w:start w:val="1"/>
      <w:numFmt w:val="bullet"/>
      <w:lvlText w:val=""/>
      <w:lvlJc w:val="left"/>
      <w:pPr>
        <w:ind w:left="4779" w:hanging="360"/>
      </w:pPr>
      <w:rPr>
        <w:rFonts w:ascii="Symbol" w:hAnsi="Symbol" w:hint="default"/>
      </w:rPr>
    </w:lvl>
    <w:lvl w:ilvl="4" w:tplc="04130003" w:tentative="1">
      <w:start w:val="1"/>
      <w:numFmt w:val="bullet"/>
      <w:lvlText w:val="o"/>
      <w:lvlJc w:val="left"/>
      <w:pPr>
        <w:ind w:left="5499" w:hanging="360"/>
      </w:pPr>
      <w:rPr>
        <w:rFonts w:ascii="Courier New" w:hAnsi="Courier New" w:cs="Courier New" w:hint="default"/>
      </w:rPr>
    </w:lvl>
    <w:lvl w:ilvl="5" w:tplc="04130005" w:tentative="1">
      <w:start w:val="1"/>
      <w:numFmt w:val="bullet"/>
      <w:lvlText w:val=""/>
      <w:lvlJc w:val="left"/>
      <w:pPr>
        <w:ind w:left="6219" w:hanging="360"/>
      </w:pPr>
      <w:rPr>
        <w:rFonts w:ascii="Wingdings" w:hAnsi="Wingdings" w:hint="default"/>
      </w:rPr>
    </w:lvl>
    <w:lvl w:ilvl="6" w:tplc="04130001" w:tentative="1">
      <w:start w:val="1"/>
      <w:numFmt w:val="bullet"/>
      <w:lvlText w:val=""/>
      <w:lvlJc w:val="left"/>
      <w:pPr>
        <w:ind w:left="6939" w:hanging="360"/>
      </w:pPr>
      <w:rPr>
        <w:rFonts w:ascii="Symbol" w:hAnsi="Symbol" w:hint="default"/>
      </w:rPr>
    </w:lvl>
    <w:lvl w:ilvl="7" w:tplc="04130003" w:tentative="1">
      <w:start w:val="1"/>
      <w:numFmt w:val="bullet"/>
      <w:lvlText w:val="o"/>
      <w:lvlJc w:val="left"/>
      <w:pPr>
        <w:ind w:left="7659" w:hanging="360"/>
      </w:pPr>
      <w:rPr>
        <w:rFonts w:ascii="Courier New" w:hAnsi="Courier New" w:cs="Courier New" w:hint="default"/>
      </w:rPr>
    </w:lvl>
    <w:lvl w:ilvl="8" w:tplc="04130005" w:tentative="1">
      <w:start w:val="1"/>
      <w:numFmt w:val="bullet"/>
      <w:lvlText w:val=""/>
      <w:lvlJc w:val="left"/>
      <w:pPr>
        <w:ind w:left="8379"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D075CE"/>
    <w:multiLevelType w:val="hybridMultilevel"/>
    <w:tmpl w:val="A4D86578"/>
    <w:lvl w:ilvl="0" w:tplc="A3BE37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5"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A62B7"/>
    <w:multiLevelType w:val="multilevel"/>
    <w:tmpl w:val="B6D45C0E"/>
    <w:lvl w:ilvl="0">
      <w:numFmt w:val="decimal"/>
      <w:lvlText w:val="%1."/>
      <w:lvlJc w:val="left"/>
      <w:pPr>
        <w:ind w:left="720" w:hanging="360"/>
      </w:pPr>
      <w:rPr>
        <w:rFonts w:hint="default"/>
      </w:rPr>
    </w:lvl>
    <w:lvl w:ilvl="1">
      <w:start w:val="1"/>
      <w:numFmt w:val="decimal"/>
      <w:isLgl/>
      <w:lvlText w:val="%1.%2."/>
      <w:lvlJc w:val="left"/>
      <w:pPr>
        <w:ind w:left="2259" w:hanging="1125"/>
      </w:pPr>
      <w:rPr>
        <w:rFonts w:hint="default"/>
      </w:rPr>
    </w:lvl>
    <w:lvl w:ilvl="2">
      <w:start w:val="1"/>
      <w:numFmt w:val="decimal"/>
      <w:isLgl/>
      <w:lvlText w:val="%1.%2.%3."/>
      <w:lvlJc w:val="left"/>
      <w:pPr>
        <w:ind w:left="3033" w:hanging="1125"/>
      </w:pPr>
      <w:rPr>
        <w:rFonts w:hint="default"/>
      </w:rPr>
    </w:lvl>
    <w:lvl w:ilvl="3">
      <w:start w:val="1"/>
      <w:numFmt w:val="decimal"/>
      <w:isLgl/>
      <w:lvlText w:val="%1.%2.%3.%4."/>
      <w:lvlJc w:val="left"/>
      <w:pPr>
        <w:ind w:left="3807" w:hanging="1125"/>
      </w:pPr>
      <w:rPr>
        <w:rFonts w:hint="default"/>
      </w:rPr>
    </w:lvl>
    <w:lvl w:ilvl="4">
      <w:start w:val="1"/>
      <w:numFmt w:val="decimal"/>
      <w:isLgl/>
      <w:lvlText w:val="%1.%2.%3.%4.%5."/>
      <w:lvlJc w:val="left"/>
      <w:pPr>
        <w:ind w:left="4581" w:hanging="1125"/>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8" w15:restartNumberingAfterBreak="0">
    <w:nsid w:val="71A21577"/>
    <w:multiLevelType w:val="multilevel"/>
    <w:tmpl w:val="531A6C9A"/>
    <w:lvl w:ilvl="0">
      <w:start w:val="1"/>
      <w:numFmt w:val="decimal"/>
      <w:lvlText w:val="%1."/>
      <w:lvlJc w:val="left"/>
      <w:pPr>
        <w:ind w:left="206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AF314E"/>
    <w:multiLevelType w:val="multilevel"/>
    <w:tmpl w:val="5610180C"/>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lvlText w:val="%7."/>
      <w:lvlJc w:val="left"/>
      <w:pPr>
        <w:ind w:left="1908" w:hanging="36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21"/>
  </w:num>
  <w:num w:numId="12" w16cid:durableId="1415778789">
    <w:abstractNumId w:val="15"/>
  </w:num>
  <w:num w:numId="13" w16cid:durableId="112525587">
    <w:abstractNumId w:val="10"/>
  </w:num>
  <w:num w:numId="14" w16cid:durableId="597950943">
    <w:abstractNumId w:val="12"/>
  </w:num>
  <w:num w:numId="15" w16cid:durableId="1924677541">
    <w:abstractNumId w:val="22"/>
  </w:num>
  <w:num w:numId="16" w16cid:durableId="764957565">
    <w:abstractNumId w:val="14"/>
  </w:num>
  <w:num w:numId="17" w16cid:durableId="490950738">
    <w:abstractNumId w:val="26"/>
  </w:num>
  <w:num w:numId="18" w16cid:durableId="1995598346">
    <w:abstractNumId w:val="29"/>
  </w:num>
  <w:num w:numId="19" w16cid:durableId="1552426132">
    <w:abstractNumId w:val="11"/>
  </w:num>
  <w:num w:numId="20" w16cid:durableId="80416414">
    <w:abstractNumId w:val="19"/>
  </w:num>
  <w:num w:numId="21" w16cid:durableId="450363951">
    <w:abstractNumId w:val="25"/>
  </w:num>
  <w:num w:numId="22" w16cid:durableId="600837926">
    <w:abstractNumId w:val="28"/>
  </w:num>
  <w:num w:numId="23" w16cid:durableId="1461846863">
    <w:abstractNumId w:val="13"/>
  </w:num>
  <w:num w:numId="24" w16cid:durableId="405958453">
    <w:abstractNumId w:val="27"/>
  </w:num>
  <w:num w:numId="25" w16cid:durableId="2047486837">
    <w:abstractNumId w:val="20"/>
  </w:num>
  <w:num w:numId="26" w16cid:durableId="1942448549">
    <w:abstractNumId w:val="16"/>
  </w:num>
  <w:num w:numId="27" w16cid:durableId="464547541">
    <w:abstractNumId w:val="18"/>
  </w:num>
  <w:num w:numId="28" w16cid:durableId="1024593240">
    <w:abstractNumId w:val="30"/>
  </w:num>
  <w:num w:numId="29" w16cid:durableId="993535033">
    <w:abstractNumId w:val="23"/>
  </w:num>
  <w:num w:numId="30" w16cid:durableId="2135175645">
    <w:abstractNumId w:val="24"/>
  </w:num>
  <w:num w:numId="31" w16cid:durableId="12008237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14C"/>
    <w:rsid w:val="00005DF3"/>
    <w:rsid w:val="00006790"/>
    <w:rsid w:val="000216CC"/>
    <w:rsid w:val="000248EE"/>
    <w:rsid w:val="00027624"/>
    <w:rsid w:val="00034CA2"/>
    <w:rsid w:val="00050F6B"/>
    <w:rsid w:val="00061E89"/>
    <w:rsid w:val="00066E6B"/>
    <w:rsid w:val="000678CD"/>
    <w:rsid w:val="00070708"/>
    <w:rsid w:val="0007295E"/>
    <w:rsid w:val="00072C8C"/>
    <w:rsid w:val="00081CE0"/>
    <w:rsid w:val="00084D30"/>
    <w:rsid w:val="00090320"/>
    <w:rsid w:val="00092F5D"/>
    <w:rsid w:val="000931C0"/>
    <w:rsid w:val="000953A0"/>
    <w:rsid w:val="00097003"/>
    <w:rsid w:val="0009775F"/>
    <w:rsid w:val="000A2E09"/>
    <w:rsid w:val="000B0BAB"/>
    <w:rsid w:val="000B175B"/>
    <w:rsid w:val="000B3A0F"/>
    <w:rsid w:val="000B55C7"/>
    <w:rsid w:val="000C1C27"/>
    <w:rsid w:val="000C740C"/>
    <w:rsid w:val="000D4DD3"/>
    <w:rsid w:val="000E0415"/>
    <w:rsid w:val="000E5AB1"/>
    <w:rsid w:val="000F2AB5"/>
    <w:rsid w:val="000F61F3"/>
    <w:rsid w:val="000F7715"/>
    <w:rsid w:val="0010176D"/>
    <w:rsid w:val="001140B2"/>
    <w:rsid w:val="00117807"/>
    <w:rsid w:val="00120A34"/>
    <w:rsid w:val="00123348"/>
    <w:rsid w:val="0012745C"/>
    <w:rsid w:val="00137704"/>
    <w:rsid w:val="00141936"/>
    <w:rsid w:val="001463BB"/>
    <w:rsid w:val="0015490D"/>
    <w:rsid w:val="00156B99"/>
    <w:rsid w:val="001613A5"/>
    <w:rsid w:val="00162FDB"/>
    <w:rsid w:val="00166124"/>
    <w:rsid w:val="00172239"/>
    <w:rsid w:val="00172DD4"/>
    <w:rsid w:val="0018196C"/>
    <w:rsid w:val="00183B2B"/>
    <w:rsid w:val="00184DDA"/>
    <w:rsid w:val="001900CD"/>
    <w:rsid w:val="00197BC5"/>
    <w:rsid w:val="001A0452"/>
    <w:rsid w:val="001A4134"/>
    <w:rsid w:val="001A5040"/>
    <w:rsid w:val="001B4B04"/>
    <w:rsid w:val="001B5875"/>
    <w:rsid w:val="001C3E64"/>
    <w:rsid w:val="001C4B9C"/>
    <w:rsid w:val="001C6663"/>
    <w:rsid w:val="001C7895"/>
    <w:rsid w:val="001D07F5"/>
    <w:rsid w:val="001D26DF"/>
    <w:rsid w:val="001F1599"/>
    <w:rsid w:val="001F19C4"/>
    <w:rsid w:val="001F33F8"/>
    <w:rsid w:val="002012B6"/>
    <w:rsid w:val="002026E1"/>
    <w:rsid w:val="00202781"/>
    <w:rsid w:val="002043F0"/>
    <w:rsid w:val="00211E0B"/>
    <w:rsid w:val="0021321E"/>
    <w:rsid w:val="00213AB7"/>
    <w:rsid w:val="00216709"/>
    <w:rsid w:val="002202AC"/>
    <w:rsid w:val="002233E6"/>
    <w:rsid w:val="00231DC6"/>
    <w:rsid w:val="00232575"/>
    <w:rsid w:val="00237732"/>
    <w:rsid w:val="00240C29"/>
    <w:rsid w:val="00247258"/>
    <w:rsid w:val="002516C7"/>
    <w:rsid w:val="00257CAC"/>
    <w:rsid w:val="00260E53"/>
    <w:rsid w:val="0027224D"/>
    <w:rsid w:val="0027237A"/>
    <w:rsid w:val="0027673C"/>
    <w:rsid w:val="0029447A"/>
    <w:rsid w:val="00294A44"/>
    <w:rsid w:val="0029719E"/>
    <w:rsid w:val="002974E9"/>
    <w:rsid w:val="002A306B"/>
    <w:rsid w:val="002A3384"/>
    <w:rsid w:val="002A605E"/>
    <w:rsid w:val="002A7F94"/>
    <w:rsid w:val="002B109A"/>
    <w:rsid w:val="002C0990"/>
    <w:rsid w:val="002C12EA"/>
    <w:rsid w:val="002C1D11"/>
    <w:rsid w:val="002C4366"/>
    <w:rsid w:val="002C4397"/>
    <w:rsid w:val="002C6D45"/>
    <w:rsid w:val="002D352D"/>
    <w:rsid w:val="002D6E53"/>
    <w:rsid w:val="002E11CB"/>
    <w:rsid w:val="002E2078"/>
    <w:rsid w:val="002E3AAE"/>
    <w:rsid w:val="002E7D1D"/>
    <w:rsid w:val="002F046D"/>
    <w:rsid w:val="002F22F5"/>
    <w:rsid w:val="002F28A3"/>
    <w:rsid w:val="002F3023"/>
    <w:rsid w:val="002F4AC6"/>
    <w:rsid w:val="00301764"/>
    <w:rsid w:val="00304919"/>
    <w:rsid w:val="00306236"/>
    <w:rsid w:val="003229D8"/>
    <w:rsid w:val="0032484E"/>
    <w:rsid w:val="00327B11"/>
    <w:rsid w:val="00336C97"/>
    <w:rsid w:val="00337F88"/>
    <w:rsid w:val="00342432"/>
    <w:rsid w:val="0034747C"/>
    <w:rsid w:val="0035223F"/>
    <w:rsid w:val="00352D4B"/>
    <w:rsid w:val="0035638C"/>
    <w:rsid w:val="0035760E"/>
    <w:rsid w:val="00357BBB"/>
    <w:rsid w:val="00360117"/>
    <w:rsid w:val="00365B8A"/>
    <w:rsid w:val="00372E83"/>
    <w:rsid w:val="00375316"/>
    <w:rsid w:val="00376396"/>
    <w:rsid w:val="00385AB6"/>
    <w:rsid w:val="003902BB"/>
    <w:rsid w:val="00393E4B"/>
    <w:rsid w:val="003A3AFA"/>
    <w:rsid w:val="003A46BB"/>
    <w:rsid w:val="003A4EC7"/>
    <w:rsid w:val="003A7295"/>
    <w:rsid w:val="003B1F60"/>
    <w:rsid w:val="003B2743"/>
    <w:rsid w:val="003B3091"/>
    <w:rsid w:val="003B5757"/>
    <w:rsid w:val="003B7C8C"/>
    <w:rsid w:val="003C2CC4"/>
    <w:rsid w:val="003C3513"/>
    <w:rsid w:val="003D1B2D"/>
    <w:rsid w:val="003D4B23"/>
    <w:rsid w:val="003E278A"/>
    <w:rsid w:val="003F0F1E"/>
    <w:rsid w:val="003F4B89"/>
    <w:rsid w:val="00401FD9"/>
    <w:rsid w:val="004112A2"/>
    <w:rsid w:val="00413520"/>
    <w:rsid w:val="004138EC"/>
    <w:rsid w:val="00423025"/>
    <w:rsid w:val="0042586A"/>
    <w:rsid w:val="004325CB"/>
    <w:rsid w:val="00434097"/>
    <w:rsid w:val="00440A07"/>
    <w:rsid w:val="004528F3"/>
    <w:rsid w:val="00455A06"/>
    <w:rsid w:val="0045663B"/>
    <w:rsid w:val="00461435"/>
    <w:rsid w:val="00462880"/>
    <w:rsid w:val="0046310A"/>
    <w:rsid w:val="00464AC3"/>
    <w:rsid w:val="00466044"/>
    <w:rsid w:val="00473BCE"/>
    <w:rsid w:val="00476F24"/>
    <w:rsid w:val="00490FE0"/>
    <w:rsid w:val="00492189"/>
    <w:rsid w:val="004968D3"/>
    <w:rsid w:val="004A1F3B"/>
    <w:rsid w:val="004A5D33"/>
    <w:rsid w:val="004A6C8D"/>
    <w:rsid w:val="004C0E79"/>
    <w:rsid w:val="004C26EE"/>
    <w:rsid w:val="004C4E0F"/>
    <w:rsid w:val="004C55B0"/>
    <w:rsid w:val="004D1DDD"/>
    <w:rsid w:val="004D5410"/>
    <w:rsid w:val="004E3AA6"/>
    <w:rsid w:val="004E72DC"/>
    <w:rsid w:val="004F0ED2"/>
    <w:rsid w:val="004F1519"/>
    <w:rsid w:val="004F62DF"/>
    <w:rsid w:val="004F6BA0"/>
    <w:rsid w:val="00503BEA"/>
    <w:rsid w:val="00516EE4"/>
    <w:rsid w:val="0052125D"/>
    <w:rsid w:val="00521FF9"/>
    <w:rsid w:val="00527712"/>
    <w:rsid w:val="00531024"/>
    <w:rsid w:val="00531173"/>
    <w:rsid w:val="00533616"/>
    <w:rsid w:val="00535ABA"/>
    <w:rsid w:val="00535FC6"/>
    <w:rsid w:val="0053768B"/>
    <w:rsid w:val="00537E94"/>
    <w:rsid w:val="00541294"/>
    <w:rsid w:val="005420F2"/>
    <w:rsid w:val="0054285C"/>
    <w:rsid w:val="00547182"/>
    <w:rsid w:val="00557F7D"/>
    <w:rsid w:val="00562274"/>
    <w:rsid w:val="0057276E"/>
    <w:rsid w:val="00573AC9"/>
    <w:rsid w:val="005760CB"/>
    <w:rsid w:val="00576CA4"/>
    <w:rsid w:val="00584173"/>
    <w:rsid w:val="00595309"/>
    <w:rsid w:val="00595520"/>
    <w:rsid w:val="005A44B9"/>
    <w:rsid w:val="005A61EF"/>
    <w:rsid w:val="005A7EDC"/>
    <w:rsid w:val="005B0BC0"/>
    <w:rsid w:val="005B1BA0"/>
    <w:rsid w:val="005B3DB3"/>
    <w:rsid w:val="005C0268"/>
    <w:rsid w:val="005C0CDC"/>
    <w:rsid w:val="005C47EC"/>
    <w:rsid w:val="005C685F"/>
    <w:rsid w:val="005D089B"/>
    <w:rsid w:val="005D15CA"/>
    <w:rsid w:val="005D6955"/>
    <w:rsid w:val="005E4A4F"/>
    <w:rsid w:val="005F08DF"/>
    <w:rsid w:val="005F0B24"/>
    <w:rsid w:val="005F3066"/>
    <w:rsid w:val="005F3E61"/>
    <w:rsid w:val="005F58C0"/>
    <w:rsid w:val="005F5C2C"/>
    <w:rsid w:val="00600A51"/>
    <w:rsid w:val="00600BF0"/>
    <w:rsid w:val="00604DDD"/>
    <w:rsid w:val="006107D6"/>
    <w:rsid w:val="006115CC"/>
    <w:rsid w:val="00611FC4"/>
    <w:rsid w:val="006176FB"/>
    <w:rsid w:val="006178CE"/>
    <w:rsid w:val="00630FCB"/>
    <w:rsid w:val="006317CB"/>
    <w:rsid w:val="00632BB4"/>
    <w:rsid w:val="00633105"/>
    <w:rsid w:val="006347E5"/>
    <w:rsid w:val="00634C64"/>
    <w:rsid w:val="00637A54"/>
    <w:rsid w:val="006405A1"/>
    <w:rsid w:val="00640B26"/>
    <w:rsid w:val="00644DE2"/>
    <w:rsid w:val="00654BBC"/>
    <w:rsid w:val="0065766B"/>
    <w:rsid w:val="00657764"/>
    <w:rsid w:val="006665F8"/>
    <w:rsid w:val="00670237"/>
    <w:rsid w:val="00672FF3"/>
    <w:rsid w:val="006738D9"/>
    <w:rsid w:val="006761E0"/>
    <w:rsid w:val="006770B2"/>
    <w:rsid w:val="00681AC3"/>
    <w:rsid w:val="00683E55"/>
    <w:rsid w:val="00684D27"/>
    <w:rsid w:val="00686A48"/>
    <w:rsid w:val="0068763C"/>
    <w:rsid w:val="00691D35"/>
    <w:rsid w:val="00692077"/>
    <w:rsid w:val="00692D25"/>
    <w:rsid w:val="006940E1"/>
    <w:rsid w:val="006954B1"/>
    <w:rsid w:val="00696C10"/>
    <w:rsid w:val="006A271D"/>
    <w:rsid w:val="006A3C72"/>
    <w:rsid w:val="006A7392"/>
    <w:rsid w:val="006A7770"/>
    <w:rsid w:val="006B03A1"/>
    <w:rsid w:val="006B67D9"/>
    <w:rsid w:val="006B727E"/>
    <w:rsid w:val="006C23D5"/>
    <w:rsid w:val="006C5535"/>
    <w:rsid w:val="006D0589"/>
    <w:rsid w:val="006D2D98"/>
    <w:rsid w:val="006E564B"/>
    <w:rsid w:val="006E64C6"/>
    <w:rsid w:val="006E7154"/>
    <w:rsid w:val="007003CD"/>
    <w:rsid w:val="0070172D"/>
    <w:rsid w:val="00702646"/>
    <w:rsid w:val="0070701E"/>
    <w:rsid w:val="007146AC"/>
    <w:rsid w:val="007178AC"/>
    <w:rsid w:val="0072632A"/>
    <w:rsid w:val="007358E8"/>
    <w:rsid w:val="00736ECE"/>
    <w:rsid w:val="00741637"/>
    <w:rsid w:val="0074533B"/>
    <w:rsid w:val="00756959"/>
    <w:rsid w:val="00757173"/>
    <w:rsid w:val="00760DE6"/>
    <w:rsid w:val="00762438"/>
    <w:rsid w:val="007631AC"/>
    <w:rsid w:val="007643BC"/>
    <w:rsid w:val="00765C0F"/>
    <w:rsid w:val="0077422D"/>
    <w:rsid w:val="00774B4F"/>
    <w:rsid w:val="00780C68"/>
    <w:rsid w:val="00786DA8"/>
    <w:rsid w:val="00793077"/>
    <w:rsid w:val="007959FE"/>
    <w:rsid w:val="007976C0"/>
    <w:rsid w:val="007A049E"/>
    <w:rsid w:val="007A0CF1"/>
    <w:rsid w:val="007A2382"/>
    <w:rsid w:val="007B646C"/>
    <w:rsid w:val="007B6BA5"/>
    <w:rsid w:val="007C1E8B"/>
    <w:rsid w:val="007C2155"/>
    <w:rsid w:val="007C23E4"/>
    <w:rsid w:val="007C3390"/>
    <w:rsid w:val="007C42D8"/>
    <w:rsid w:val="007C4F4B"/>
    <w:rsid w:val="007C6F8D"/>
    <w:rsid w:val="007D01D7"/>
    <w:rsid w:val="007D5A51"/>
    <w:rsid w:val="007D6F65"/>
    <w:rsid w:val="007D7362"/>
    <w:rsid w:val="007F5CE2"/>
    <w:rsid w:val="007F6611"/>
    <w:rsid w:val="00800855"/>
    <w:rsid w:val="00800E7D"/>
    <w:rsid w:val="0080624A"/>
    <w:rsid w:val="00807123"/>
    <w:rsid w:val="00810255"/>
    <w:rsid w:val="00810BAC"/>
    <w:rsid w:val="00814C29"/>
    <w:rsid w:val="008175E9"/>
    <w:rsid w:val="0082294F"/>
    <w:rsid w:val="008242D7"/>
    <w:rsid w:val="0082577B"/>
    <w:rsid w:val="00825CB5"/>
    <w:rsid w:val="00831D3D"/>
    <w:rsid w:val="00833AAA"/>
    <w:rsid w:val="00835D52"/>
    <w:rsid w:val="00840217"/>
    <w:rsid w:val="00842608"/>
    <w:rsid w:val="0084435F"/>
    <w:rsid w:val="0084677E"/>
    <w:rsid w:val="0085398D"/>
    <w:rsid w:val="008638B7"/>
    <w:rsid w:val="00866893"/>
    <w:rsid w:val="00866F02"/>
    <w:rsid w:val="00867B1E"/>
    <w:rsid w:val="00867D18"/>
    <w:rsid w:val="008702BA"/>
    <w:rsid w:val="00871F9A"/>
    <w:rsid w:val="00871FD5"/>
    <w:rsid w:val="00874153"/>
    <w:rsid w:val="0088172E"/>
    <w:rsid w:val="00881EFA"/>
    <w:rsid w:val="0088436A"/>
    <w:rsid w:val="008879CB"/>
    <w:rsid w:val="00895B92"/>
    <w:rsid w:val="008979B1"/>
    <w:rsid w:val="008A174A"/>
    <w:rsid w:val="008A5F8E"/>
    <w:rsid w:val="008A67D9"/>
    <w:rsid w:val="008A6B25"/>
    <w:rsid w:val="008A6C4F"/>
    <w:rsid w:val="008B389E"/>
    <w:rsid w:val="008B5440"/>
    <w:rsid w:val="008B7890"/>
    <w:rsid w:val="008C025D"/>
    <w:rsid w:val="008D045E"/>
    <w:rsid w:val="008D21F5"/>
    <w:rsid w:val="008D3F25"/>
    <w:rsid w:val="008D4D82"/>
    <w:rsid w:val="008D5DFB"/>
    <w:rsid w:val="008E0E46"/>
    <w:rsid w:val="008E1EDD"/>
    <w:rsid w:val="008E2000"/>
    <w:rsid w:val="008E7116"/>
    <w:rsid w:val="008E7AB3"/>
    <w:rsid w:val="008F143B"/>
    <w:rsid w:val="008F3882"/>
    <w:rsid w:val="008F4B7C"/>
    <w:rsid w:val="00902DD6"/>
    <w:rsid w:val="0090426C"/>
    <w:rsid w:val="00911C8B"/>
    <w:rsid w:val="00917FFB"/>
    <w:rsid w:val="00921BD2"/>
    <w:rsid w:val="009251B2"/>
    <w:rsid w:val="0092556A"/>
    <w:rsid w:val="00926E47"/>
    <w:rsid w:val="0093075E"/>
    <w:rsid w:val="00931348"/>
    <w:rsid w:val="009334DB"/>
    <w:rsid w:val="00937CE6"/>
    <w:rsid w:val="00940A55"/>
    <w:rsid w:val="009428C3"/>
    <w:rsid w:val="00947162"/>
    <w:rsid w:val="0095610E"/>
    <w:rsid w:val="009610D0"/>
    <w:rsid w:val="00962870"/>
    <w:rsid w:val="0096375C"/>
    <w:rsid w:val="009662E6"/>
    <w:rsid w:val="0096756F"/>
    <w:rsid w:val="0097095E"/>
    <w:rsid w:val="00981AD7"/>
    <w:rsid w:val="009821D7"/>
    <w:rsid w:val="00983994"/>
    <w:rsid w:val="0098592B"/>
    <w:rsid w:val="00985FC4"/>
    <w:rsid w:val="00990766"/>
    <w:rsid w:val="00991261"/>
    <w:rsid w:val="009964C4"/>
    <w:rsid w:val="009A0BE1"/>
    <w:rsid w:val="009A7B81"/>
    <w:rsid w:val="009B011B"/>
    <w:rsid w:val="009B08B9"/>
    <w:rsid w:val="009B7EB7"/>
    <w:rsid w:val="009C07B7"/>
    <w:rsid w:val="009C0E65"/>
    <w:rsid w:val="009C767D"/>
    <w:rsid w:val="009D01C0"/>
    <w:rsid w:val="009D19F9"/>
    <w:rsid w:val="009D6744"/>
    <w:rsid w:val="009D6A08"/>
    <w:rsid w:val="009D6B01"/>
    <w:rsid w:val="009E0A16"/>
    <w:rsid w:val="009E65AE"/>
    <w:rsid w:val="009E6CB7"/>
    <w:rsid w:val="009E7970"/>
    <w:rsid w:val="009F07A8"/>
    <w:rsid w:val="009F1396"/>
    <w:rsid w:val="009F2EAC"/>
    <w:rsid w:val="009F57E3"/>
    <w:rsid w:val="009F714B"/>
    <w:rsid w:val="00A0020C"/>
    <w:rsid w:val="00A01846"/>
    <w:rsid w:val="00A0184C"/>
    <w:rsid w:val="00A01BA5"/>
    <w:rsid w:val="00A077A2"/>
    <w:rsid w:val="00A10F4F"/>
    <w:rsid w:val="00A11067"/>
    <w:rsid w:val="00A1704A"/>
    <w:rsid w:val="00A23E00"/>
    <w:rsid w:val="00A343DF"/>
    <w:rsid w:val="00A36AC2"/>
    <w:rsid w:val="00A425EB"/>
    <w:rsid w:val="00A46BC2"/>
    <w:rsid w:val="00A50EA4"/>
    <w:rsid w:val="00A573D8"/>
    <w:rsid w:val="00A578A1"/>
    <w:rsid w:val="00A578A5"/>
    <w:rsid w:val="00A60979"/>
    <w:rsid w:val="00A6195F"/>
    <w:rsid w:val="00A64CE6"/>
    <w:rsid w:val="00A679E6"/>
    <w:rsid w:val="00A72F22"/>
    <w:rsid w:val="00A733BC"/>
    <w:rsid w:val="00A748A6"/>
    <w:rsid w:val="00A76A69"/>
    <w:rsid w:val="00A77E47"/>
    <w:rsid w:val="00A834EF"/>
    <w:rsid w:val="00A879A4"/>
    <w:rsid w:val="00A968A8"/>
    <w:rsid w:val="00AA0FF8"/>
    <w:rsid w:val="00AA15B0"/>
    <w:rsid w:val="00AB5DDB"/>
    <w:rsid w:val="00AC0F2C"/>
    <w:rsid w:val="00AC1803"/>
    <w:rsid w:val="00AC502A"/>
    <w:rsid w:val="00AC77F0"/>
    <w:rsid w:val="00AE0A53"/>
    <w:rsid w:val="00AE1E26"/>
    <w:rsid w:val="00AE3980"/>
    <w:rsid w:val="00AE58B3"/>
    <w:rsid w:val="00AE693A"/>
    <w:rsid w:val="00AF58C1"/>
    <w:rsid w:val="00B0350A"/>
    <w:rsid w:val="00B04A3F"/>
    <w:rsid w:val="00B06643"/>
    <w:rsid w:val="00B11ACD"/>
    <w:rsid w:val="00B148CE"/>
    <w:rsid w:val="00B15055"/>
    <w:rsid w:val="00B20551"/>
    <w:rsid w:val="00B22D45"/>
    <w:rsid w:val="00B2314C"/>
    <w:rsid w:val="00B23F38"/>
    <w:rsid w:val="00B24951"/>
    <w:rsid w:val="00B26902"/>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21DE"/>
    <w:rsid w:val="00BB22B8"/>
    <w:rsid w:val="00BB23CC"/>
    <w:rsid w:val="00BB4BFD"/>
    <w:rsid w:val="00BC1E7E"/>
    <w:rsid w:val="00BC2596"/>
    <w:rsid w:val="00BC29D0"/>
    <w:rsid w:val="00BC745E"/>
    <w:rsid w:val="00BC74E9"/>
    <w:rsid w:val="00BE1B67"/>
    <w:rsid w:val="00BE237F"/>
    <w:rsid w:val="00BE36A9"/>
    <w:rsid w:val="00BE605A"/>
    <w:rsid w:val="00BE60E1"/>
    <w:rsid w:val="00BE618E"/>
    <w:rsid w:val="00BE705B"/>
    <w:rsid w:val="00BE7BEC"/>
    <w:rsid w:val="00BF0A5A"/>
    <w:rsid w:val="00BF0E63"/>
    <w:rsid w:val="00BF12A3"/>
    <w:rsid w:val="00BF16D7"/>
    <w:rsid w:val="00BF2373"/>
    <w:rsid w:val="00BF279B"/>
    <w:rsid w:val="00BF4B66"/>
    <w:rsid w:val="00BF5695"/>
    <w:rsid w:val="00C044E2"/>
    <w:rsid w:val="00C048CB"/>
    <w:rsid w:val="00C066F3"/>
    <w:rsid w:val="00C1161B"/>
    <w:rsid w:val="00C2074A"/>
    <w:rsid w:val="00C334CC"/>
    <w:rsid w:val="00C44775"/>
    <w:rsid w:val="00C463DD"/>
    <w:rsid w:val="00C470AC"/>
    <w:rsid w:val="00C576AB"/>
    <w:rsid w:val="00C745C3"/>
    <w:rsid w:val="00C8522F"/>
    <w:rsid w:val="00C90A32"/>
    <w:rsid w:val="00C978F5"/>
    <w:rsid w:val="00CA24A4"/>
    <w:rsid w:val="00CA3188"/>
    <w:rsid w:val="00CB08CC"/>
    <w:rsid w:val="00CB348D"/>
    <w:rsid w:val="00CC468B"/>
    <w:rsid w:val="00CC65B7"/>
    <w:rsid w:val="00CC6981"/>
    <w:rsid w:val="00CC7419"/>
    <w:rsid w:val="00CD3106"/>
    <w:rsid w:val="00CD3C03"/>
    <w:rsid w:val="00CD46F5"/>
    <w:rsid w:val="00CD5093"/>
    <w:rsid w:val="00CE4A8F"/>
    <w:rsid w:val="00CF071D"/>
    <w:rsid w:val="00CF6E3F"/>
    <w:rsid w:val="00D00CE2"/>
    <w:rsid w:val="00D0123D"/>
    <w:rsid w:val="00D01C05"/>
    <w:rsid w:val="00D15B04"/>
    <w:rsid w:val="00D2031B"/>
    <w:rsid w:val="00D25FE2"/>
    <w:rsid w:val="00D36CA2"/>
    <w:rsid w:val="00D37DA9"/>
    <w:rsid w:val="00D406A7"/>
    <w:rsid w:val="00D41AE9"/>
    <w:rsid w:val="00D41E29"/>
    <w:rsid w:val="00D42AC4"/>
    <w:rsid w:val="00D43252"/>
    <w:rsid w:val="00D43D30"/>
    <w:rsid w:val="00D44D86"/>
    <w:rsid w:val="00D4539E"/>
    <w:rsid w:val="00D50B7D"/>
    <w:rsid w:val="00D52012"/>
    <w:rsid w:val="00D52228"/>
    <w:rsid w:val="00D53D0C"/>
    <w:rsid w:val="00D704E5"/>
    <w:rsid w:val="00D72727"/>
    <w:rsid w:val="00D72BBD"/>
    <w:rsid w:val="00D82689"/>
    <w:rsid w:val="00D8341A"/>
    <w:rsid w:val="00D86AEA"/>
    <w:rsid w:val="00D90BC3"/>
    <w:rsid w:val="00D935FE"/>
    <w:rsid w:val="00D978C6"/>
    <w:rsid w:val="00D97C51"/>
    <w:rsid w:val="00DA0956"/>
    <w:rsid w:val="00DA357F"/>
    <w:rsid w:val="00DA35E3"/>
    <w:rsid w:val="00DA3E12"/>
    <w:rsid w:val="00DB5F07"/>
    <w:rsid w:val="00DC18AD"/>
    <w:rsid w:val="00DC792B"/>
    <w:rsid w:val="00DD0B49"/>
    <w:rsid w:val="00DD1CC1"/>
    <w:rsid w:val="00DE6AD4"/>
    <w:rsid w:val="00DF2C61"/>
    <w:rsid w:val="00DF7CAE"/>
    <w:rsid w:val="00E032FD"/>
    <w:rsid w:val="00E059E6"/>
    <w:rsid w:val="00E142B6"/>
    <w:rsid w:val="00E149B5"/>
    <w:rsid w:val="00E22B54"/>
    <w:rsid w:val="00E257A6"/>
    <w:rsid w:val="00E3074A"/>
    <w:rsid w:val="00E40FC9"/>
    <w:rsid w:val="00E423C0"/>
    <w:rsid w:val="00E445D1"/>
    <w:rsid w:val="00E5015A"/>
    <w:rsid w:val="00E503B8"/>
    <w:rsid w:val="00E52978"/>
    <w:rsid w:val="00E57190"/>
    <w:rsid w:val="00E61EA2"/>
    <w:rsid w:val="00E6414C"/>
    <w:rsid w:val="00E66F5B"/>
    <w:rsid w:val="00E70E0F"/>
    <w:rsid w:val="00E7260F"/>
    <w:rsid w:val="00E8702D"/>
    <w:rsid w:val="00E905F4"/>
    <w:rsid w:val="00E916A9"/>
    <w:rsid w:val="00E916DE"/>
    <w:rsid w:val="00E925AD"/>
    <w:rsid w:val="00E96630"/>
    <w:rsid w:val="00EA11A5"/>
    <w:rsid w:val="00EB0A66"/>
    <w:rsid w:val="00EB2084"/>
    <w:rsid w:val="00EB4D0B"/>
    <w:rsid w:val="00EB6912"/>
    <w:rsid w:val="00EC23DE"/>
    <w:rsid w:val="00EC545B"/>
    <w:rsid w:val="00ED1676"/>
    <w:rsid w:val="00ED18DC"/>
    <w:rsid w:val="00ED4883"/>
    <w:rsid w:val="00ED59BC"/>
    <w:rsid w:val="00ED6201"/>
    <w:rsid w:val="00ED7A2A"/>
    <w:rsid w:val="00ED7F18"/>
    <w:rsid w:val="00EE41AF"/>
    <w:rsid w:val="00EE4276"/>
    <w:rsid w:val="00EE5D74"/>
    <w:rsid w:val="00EF1D7F"/>
    <w:rsid w:val="00F0137E"/>
    <w:rsid w:val="00F04E44"/>
    <w:rsid w:val="00F05B93"/>
    <w:rsid w:val="00F07B88"/>
    <w:rsid w:val="00F203C0"/>
    <w:rsid w:val="00F205C1"/>
    <w:rsid w:val="00F211D3"/>
    <w:rsid w:val="00F21786"/>
    <w:rsid w:val="00F24C2D"/>
    <w:rsid w:val="00F25D06"/>
    <w:rsid w:val="00F25FAF"/>
    <w:rsid w:val="00F31CFF"/>
    <w:rsid w:val="00F3742B"/>
    <w:rsid w:val="00F41FDB"/>
    <w:rsid w:val="00F4478A"/>
    <w:rsid w:val="00F50597"/>
    <w:rsid w:val="00F51019"/>
    <w:rsid w:val="00F51AA6"/>
    <w:rsid w:val="00F56D63"/>
    <w:rsid w:val="00F609A9"/>
    <w:rsid w:val="00F6401D"/>
    <w:rsid w:val="00F678B7"/>
    <w:rsid w:val="00F7373F"/>
    <w:rsid w:val="00F73AD4"/>
    <w:rsid w:val="00F803C8"/>
    <w:rsid w:val="00F80C99"/>
    <w:rsid w:val="00F812F5"/>
    <w:rsid w:val="00F85846"/>
    <w:rsid w:val="00F85BF4"/>
    <w:rsid w:val="00F867EC"/>
    <w:rsid w:val="00F87F88"/>
    <w:rsid w:val="00F91B2B"/>
    <w:rsid w:val="00F963D3"/>
    <w:rsid w:val="00FA061B"/>
    <w:rsid w:val="00FA065B"/>
    <w:rsid w:val="00FA2052"/>
    <w:rsid w:val="00FA61B7"/>
    <w:rsid w:val="00FB4412"/>
    <w:rsid w:val="00FB7CD1"/>
    <w:rsid w:val="00FC03CD"/>
    <w:rsid w:val="00FC0646"/>
    <w:rsid w:val="00FC0FB9"/>
    <w:rsid w:val="00FC1651"/>
    <w:rsid w:val="00FC5676"/>
    <w:rsid w:val="00FC5D44"/>
    <w:rsid w:val="00FC68B7"/>
    <w:rsid w:val="00FC7200"/>
    <w:rsid w:val="00FD23F1"/>
    <w:rsid w:val="00FE6985"/>
    <w:rsid w:val="00FE704F"/>
    <w:rsid w:val="00FF4D3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3EC32557-B6ED-488E-A446-212FCF2E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 w:type="paragraph" w:customStyle="1" w:styleId="para">
    <w:name w:val="para"/>
    <w:basedOn w:val="Normal"/>
    <w:link w:val="paraChar"/>
    <w:qFormat/>
    <w:rsid w:val="00800855"/>
    <w:pPr>
      <w:spacing w:after="120"/>
      <w:ind w:left="2268" w:right="1134" w:hanging="1134"/>
      <w:jc w:val="both"/>
    </w:pPr>
    <w:rPr>
      <w:rFonts w:eastAsia="Yu Mincho"/>
      <w:snapToGrid w:val="0"/>
      <w:lang w:val="fr-FR" w:eastAsia="en-US"/>
    </w:rPr>
  </w:style>
  <w:style w:type="character" w:customStyle="1" w:styleId="paraChar">
    <w:name w:val="para Char"/>
    <w:link w:val="para"/>
    <w:rsid w:val="00800855"/>
    <w:rPr>
      <w:rFonts w:eastAsia="Yu Mincho"/>
      <w:snapToGrid w:val="0"/>
      <w:lang w:eastAsia="en-US"/>
    </w:rPr>
  </w:style>
  <w:style w:type="character" w:customStyle="1" w:styleId="Heading1Char">
    <w:name w:val="Heading 1 Char"/>
    <w:aliases w:val="Table_G Char"/>
    <w:basedOn w:val="DefaultParagraphFont"/>
    <w:link w:val="Heading1"/>
    <w:rsid w:val="008A5F8E"/>
    <w:rPr>
      <w:lang w:val="en-GB"/>
    </w:rPr>
  </w:style>
  <w:style w:type="paragraph" w:styleId="NormalWeb">
    <w:name w:val="Normal (Web)"/>
    <w:basedOn w:val="Normal"/>
    <w:uiPriority w:val="99"/>
    <w:semiHidden/>
    <w:rsid w:val="008A5F8E"/>
    <w:pPr>
      <w:suppressAutoHyphens/>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107CAFF-EEB2-480E-9042-67C9CCBBFB81}"/>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6</TotalTime>
  <Pages>2</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GRSP-77-33</vt:lpstr>
      <vt:lpstr/>
    </vt:vector>
  </TitlesOfParts>
  <Company>CSD</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GRSP-77-55</dc:title>
  <dc:subject/>
  <dc:creator>Editorial</dc:creator>
  <cp:keywords/>
  <cp:lastModifiedBy>Nadiya</cp:lastModifiedBy>
  <cp:revision>9</cp:revision>
  <cp:lastPrinted>2025-05-01T19:02:00Z</cp:lastPrinted>
  <dcterms:created xsi:type="dcterms:W3CDTF">2025-06-17T09:39:00Z</dcterms:created>
  <dcterms:modified xsi:type="dcterms:W3CDTF">2025-06-23T11:32:00Z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