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7E144840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/TRANS/WP.29/GRSG/2025/</w:t>
            </w:r>
            <w:r w:rsidR="00D76FEC">
              <w:t>31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2A48DEB5" w:rsidR="000B1EA4" w:rsidRPr="000846F8" w:rsidRDefault="00973AA2" w:rsidP="000B1EA4">
            <w:pPr>
              <w:spacing w:line="240" w:lineRule="exact"/>
            </w:pPr>
            <w:r>
              <w:t>1</w:t>
            </w:r>
            <w:r w:rsidR="00560CBE">
              <w:t>8</w:t>
            </w:r>
            <w:r w:rsidR="00586555">
              <w:t xml:space="preserve"> July</w:t>
            </w:r>
            <w:r w:rsidR="000B1EA4" w:rsidRPr="000846F8">
              <w:t xml:space="preserve"> 2025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4659697E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30</w:t>
      </w:r>
      <w:r w:rsidRPr="000846F8">
        <w:rPr>
          <w:b/>
        </w:rPr>
        <w:t>th session</w:t>
      </w:r>
    </w:p>
    <w:p w14:paraId="29A2D70C" w14:textId="0D7A5999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2938A5">
        <w:rPr>
          <w:lang w:eastAsia="ko-KR"/>
        </w:rPr>
        <w:t>6</w:t>
      </w:r>
      <w:r w:rsidR="000846F8" w:rsidRPr="00F60022">
        <w:t>–</w:t>
      </w:r>
      <w:r w:rsidR="002938A5">
        <w:t>9</w:t>
      </w:r>
      <w:r w:rsidRPr="000846F8">
        <w:t xml:space="preserve"> </w:t>
      </w:r>
      <w:r w:rsidR="002938A5">
        <w:rPr>
          <w:lang w:eastAsia="ko-KR"/>
        </w:rPr>
        <w:t>October</w:t>
      </w:r>
      <w:r w:rsidRPr="000846F8">
        <w:t xml:space="preserve"> 2025</w:t>
      </w:r>
    </w:p>
    <w:p w14:paraId="67209E6E" w14:textId="480DAA49" w:rsidR="000B1EA4" w:rsidRPr="000846F8" w:rsidRDefault="000B1EA4" w:rsidP="000B1EA4">
      <w:r w:rsidRPr="000846F8">
        <w:t xml:space="preserve">Item </w:t>
      </w:r>
      <w:r w:rsidR="001C15C9">
        <w:t>1</w:t>
      </w:r>
      <w:r w:rsidRPr="000846F8">
        <w:rPr>
          <w:lang w:eastAsia="ko-KR"/>
        </w:rPr>
        <w:t>4(</w:t>
      </w:r>
      <w:r w:rsidR="001C15C9">
        <w:rPr>
          <w:lang w:eastAsia="ko-KR"/>
        </w:rPr>
        <w:t>b</w:t>
      </w:r>
      <w:r w:rsidRPr="000846F8">
        <w:rPr>
          <w:lang w:eastAsia="ko-KR"/>
        </w:rPr>
        <w:t>)</w:t>
      </w:r>
      <w:r w:rsidRPr="000846F8">
        <w:t xml:space="preserve"> of the </w:t>
      </w:r>
      <w:r w:rsidR="001846E2" w:rsidRPr="000846F8">
        <w:t>provisional agenda</w:t>
      </w:r>
    </w:p>
    <w:p w14:paraId="64DA5E7F" w14:textId="2C8F0DBA" w:rsidR="00702CDE" w:rsidRPr="000846F8" w:rsidRDefault="00702CDE" w:rsidP="00702CDE">
      <w:pPr>
        <w:rPr>
          <w:b/>
        </w:rPr>
      </w:pPr>
      <w:r w:rsidRPr="00C4353D">
        <w:rPr>
          <w:b/>
        </w:rPr>
        <w:t xml:space="preserve">Exchange of </w:t>
      </w:r>
      <w:r w:rsidR="001846E2" w:rsidRPr="00C4353D">
        <w:rPr>
          <w:b/>
        </w:rPr>
        <w:t>views on vehicle automation</w:t>
      </w:r>
      <w:r w:rsidRPr="000846F8">
        <w:rPr>
          <w:b/>
        </w:rPr>
        <w:t>:</w:t>
      </w:r>
    </w:p>
    <w:p w14:paraId="419BF7A6" w14:textId="1524C95E" w:rsidR="000B1EA4" w:rsidRPr="000846F8" w:rsidRDefault="00702CDE" w:rsidP="00EE48F6">
      <w:pPr>
        <w:rPr>
          <w:b/>
        </w:rPr>
      </w:pPr>
      <w:r w:rsidRPr="00C93D45">
        <w:rPr>
          <w:b/>
        </w:rPr>
        <w:t xml:space="preserve">Categorization of </w:t>
      </w:r>
      <w:r w:rsidR="001846E2" w:rsidRPr="00C93D45">
        <w:rPr>
          <w:b/>
        </w:rPr>
        <w:t>automated vehicles and autonomous vehicle regulation screening</w:t>
      </w:r>
    </w:p>
    <w:p w14:paraId="17787B84" w14:textId="29BCE21D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AB67D5">
        <w:rPr>
          <w:szCs w:val="28"/>
        </w:rPr>
        <w:t xml:space="preserve">supplement </w:t>
      </w:r>
      <w:r w:rsidR="00F0081B">
        <w:rPr>
          <w:szCs w:val="28"/>
        </w:rPr>
        <w:t>2</w:t>
      </w:r>
      <w:r w:rsidR="00AB67D5">
        <w:rPr>
          <w:szCs w:val="28"/>
        </w:rPr>
        <w:t xml:space="preserve"> to the </w:t>
      </w:r>
      <w:r w:rsidRPr="000846F8">
        <w:rPr>
          <w:szCs w:val="28"/>
        </w:rPr>
        <w:t>0</w:t>
      </w:r>
      <w:r w:rsidR="00F0081B">
        <w:rPr>
          <w:szCs w:val="28"/>
        </w:rPr>
        <w:t>6</w:t>
      </w:r>
      <w:r w:rsidRPr="000846F8">
        <w:rPr>
          <w:szCs w:val="28"/>
        </w:rPr>
        <w:t xml:space="preserve"> Series of Amendments to </w:t>
      </w:r>
      <w:r w:rsidR="00DF0FF5">
        <w:rPr>
          <w:szCs w:val="28"/>
        </w:rPr>
        <w:t xml:space="preserve">UN </w:t>
      </w:r>
      <w:r w:rsidRPr="000846F8">
        <w:rPr>
          <w:szCs w:val="28"/>
        </w:rPr>
        <w:t>Regulation No.</w:t>
      </w:r>
      <w:r w:rsidRPr="000846F8">
        <w:t> </w:t>
      </w:r>
      <w:r w:rsidR="00F0081B">
        <w:rPr>
          <w:szCs w:val="28"/>
        </w:rPr>
        <w:t>110</w:t>
      </w:r>
      <w:r w:rsidRPr="000846F8">
        <w:rPr>
          <w:szCs w:val="28"/>
        </w:rPr>
        <w:t xml:space="preserve"> (</w:t>
      </w:r>
      <w:r w:rsidR="00F0081B">
        <w:t>CNG and LNG</w:t>
      </w:r>
      <w:r w:rsidR="003C3A5F">
        <w:t xml:space="preserve"> </w:t>
      </w:r>
      <w:r w:rsidR="001846E2">
        <w:t>Vehicles</w:t>
      </w:r>
      <w:r w:rsidRPr="000846F8">
        <w:rPr>
          <w:szCs w:val="28"/>
        </w:rPr>
        <w:t>)</w:t>
      </w:r>
      <w:r w:rsidRPr="000846F8">
        <w:t xml:space="preserve"> </w:t>
      </w:r>
    </w:p>
    <w:p w14:paraId="04273320" w14:textId="07E9012C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t xml:space="preserve"> on behalf of the Task Force </w:t>
      </w:r>
      <w:r w:rsidR="004D1435">
        <w:t xml:space="preserve">on Automated </w:t>
      </w:r>
      <w:r w:rsidR="00F84786">
        <w:t xml:space="preserve">Vehicles </w:t>
      </w:r>
      <w:r w:rsidR="004D1435">
        <w:t>Regulatory Screening</w:t>
      </w:r>
      <w:r w:rsidRPr="000846F8">
        <w:footnoteReference w:customMarkFollows="1" w:id="2"/>
        <w:t>*</w:t>
      </w:r>
    </w:p>
    <w:p w14:paraId="6EE100A1" w14:textId="6E572EF9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1846E2">
        <w:t xml:space="preserve">the </w:t>
      </w:r>
      <w:r w:rsidR="004C37A6" w:rsidRPr="00F56399">
        <w:rPr>
          <w:rFonts w:eastAsia="MS Mincho"/>
          <w:lang w:eastAsia="ja-JP"/>
        </w:rPr>
        <w:t>International Organization of Motor Vehicle Manufacturers (OICA)</w:t>
      </w:r>
      <w:r w:rsidRPr="000846F8">
        <w:t xml:space="preserve"> 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(TF</w:t>
      </w:r>
      <w:r w:rsidR="00F84786">
        <w:t>-AVRS</w:t>
      </w:r>
      <w:r w:rsidRPr="000846F8">
        <w:t>).</w:t>
      </w:r>
      <w:r w:rsidR="001846E2">
        <w:t xml:space="preserve"> </w:t>
      </w:r>
      <w:r w:rsidRPr="000846F8">
        <w:t>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21B1FC52" w:rsidR="000B1EA4" w:rsidRPr="000846F8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0846F8">
        <w:rPr>
          <w:b/>
          <w:sz w:val="28"/>
        </w:rPr>
        <w:lastRenderedPageBreak/>
        <w:tab/>
      </w:r>
      <w:r w:rsidRPr="000846F8">
        <w:rPr>
          <w:b/>
          <w:sz w:val="28"/>
        </w:rPr>
        <w:tab/>
        <w:t>Proposal</w:t>
      </w:r>
    </w:p>
    <w:p w14:paraId="271AC50F" w14:textId="2518E1FF" w:rsidR="0050158B" w:rsidRPr="00953521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</w:t>
      </w:r>
      <w:r w:rsidR="001E2F32">
        <w:rPr>
          <w:rFonts w:eastAsia="DengXian"/>
          <w:i/>
          <w:lang w:eastAsia="zh-CN"/>
        </w:rPr>
        <w:t>3</w:t>
      </w:r>
      <w:r>
        <w:rPr>
          <w:rFonts w:eastAsia="DengXian"/>
          <w:i/>
          <w:lang w:eastAsia="zh-CN"/>
        </w:rPr>
        <w:t>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4906A232" w14:textId="5E87EC89" w:rsidR="0050158B" w:rsidRPr="00953521" w:rsidRDefault="00D76FEC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E893886" w14:textId="10684C80" w:rsidR="0050158B" w:rsidRPr="00F9695F" w:rsidRDefault="0050158B" w:rsidP="00F9695F">
      <w:pPr>
        <w:pStyle w:val="SingleTxtG"/>
        <w:ind w:left="2268" w:hanging="1134"/>
        <w:rPr>
          <w:b/>
          <w:bCs/>
        </w:rPr>
      </w:pPr>
      <w:r w:rsidRPr="00F9695F">
        <w:rPr>
          <w:b/>
          <w:bCs/>
        </w:rPr>
        <w:t>0.1.</w:t>
      </w:r>
      <w:r w:rsidRPr="00F9695F">
        <w:rPr>
          <w:b/>
          <w:bCs/>
        </w:rPr>
        <w:tab/>
      </w:r>
      <w:r w:rsidRPr="00F9695F">
        <w:rPr>
          <w:b/>
          <w:bCs/>
        </w:rPr>
        <w:tab/>
        <w:t xml:space="preserve">Supplement </w:t>
      </w:r>
      <w:r w:rsidR="00F0081B" w:rsidRPr="00F9695F">
        <w:rPr>
          <w:b/>
          <w:bCs/>
        </w:rPr>
        <w:t>2</w:t>
      </w:r>
      <w:r w:rsidRPr="00F9695F">
        <w:rPr>
          <w:b/>
          <w:bCs/>
        </w:rPr>
        <w:t xml:space="preserve"> to the 0</w:t>
      </w:r>
      <w:r w:rsidR="00F0081B" w:rsidRPr="00F9695F">
        <w:rPr>
          <w:b/>
          <w:bCs/>
        </w:rPr>
        <w:t>6</w:t>
      </w:r>
      <w:r w:rsidRPr="00F9695F">
        <w:rPr>
          <w:b/>
          <w:bCs/>
        </w:rPr>
        <w:t xml:space="preserve"> series of amendments is introduced to take into account vehicles of categor</w:t>
      </w:r>
      <w:r w:rsidR="00964BF7" w:rsidRPr="00F9695F">
        <w:rPr>
          <w:b/>
          <w:bCs/>
        </w:rPr>
        <w:t>ies</w:t>
      </w:r>
      <w:r w:rsidRPr="00F9695F">
        <w:rPr>
          <w:b/>
          <w:bCs/>
        </w:rPr>
        <w:t xml:space="preserve"> X and Y, as well as conventional vehicles which are equipped with an </w:t>
      </w:r>
      <w:r w:rsidR="00EF37F7">
        <w:rPr>
          <w:b/>
          <w:bCs/>
        </w:rPr>
        <w:t>Automated Driving System Feature of Type 2 (</w:t>
      </w:r>
      <w:r w:rsidR="00EF37F7" w:rsidRPr="009D0F2E">
        <w:rPr>
          <w:b/>
          <w:bCs/>
        </w:rPr>
        <w:t>ADSF-2</w:t>
      </w:r>
      <w:r w:rsidR="00EF37F7">
        <w:rPr>
          <w:b/>
          <w:bCs/>
        </w:rPr>
        <w:t>)</w:t>
      </w:r>
      <w:r w:rsidRPr="00F9695F">
        <w:rPr>
          <w:b/>
          <w:bCs/>
        </w:rPr>
        <w:t>.</w:t>
      </w:r>
    </w:p>
    <w:p w14:paraId="114A36C9" w14:textId="4189DF73" w:rsidR="0050158B" w:rsidRPr="00F9695F" w:rsidRDefault="0050158B" w:rsidP="00F9695F">
      <w:pPr>
        <w:pStyle w:val="SingleTxtG"/>
        <w:ind w:left="2268" w:hanging="1134"/>
        <w:rPr>
          <w:rFonts w:eastAsiaTheme="minorEastAsia"/>
          <w:b/>
          <w:bCs/>
          <w:color w:val="000000" w:themeColor="text1"/>
        </w:rPr>
      </w:pPr>
      <w:r w:rsidRPr="00F9695F">
        <w:rPr>
          <w:rFonts w:eastAsiaTheme="minorEastAsia"/>
          <w:b/>
          <w:bCs/>
          <w:color w:val="000000" w:themeColor="text1"/>
        </w:rPr>
        <w:t xml:space="preserve">0.1.1. </w:t>
      </w:r>
      <w:r w:rsidRPr="00F9695F">
        <w:rPr>
          <w:rFonts w:eastAsiaTheme="minorEastAsia"/>
          <w:b/>
          <w:bCs/>
          <w:color w:val="000000" w:themeColor="text1"/>
        </w:rPr>
        <w:tab/>
      </w:r>
      <w:r w:rsidR="00F9695F">
        <w:rPr>
          <w:rFonts w:eastAsiaTheme="minorEastAsia"/>
          <w:b/>
          <w:bCs/>
          <w:color w:val="000000" w:themeColor="text1"/>
        </w:rPr>
        <w:tab/>
      </w:r>
      <w:r w:rsidRPr="00F9695F">
        <w:rPr>
          <w:rFonts w:eastAsiaTheme="minorEastAsia"/>
          <w:b/>
          <w:bCs/>
        </w:rPr>
        <w:t>The Regulation was originally drafted for vehicles with driver</w:t>
      </w:r>
      <w:r w:rsidR="009A1127" w:rsidRPr="00F9695F">
        <w:rPr>
          <w:rFonts w:eastAsiaTheme="minorEastAsia"/>
          <w:b/>
          <w:bCs/>
        </w:rPr>
        <w:t>’s compartment</w:t>
      </w:r>
      <w:r w:rsidRPr="00F9695F">
        <w:rPr>
          <w:rFonts w:eastAsiaTheme="minorEastAsia"/>
          <w:b/>
          <w:bCs/>
        </w:rPr>
        <w:t xml:space="preserve"> and manual driving controls. It is the intention of this new amendment to keep the spirit of the </w:t>
      </w:r>
      <w:r w:rsidR="00F5132A" w:rsidRPr="00F9695F">
        <w:rPr>
          <w:rFonts w:eastAsiaTheme="minorEastAsia"/>
          <w:b/>
          <w:bCs/>
        </w:rPr>
        <w:t>R</w:t>
      </w:r>
      <w:r w:rsidRPr="00F9695F">
        <w:rPr>
          <w:rFonts w:eastAsiaTheme="minorEastAsia"/>
          <w:b/>
          <w:bCs/>
        </w:rPr>
        <w:t>egulation and to extend its application to vehicles without driver</w:t>
      </w:r>
      <w:r w:rsidR="00750606" w:rsidRPr="00F9695F">
        <w:rPr>
          <w:rFonts w:eastAsiaTheme="minorEastAsia"/>
          <w:b/>
          <w:bCs/>
        </w:rPr>
        <w:t>, driver’s compartment</w:t>
      </w:r>
      <w:r w:rsidRPr="00F9695F">
        <w:rPr>
          <w:rFonts w:eastAsiaTheme="minorEastAsia"/>
          <w:b/>
          <w:bCs/>
        </w:rPr>
        <w:t xml:space="preserve"> and without manual driving controls </w:t>
      </w:r>
      <w:r w:rsidRPr="00F9695F">
        <w:rPr>
          <w:rFonts w:eastAsiaTheme="minorEastAsia"/>
          <w:b/>
          <w:bCs/>
          <w:color w:val="000000" w:themeColor="text1"/>
        </w:rPr>
        <w:t>in the vehicle</w:t>
      </w:r>
      <w:r w:rsidRPr="00F9695F">
        <w:rPr>
          <w:rFonts w:eastAsiaTheme="minorEastAsia"/>
          <w:b/>
          <w:bCs/>
        </w:rPr>
        <w:t>. In the absence of driver</w:t>
      </w:r>
      <w:r w:rsidR="00750606" w:rsidRPr="00F9695F">
        <w:rPr>
          <w:rFonts w:eastAsiaTheme="minorEastAsia"/>
          <w:b/>
          <w:bCs/>
        </w:rPr>
        <w:t>/driver’s compartment/</w:t>
      </w:r>
      <w:r w:rsidRPr="00F9695F">
        <w:rPr>
          <w:rFonts w:eastAsiaTheme="minorEastAsia"/>
          <w:b/>
          <w:bCs/>
        </w:rPr>
        <w:t>manual driving controls in the vehicle, provisions related to them shall not be taken into account if not already covered by this amendment.</w:t>
      </w:r>
    </w:p>
    <w:p w14:paraId="0120856F" w14:textId="614E0C1A" w:rsidR="001E2F32" w:rsidRPr="00F9695F" w:rsidRDefault="0050158B" w:rsidP="00F9695F">
      <w:pPr>
        <w:pStyle w:val="SingleTxtG"/>
        <w:ind w:left="2268" w:hanging="1134"/>
        <w:rPr>
          <w:rFonts w:eastAsiaTheme="minorEastAsia"/>
          <w:b/>
          <w:bCs/>
          <w:color w:val="000000" w:themeColor="text1"/>
        </w:rPr>
      </w:pPr>
      <w:r w:rsidRPr="00F9695F">
        <w:rPr>
          <w:rFonts w:eastAsiaTheme="minorEastAsia"/>
          <w:b/>
          <w:bCs/>
          <w:color w:val="000000" w:themeColor="text1"/>
        </w:rPr>
        <w:t xml:space="preserve">0.1.2. </w:t>
      </w:r>
      <w:r w:rsidRPr="00F9695F">
        <w:rPr>
          <w:rFonts w:eastAsiaTheme="minorEastAsia"/>
          <w:b/>
          <w:bCs/>
          <w:color w:val="000000" w:themeColor="text1"/>
        </w:rPr>
        <w:tab/>
      </w:r>
      <w:r w:rsidR="00F9695F">
        <w:rPr>
          <w:rFonts w:eastAsiaTheme="minorEastAsia"/>
          <w:b/>
          <w:bCs/>
          <w:color w:val="000000" w:themeColor="text1"/>
        </w:rPr>
        <w:tab/>
      </w:r>
      <w:r w:rsidR="00931AC5" w:rsidRPr="00F9695F">
        <w:rPr>
          <w:rFonts w:eastAsiaTheme="minorEastAsia"/>
          <w:b/>
          <w:bCs/>
          <w:color w:val="000000" w:themeColor="text1"/>
        </w:rPr>
        <w:t>In case of vehicles equipped with an ADS other than vehicles of categories X and Y, in the manual driving mode no special provisions or exemptions apply. In a mode where an ADS feature is active basically the same requirements apply</w:t>
      </w:r>
      <w:r w:rsidRPr="00F9695F">
        <w:rPr>
          <w:rFonts w:eastAsiaTheme="minorEastAsia"/>
          <w:b/>
          <w:bCs/>
          <w:color w:val="000000" w:themeColor="text1"/>
        </w:rPr>
        <w:t>.</w:t>
      </w:r>
    </w:p>
    <w:p w14:paraId="019CF5C4" w14:textId="38F9E83A" w:rsidR="000A2EB7" w:rsidRPr="00F9695F" w:rsidRDefault="001E2F32" w:rsidP="00F9695F">
      <w:pPr>
        <w:pStyle w:val="SingleTxtG"/>
        <w:ind w:left="2268" w:hanging="1134"/>
        <w:rPr>
          <w:rFonts w:eastAsiaTheme="minorEastAsia"/>
          <w:b/>
          <w:bCs/>
          <w:color w:val="000000" w:themeColor="text1"/>
        </w:rPr>
      </w:pPr>
      <w:r w:rsidRPr="00F9695F">
        <w:rPr>
          <w:rFonts w:eastAsiaTheme="minorEastAsia"/>
          <w:b/>
          <w:bCs/>
          <w:color w:val="000000" w:themeColor="text1"/>
        </w:rPr>
        <w:t>0.1.3.</w:t>
      </w:r>
      <w:r w:rsidRPr="00F9695F">
        <w:rPr>
          <w:rFonts w:eastAsiaTheme="minorEastAsia"/>
          <w:b/>
          <w:bCs/>
          <w:color w:val="000000" w:themeColor="text1"/>
        </w:rPr>
        <w:tab/>
      </w:r>
      <w:r w:rsidR="00024AEA">
        <w:rPr>
          <w:rFonts w:eastAsiaTheme="minorEastAsia"/>
          <w:b/>
          <w:bCs/>
          <w:color w:val="000000" w:themeColor="text1"/>
        </w:rPr>
        <w:tab/>
      </w:r>
      <w:r w:rsidRPr="00F9695F">
        <w:rPr>
          <w:b/>
          <w:bCs/>
        </w:rPr>
        <w:t>New paragraph 4.79. aims to clarify the provisions for vehicles in case of separate driver´s compartment.</w:t>
      </w:r>
      <w:r w:rsidR="00D76FEC" w:rsidRPr="00F9695F">
        <w:rPr>
          <w:rFonts w:eastAsiaTheme="minorEastAsia"/>
          <w:b/>
          <w:bCs/>
          <w:color w:val="000000" w:themeColor="text1"/>
        </w:rPr>
        <w:t>"</w:t>
      </w:r>
    </w:p>
    <w:p w14:paraId="45ED27B7" w14:textId="69C85580" w:rsidR="006C09D8" w:rsidRPr="006C18AD" w:rsidRDefault="006C09D8" w:rsidP="006C09D8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6C18AD">
        <w:rPr>
          <w:rFonts w:eastAsia="DengXian"/>
          <w:i/>
          <w:lang w:eastAsia="zh-CN"/>
        </w:rPr>
        <w:t>Paragraph 1</w:t>
      </w:r>
      <w:r>
        <w:rPr>
          <w:rFonts w:eastAsia="DengXian"/>
          <w:i/>
          <w:lang w:eastAsia="zh-CN"/>
        </w:rPr>
        <w:t xml:space="preserve"> and Annex</w:t>
      </w:r>
      <w:r w:rsidR="001E2F32">
        <w:rPr>
          <w:rFonts w:eastAsia="DengXian"/>
          <w:i/>
          <w:lang w:eastAsia="zh-CN"/>
        </w:rPr>
        <w:t xml:space="preserve"> </w:t>
      </w:r>
      <w:r>
        <w:rPr>
          <w:rFonts w:eastAsia="DengXian"/>
          <w:i/>
          <w:lang w:eastAsia="zh-CN"/>
        </w:rPr>
        <w:t>4F,</w:t>
      </w:r>
      <w:r w:rsidRPr="006C18AD">
        <w:rPr>
          <w:rFonts w:eastAsia="DengXian"/>
          <w:i/>
          <w:lang w:eastAsia="zh-CN"/>
        </w:rPr>
        <w:t xml:space="preserve"> footnote 1, </w:t>
      </w:r>
      <w:r w:rsidRPr="006C18AD">
        <w:rPr>
          <w:rFonts w:eastAsia="DengXian"/>
          <w:iCs/>
          <w:lang w:eastAsia="zh-CN"/>
        </w:rPr>
        <w:t>amend to read:</w:t>
      </w:r>
    </w:p>
    <w:p w14:paraId="58C2D687" w14:textId="7ECBCE6D" w:rsidR="00FF29D4" w:rsidRPr="00692079" w:rsidRDefault="006C09D8" w:rsidP="00FF29D4">
      <w:pPr>
        <w:pStyle w:val="FootnoteText"/>
        <w:widowControl w:val="0"/>
        <w:rPr>
          <w:strike/>
          <w:szCs w:val="18"/>
          <w:lang w:val="en-US"/>
        </w:rPr>
      </w:pPr>
      <w:r w:rsidRPr="006C18AD">
        <w:rPr>
          <w:sz w:val="20"/>
          <w:vertAlign w:val="superscript"/>
        </w:rPr>
        <w:tab/>
      </w:r>
      <w:r w:rsidR="00D76FEC">
        <w:rPr>
          <w:szCs w:val="18"/>
          <w:vertAlign w:val="superscript"/>
        </w:rPr>
        <w:t>"</w:t>
      </w:r>
      <w:r w:rsidRPr="00FF29D4">
        <w:rPr>
          <w:szCs w:val="18"/>
          <w:vertAlign w:val="superscript"/>
        </w:rPr>
        <w:t>1</w:t>
      </w:r>
      <w:r w:rsidRPr="00FF29D4">
        <w:rPr>
          <w:szCs w:val="18"/>
          <w:vertAlign w:val="superscript"/>
        </w:rPr>
        <w:tab/>
      </w:r>
      <w:r w:rsidRPr="00FF29D4">
        <w:rPr>
          <w:szCs w:val="18"/>
        </w:rPr>
        <w:tab/>
      </w:r>
      <w:r w:rsidRPr="00FF29D4">
        <w:rPr>
          <w:szCs w:val="18"/>
          <w:lang w:val="en-US"/>
        </w:rPr>
        <w:t>As defined in the Consolidated Resolution on the Construction of Vehicles (R.E.3.), document ECE/TRANS/WP.29/78/Rev.</w:t>
      </w:r>
      <w:r w:rsidRPr="00FF29D4">
        <w:rPr>
          <w:strike/>
          <w:szCs w:val="18"/>
          <w:lang w:val="en-US"/>
        </w:rPr>
        <w:t>3</w:t>
      </w:r>
      <w:r w:rsidRPr="00FF29D4">
        <w:rPr>
          <w:b/>
          <w:bCs/>
          <w:szCs w:val="18"/>
          <w:lang w:val="en-US"/>
        </w:rPr>
        <w:t>8</w:t>
      </w:r>
      <w:r w:rsidRPr="00FF29D4">
        <w:rPr>
          <w:szCs w:val="18"/>
          <w:lang w:val="en-US"/>
        </w:rPr>
        <w:t xml:space="preserve">, para. 2 </w:t>
      </w:r>
      <w:r w:rsidRPr="00FF29D4">
        <w:rPr>
          <w:szCs w:val="18"/>
        </w:rPr>
        <w:t>-</w:t>
      </w:r>
      <w:r w:rsidRPr="00FF29D4">
        <w:rPr>
          <w:szCs w:val="18"/>
        </w:rPr>
        <w:br/>
      </w:r>
      <w:hyperlink r:id="rId12" w:history="1">
        <w:r w:rsidR="00FF29D4" w:rsidRPr="00692079">
          <w:rPr>
            <w:rStyle w:val="Hyperlink"/>
            <w:strike/>
            <w:szCs w:val="18"/>
            <w:lang w:val="en-US"/>
          </w:rPr>
          <w:t>www.unece.org/trans/main/wp29/wp29wgs/wp29gen/wp29resolutions.html</w:t>
        </w:r>
      </w:hyperlink>
    </w:p>
    <w:p w14:paraId="45ACDBE0" w14:textId="079A5D11" w:rsidR="00FF29D4" w:rsidRPr="00692079" w:rsidRDefault="00FF29D4" w:rsidP="00FF29D4">
      <w:pPr>
        <w:pStyle w:val="FootnoteText"/>
        <w:widowControl w:val="0"/>
        <w:rPr>
          <w:b/>
          <w:bCs/>
          <w:szCs w:val="18"/>
          <w:lang w:val="en-US"/>
        </w:rPr>
      </w:pPr>
      <w:r w:rsidRPr="00692079">
        <w:rPr>
          <w:szCs w:val="18"/>
          <w:lang w:val="en-US"/>
        </w:rPr>
        <w:tab/>
      </w:r>
      <w:r w:rsidRPr="00692079">
        <w:rPr>
          <w:szCs w:val="18"/>
          <w:lang w:val="en-US"/>
        </w:rPr>
        <w:tab/>
      </w:r>
      <w:hyperlink r:id="rId13" w:history="1">
        <w:r w:rsidRPr="00692079">
          <w:rPr>
            <w:rStyle w:val="Hyperlink"/>
            <w:b/>
            <w:bCs/>
            <w:szCs w:val="18"/>
            <w:lang w:val="en-US"/>
          </w:rPr>
          <w:t>https://unece.org/transport/vehicle-regulations/wp29/resolutions</w:t>
        </w:r>
      </w:hyperlink>
      <w:r w:rsidR="00D76FEC">
        <w:rPr>
          <w:b/>
          <w:bCs/>
          <w:szCs w:val="18"/>
          <w:lang w:val="en-US"/>
        </w:rPr>
        <w:t>"</w:t>
      </w:r>
    </w:p>
    <w:p w14:paraId="6DDFEC2D" w14:textId="137BEA42" w:rsidR="006C09D8" w:rsidRPr="00FF29D4" w:rsidRDefault="006C09D8" w:rsidP="00FF29D4">
      <w:pPr>
        <w:pStyle w:val="FootnoteText"/>
        <w:widowControl w:val="0"/>
        <w:rPr>
          <w:lang w:val="en-US"/>
        </w:rPr>
      </w:pPr>
    </w:p>
    <w:p w14:paraId="4274760E" w14:textId="77777777" w:rsidR="006C09D8" w:rsidRPr="00F85B63" w:rsidRDefault="006C09D8" w:rsidP="006C09D8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bookmarkStart w:id="1" w:name="_Hlk202457312"/>
      <w:r>
        <w:rPr>
          <w:rFonts w:eastAsia="DengXian"/>
          <w:i/>
          <w:lang w:eastAsia="zh-CN"/>
        </w:rPr>
        <w:t>Insert new paragraphs 4.79. to 4.81.</w:t>
      </w:r>
      <w:r w:rsidRPr="004307BA">
        <w:rPr>
          <w:rFonts w:eastAsia="DengXian"/>
          <w:iCs/>
          <w:lang w:eastAsia="zh-CN"/>
        </w:rPr>
        <w:t xml:space="preserve"> to read:</w:t>
      </w:r>
    </w:p>
    <w:p w14:paraId="08E1CCBC" w14:textId="018B8A22" w:rsidR="006C09D8" w:rsidRPr="00964BF7" w:rsidRDefault="00D76FEC" w:rsidP="006C09D8">
      <w:pPr>
        <w:pStyle w:val="para"/>
        <w:keepNext/>
        <w:keepLines/>
        <w:rPr>
          <w:lang w:val="en-GB"/>
        </w:rPr>
      </w:pPr>
      <w:r>
        <w:rPr>
          <w:lang w:val="en-GB"/>
        </w:rPr>
        <w:t>"</w:t>
      </w:r>
      <w:r w:rsidR="006C09D8" w:rsidRPr="00964BF7">
        <w:rPr>
          <w:lang w:val="en-GB"/>
        </w:rPr>
        <w:t>4.79.</w:t>
      </w:r>
      <w:r w:rsidR="006C09D8" w:rsidRPr="00964BF7">
        <w:rPr>
          <w:lang w:val="en-GB"/>
        </w:rPr>
        <w:tab/>
      </w:r>
      <w:r>
        <w:rPr>
          <w:lang w:val="en-GB"/>
        </w:rPr>
        <w:t>"</w:t>
      </w:r>
      <w:r w:rsidR="006C09D8" w:rsidRPr="00964BF7">
        <w:rPr>
          <w:i/>
          <w:lang w:val="en-GB"/>
        </w:rPr>
        <w:t>Occupant compartment</w:t>
      </w:r>
      <w:r>
        <w:rPr>
          <w:lang w:val="en-GB"/>
        </w:rPr>
        <w:t>"</w:t>
      </w:r>
      <w:r w:rsidR="006C09D8" w:rsidRPr="00964BF7">
        <w:rPr>
          <w:lang w:val="en-GB"/>
        </w:rPr>
        <w:t xml:space="preserve"> means the space for occupant (driver and/or passengers) accommodation bounded by the roof, floor, side walls, doors, outside glazing, front bulkhead, and the plane of the rear compartment bulkhead or the plane of the rear seat back support;</w:t>
      </w:r>
    </w:p>
    <w:p w14:paraId="5977ED03" w14:textId="7B82FD4D" w:rsidR="006C09D8" w:rsidRPr="00964BF7" w:rsidRDefault="006C09D8" w:rsidP="006C09D8">
      <w:pPr>
        <w:pStyle w:val="para"/>
        <w:rPr>
          <w:lang w:val="en-GB"/>
        </w:rPr>
      </w:pPr>
      <w:r w:rsidRPr="00964BF7">
        <w:rPr>
          <w:lang w:val="en-GB"/>
        </w:rPr>
        <w:t>4.80.</w:t>
      </w:r>
      <w:r w:rsidRPr="00964BF7">
        <w:rPr>
          <w:lang w:val="en-GB"/>
        </w:rPr>
        <w:tab/>
      </w:r>
      <w:r w:rsidR="00D76FEC">
        <w:rPr>
          <w:lang w:val="en-GB"/>
        </w:rPr>
        <w:t>"</w:t>
      </w:r>
      <w:r w:rsidRPr="00964BF7">
        <w:rPr>
          <w:i/>
          <w:lang w:val="en-GB"/>
        </w:rPr>
        <w:t>ADS feature of type 1 (ADSF-1)</w:t>
      </w:r>
      <w:r w:rsidR="00D76FEC">
        <w:rPr>
          <w:lang w:val="en-GB"/>
        </w:rPr>
        <w:t>"</w:t>
      </w:r>
      <w:r w:rsidRPr="00964BF7">
        <w:rPr>
          <w:lang w:val="en-GB"/>
        </w:rPr>
        <w:t xml:space="preserve"> means an ADS feature which includes an ADS fallback response requiring a fallback user</w:t>
      </w:r>
      <w:r w:rsidR="00A40B76">
        <w:rPr>
          <w:lang w:val="en-GB"/>
        </w:rPr>
        <w:t>;</w:t>
      </w:r>
    </w:p>
    <w:p w14:paraId="68CC6614" w14:textId="06006873" w:rsidR="006C09D8" w:rsidRPr="00964BF7" w:rsidRDefault="006C09D8" w:rsidP="006C09D8">
      <w:pPr>
        <w:pStyle w:val="para"/>
        <w:rPr>
          <w:lang w:val="en-GB"/>
        </w:rPr>
      </w:pPr>
      <w:r w:rsidRPr="00964BF7">
        <w:rPr>
          <w:lang w:val="en-GB"/>
        </w:rPr>
        <w:t>4.81.</w:t>
      </w:r>
      <w:r w:rsidRPr="00964BF7">
        <w:rPr>
          <w:lang w:val="en-GB"/>
        </w:rPr>
        <w:tab/>
      </w:r>
      <w:r w:rsidR="00D76FEC">
        <w:rPr>
          <w:i/>
          <w:iCs/>
          <w:lang w:val="en-GB"/>
        </w:rPr>
        <w:t>"</w:t>
      </w:r>
      <w:r w:rsidRPr="00964BF7">
        <w:rPr>
          <w:i/>
          <w:iCs/>
          <w:lang w:val="en-GB"/>
        </w:rPr>
        <w:t>ADS feature of type 2 (ADSF-2)</w:t>
      </w:r>
      <w:r w:rsidR="00D76FEC">
        <w:rPr>
          <w:i/>
          <w:iCs/>
          <w:lang w:val="en-GB"/>
        </w:rPr>
        <w:t>"</w:t>
      </w:r>
      <w:r w:rsidRPr="00964BF7">
        <w:rPr>
          <w:lang w:val="en-GB"/>
        </w:rPr>
        <w:t xml:space="preserve"> means an ADS feature which does not include an ADS fallback response requiring a fallback user.</w:t>
      </w:r>
      <w:r w:rsidR="00D76FEC">
        <w:rPr>
          <w:lang w:val="en-GB"/>
        </w:rPr>
        <w:t>"</w:t>
      </w:r>
    </w:p>
    <w:p w14:paraId="0474ECE1" w14:textId="77777777" w:rsidR="006C09D8" w:rsidRPr="006C18AD" w:rsidRDefault="006C09D8" w:rsidP="006C09D8">
      <w:pPr>
        <w:pStyle w:val="FootnoteText"/>
        <w:widowControl w:val="0"/>
        <w:ind w:left="0" w:firstLine="0"/>
        <w:rPr>
          <w:iCs/>
          <w:color w:val="0000FF"/>
          <w:sz w:val="20"/>
          <w:lang w:val="en-US"/>
        </w:rPr>
      </w:pPr>
    </w:p>
    <w:bookmarkEnd w:id="1"/>
    <w:p w14:paraId="14B01E86" w14:textId="77777777" w:rsidR="006C09D8" w:rsidRPr="006C18AD" w:rsidRDefault="006C09D8" w:rsidP="006C09D8">
      <w:pPr>
        <w:pStyle w:val="FootnoteText"/>
        <w:widowControl w:val="0"/>
        <w:ind w:left="2268"/>
        <w:rPr>
          <w:sz w:val="20"/>
          <w:lang w:val="en-US"/>
        </w:rPr>
      </w:pPr>
      <w:r w:rsidRPr="006C18AD">
        <w:rPr>
          <w:i/>
          <w:iCs/>
          <w:sz w:val="20"/>
          <w:lang w:val="en-US"/>
        </w:rPr>
        <w:t>Paragraph 7, footnote 11</w:t>
      </w:r>
      <w:r w:rsidRPr="006C18AD">
        <w:rPr>
          <w:sz w:val="20"/>
          <w:lang w:val="en-US"/>
        </w:rPr>
        <w:t>, amend to read:</w:t>
      </w:r>
    </w:p>
    <w:p w14:paraId="438FC9A7" w14:textId="77777777" w:rsidR="006C09D8" w:rsidRPr="006C18AD" w:rsidRDefault="006C09D8" w:rsidP="006C09D8">
      <w:pPr>
        <w:pStyle w:val="FootnoteText"/>
        <w:widowControl w:val="0"/>
        <w:rPr>
          <w:sz w:val="20"/>
          <w:lang w:val="en-US"/>
        </w:rPr>
      </w:pPr>
    </w:p>
    <w:p w14:paraId="7E37F6BD" w14:textId="4F833434" w:rsidR="006C09D8" w:rsidRPr="00692079" w:rsidRDefault="00375CC0" w:rsidP="00375CC0">
      <w:pPr>
        <w:pStyle w:val="FootnoteText"/>
        <w:widowControl w:val="0"/>
        <w:rPr>
          <w:szCs w:val="18"/>
          <w:lang w:val="en-US"/>
        </w:rPr>
      </w:pPr>
      <w:r>
        <w:rPr>
          <w:sz w:val="20"/>
          <w:lang w:val="en-US"/>
        </w:rPr>
        <w:tab/>
      </w:r>
      <w:r w:rsidR="00D76FEC">
        <w:rPr>
          <w:szCs w:val="18"/>
          <w:lang w:val="en-US"/>
        </w:rPr>
        <w:t>"</w:t>
      </w:r>
      <w:r w:rsidR="006C09D8" w:rsidRPr="00692079">
        <w:rPr>
          <w:rStyle w:val="FootnoteReference"/>
          <w:szCs w:val="18"/>
        </w:rPr>
        <w:footnoteRef/>
      </w:r>
      <w:r w:rsidR="006C09D8" w:rsidRPr="00692079">
        <w:rPr>
          <w:rStyle w:val="FootnoteReference"/>
          <w:szCs w:val="18"/>
        </w:rPr>
        <w:footnoteRef/>
      </w:r>
      <w:r w:rsidR="006C09D8" w:rsidRPr="00692079">
        <w:rPr>
          <w:szCs w:val="18"/>
          <w:lang w:val="en-US"/>
        </w:rPr>
        <w:t xml:space="preserve"> </w:t>
      </w:r>
      <w:r w:rsidR="000A3324" w:rsidRPr="00692079">
        <w:rPr>
          <w:szCs w:val="18"/>
          <w:lang w:val="en-US"/>
        </w:rPr>
        <w:tab/>
      </w:r>
      <w:r w:rsidR="006C09D8" w:rsidRPr="00692079">
        <w:rPr>
          <w:szCs w:val="18"/>
          <w:lang w:val="en-US"/>
        </w:rPr>
        <w:t>The distinguishing numbers of the Contracting Parties to the 1958 Agreement are</w:t>
      </w:r>
    </w:p>
    <w:p w14:paraId="0D69DCCD" w14:textId="0C19C59A" w:rsidR="006C09D8" w:rsidRPr="00692079" w:rsidRDefault="000A3324" w:rsidP="00692079">
      <w:pPr>
        <w:pStyle w:val="FootnoteText"/>
        <w:widowControl w:val="0"/>
        <w:rPr>
          <w:szCs w:val="18"/>
          <w:lang w:val="en-US"/>
        </w:rPr>
      </w:pPr>
      <w:r w:rsidRPr="00692079">
        <w:rPr>
          <w:szCs w:val="18"/>
          <w:lang w:val="en-US"/>
        </w:rPr>
        <w:tab/>
      </w:r>
      <w:r w:rsidRPr="00692079">
        <w:rPr>
          <w:szCs w:val="18"/>
          <w:lang w:val="en-US"/>
        </w:rPr>
        <w:tab/>
      </w:r>
      <w:r w:rsidR="006C09D8" w:rsidRPr="00692079">
        <w:rPr>
          <w:szCs w:val="18"/>
          <w:lang w:val="en-US"/>
        </w:rPr>
        <w:t>reproduced in Annex 3 to the Consolidated Resolution on the Construction of Vehicles</w:t>
      </w:r>
      <w:r w:rsidRPr="00692079">
        <w:rPr>
          <w:szCs w:val="18"/>
          <w:lang w:val="en-US"/>
        </w:rPr>
        <w:t xml:space="preserve"> </w:t>
      </w:r>
      <w:r w:rsidR="006C09D8" w:rsidRPr="00692079">
        <w:rPr>
          <w:szCs w:val="18"/>
          <w:lang w:val="en-US"/>
        </w:rPr>
        <w:t>(R.E.3), document ECE/TRANS/WP.29/78/Rev.</w:t>
      </w:r>
      <w:r w:rsidR="006C09D8" w:rsidRPr="00692079">
        <w:rPr>
          <w:strike/>
          <w:szCs w:val="18"/>
          <w:lang w:val="en-US"/>
        </w:rPr>
        <w:t>6</w:t>
      </w:r>
      <w:r w:rsidR="006C09D8" w:rsidRPr="00692079">
        <w:rPr>
          <w:b/>
          <w:bCs/>
          <w:szCs w:val="18"/>
          <w:lang w:val="en-US"/>
        </w:rPr>
        <w:t>8</w:t>
      </w:r>
      <w:r w:rsidR="006C09D8" w:rsidRPr="00692079">
        <w:rPr>
          <w:szCs w:val="18"/>
          <w:lang w:val="en-US"/>
        </w:rPr>
        <w:t>, Annex 3</w:t>
      </w:r>
    </w:p>
    <w:p w14:paraId="314855C7" w14:textId="010889D3" w:rsidR="006C09D8" w:rsidRPr="00692079" w:rsidRDefault="00692079" w:rsidP="00692079">
      <w:pPr>
        <w:pStyle w:val="FootnoteText"/>
        <w:widowControl w:val="0"/>
        <w:rPr>
          <w:strike/>
          <w:szCs w:val="18"/>
          <w:lang w:val="en-US"/>
        </w:rPr>
      </w:pPr>
      <w:r w:rsidRPr="00692079">
        <w:rPr>
          <w:szCs w:val="18"/>
        </w:rPr>
        <w:tab/>
      </w:r>
      <w:r w:rsidRPr="00692079">
        <w:rPr>
          <w:szCs w:val="18"/>
        </w:rPr>
        <w:tab/>
      </w:r>
      <w:hyperlink r:id="rId14" w:history="1">
        <w:r w:rsidRPr="00692079">
          <w:rPr>
            <w:rStyle w:val="Hyperlink"/>
            <w:strike/>
            <w:szCs w:val="18"/>
            <w:lang w:val="en-US"/>
          </w:rPr>
          <w:t>www.unece.org/trans/main/wp29/wp29wgs/wp29gen/wp29resolutions.html</w:t>
        </w:r>
      </w:hyperlink>
    </w:p>
    <w:p w14:paraId="3F0F7AB3" w14:textId="1876CA79" w:rsidR="006C09D8" w:rsidRPr="00692079" w:rsidRDefault="00692079" w:rsidP="00692079">
      <w:pPr>
        <w:pStyle w:val="FootnoteText"/>
        <w:widowControl w:val="0"/>
        <w:rPr>
          <w:b/>
          <w:bCs/>
          <w:szCs w:val="18"/>
          <w:lang w:val="en-US"/>
        </w:rPr>
      </w:pPr>
      <w:r w:rsidRPr="00692079">
        <w:rPr>
          <w:szCs w:val="18"/>
          <w:lang w:val="en-US"/>
        </w:rPr>
        <w:tab/>
      </w:r>
      <w:r w:rsidRPr="00692079">
        <w:rPr>
          <w:szCs w:val="18"/>
          <w:lang w:val="en-US"/>
        </w:rPr>
        <w:tab/>
      </w:r>
      <w:hyperlink r:id="rId15" w:history="1">
        <w:r w:rsidRPr="00692079">
          <w:rPr>
            <w:rStyle w:val="Hyperlink"/>
            <w:b/>
            <w:bCs/>
            <w:szCs w:val="18"/>
            <w:lang w:val="en-US"/>
          </w:rPr>
          <w:t>https://unece.org/transport/vehicle-regulations/wp29/resolutions</w:t>
        </w:r>
      </w:hyperlink>
      <w:r w:rsidR="00D76FEC">
        <w:rPr>
          <w:b/>
          <w:bCs/>
          <w:szCs w:val="18"/>
          <w:lang w:val="en-US"/>
        </w:rPr>
        <w:t>"</w:t>
      </w:r>
    </w:p>
    <w:p w14:paraId="4FE302D6" w14:textId="77777777" w:rsidR="006C09D8" w:rsidRDefault="006C09D8" w:rsidP="006C09D8">
      <w:pPr>
        <w:pStyle w:val="FootnoteText"/>
        <w:widowControl w:val="0"/>
        <w:ind w:left="2155"/>
        <w:rPr>
          <w:b/>
          <w:bCs/>
          <w:sz w:val="20"/>
          <w:lang w:val="en-US"/>
        </w:rPr>
      </w:pPr>
    </w:p>
    <w:p w14:paraId="52F0B577" w14:textId="77777777" w:rsidR="006C09D8" w:rsidRPr="006C18AD" w:rsidRDefault="006C09D8" w:rsidP="006C09D8">
      <w:pPr>
        <w:pStyle w:val="FootnoteText"/>
        <w:widowControl w:val="0"/>
        <w:ind w:left="2268"/>
        <w:rPr>
          <w:sz w:val="20"/>
          <w:lang w:val="en-US"/>
        </w:rPr>
      </w:pPr>
      <w:r w:rsidRPr="006C18AD">
        <w:rPr>
          <w:i/>
          <w:iCs/>
          <w:sz w:val="20"/>
          <w:lang w:val="en-US"/>
        </w:rPr>
        <w:t xml:space="preserve">Paragraph </w:t>
      </w:r>
      <w:r>
        <w:rPr>
          <w:i/>
          <w:iCs/>
          <w:sz w:val="20"/>
          <w:lang w:val="en-US"/>
        </w:rPr>
        <w:t xml:space="preserve">12, </w:t>
      </w:r>
      <w:r w:rsidRPr="006C18AD">
        <w:rPr>
          <w:i/>
          <w:iCs/>
          <w:sz w:val="20"/>
          <w:lang w:val="en-US"/>
        </w:rPr>
        <w:t>footnote 1</w:t>
      </w:r>
      <w:r>
        <w:rPr>
          <w:i/>
          <w:iCs/>
          <w:sz w:val="20"/>
          <w:lang w:val="en-US"/>
        </w:rPr>
        <w:t>2</w:t>
      </w:r>
      <w:r w:rsidRPr="006C18AD">
        <w:rPr>
          <w:sz w:val="20"/>
          <w:lang w:val="en-US"/>
        </w:rPr>
        <w:t>, amend to read:</w:t>
      </w:r>
    </w:p>
    <w:p w14:paraId="776E7B61" w14:textId="77777777" w:rsidR="006C09D8" w:rsidRPr="006C18AD" w:rsidRDefault="006C09D8" w:rsidP="006C09D8">
      <w:pPr>
        <w:pStyle w:val="FootnoteText"/>
        <w:widowControl w:val="0"/>
        <w:rPr>
          <w:sz w:val="20"/>
          <w:lang w:val="en-US"/>
        </w:rPr>
      </w:pPr>
    </w:p>
    <w:p w14:paraId="648040AE" w14:textId="276C6DF7" w:rsidR="006C09D8" w:rsidRPr="00FF29D4" w:rsidRDefault="00FF29D4" w:rsidP="00FF29D4">
      <w:pPr>
        <w:pStyle w:val="FootnoteText"/>
        <w:widowControl w:val="0"/>
        <w:rPr>
          <w:szCs w:val="18"/>
          <w:lang w:val="en-US"/>
        </w:rPr>
      </w:pPr>
      <w:r>
        <w:rPr>
          <w:szCs w:val="18"/>
          <w:lang w:val="en-US"/>
        </w:rPr>
        <w:tab/>
      </w:r>
      <w:r w:rsidR="00D76FEC">
        <w:rPr>
          <w:szCs w:val="18"/>
          <w:lang w:val="en-US"/>
        </w:rPr>
        <w:t>"</w:t>
      </w:r>
      <w:r w:rsidR="006C09D8" w:rsidRPr="00FF29D4">
        <w:rPr>
          <w:rStyle w:val="FootnoteReference"/>
          <w:szCs w:val="18"/>
        </w:rPr>
        <w:footnoteRef/>
      </w:r>
      <w:r w:rsidR="006C09D8" w:rsidRPr="00FF29D4">
        <w:rPr>
          <w:rStyle w:val="FootnoteReference"/>
          <w:szCs w:val="18"/>
        </w:rPr>
        <w:t>2</w:t>
      </w:r>
      <w:r w:rsidR="006C09D8" w:rsidRPr="00FF29D4">
        <w:rPr>
          <w:szCs w:val="18"/>
          <w:lang w:val="en-US"/>
        </w:rPr>
        <w:t xml:space="preserve"> 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="006C09D8" w:rsidRPr="00FF29D4">
        <w:rPr>
          <w:szCs w:val="18"/>
          <w:lang w:val="en-US"/>
        </w:rPr>
        <w:t>The distinguishing numbers of the Contracting Parties to the 1958 Agreement are</w:t>
      </w:r>
    </w:p>
    <w:p w14:paraId="273E4A93" w14:textId="116721FC" w:rsidR="006C09D8" w:rsidRPr="00FF29D4" w:rsidRDefault="00FF29D4" w:rsidP="00FF29D4">
      <w:pPr>
        <w:pStyle w:val="FootnoteText"/>
        <w:widowControl w:val="0"/>
        <w:rPr>
          <w:szCs w:val="18"/>
          <w:lang w:val="en-US"/>
        </w:rPr>
      </w:pP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="006C09D8" w:rsidRPr="00FF29D4">
        <w:rPr>
          <w:szCs w:val="18"/>
          <w:lang w:val="en-US"/>
        </w:rPr>
        <w:t>reproduced in Annex 3 to the Consolidated Resolution on the Construction of Vehicles</w:t>
      </w:r>
    </w:p>
    <w:p w14:paraId="1BBFAA71" w14:textId="69C9D4AA" w:rsidR="006C09D8" w:rsidRPr="00FF29D4" w:rsidRDefault="00FF29D4" w:rsidP="00FF29D4">
      <w:pPr>
        <w:pStyle w:val="FootnoteText"/>
        <w:widowControl w:val="0"/>
        <w:rPr>
          <w:szCs w:val="18"/>
          <w:lang w:val="en-US"/>
        </w:rPr>
      </w:pP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r w:rsidR="006C09D8" w:rsidRPr="00FF29D4">
        <w:rPr>
          <w:szCs w:val="18"/>
          <w:lang w:val="en-US"/>
        </w:rPr>
        <w:t>(R.E.3), document ECE/TRANS/WP.29/78/Rev.</w:t>
      </w:r>
      <w:r w:rsidR="006C09D8" w:rsidRPr="00FF29D4">
        <w:rPr>
          <w:strike/>
          <w:szCs w:val="18"/>
          <w:lang w:val="en-US"/>
        </w:rPr>
        <w:t>3</w:t>
      </w:r>
      <w:r w:rsidR="006C09D8" w:rsidRPr="00FF29D4">
        <w:rPr>
          <w:b/>
          <w:bCs/>
          <w:szCs w:val="18"/>
          <w:lang w:val="en-US"/>
        </w:rPr>
        <w:t>8</w:t>
      </w:r>
      <w:r w:rsidR="006C09D8" w:rsidRPr="00FF29D4">
        <w:rPr>
          <w:szCs w:val="18"/>
          <w:lang w:val="en-US"/>
        </w:rPr>
        <w:t>, Annex 3</w:t>
      </w:r>
    </w:p>
    <w:p w14:paraId="22FA7E01" w14:textId="55BFB63C" w:rsidR="006C09D8" w:rsidRPr="00FF29D4" w:rsidRDefault="00FF29D4" w:rsidP="00FF29D4">
      <w:pPr>
        <w:pStyle w:val="FootnoteText"/>
        <w:widowControl w:val="0"/>
        <w:rPr>
          <w:strike/>
          <w:szCs w:val="18"/>
          <w:lang w:val="en-US"/>
        </w:rPr>
      </w:pPr>
      <w:r>
        <w:rPr>
          <w:szCs w:val="18"/>
        </w:rPr>
        <w:tab/>
      </w:r>
      <w:r>
        <w:rPr>
          <w:szCs w:val="18"/>
        </w:rPr>
        <w:tab/>
      </w:r>
      <w:hyperlink r:id="rId16" w:history="1">
        <w:r w:rsidRPr="0075210F">
          <w:rPr>
            <w:rStyle w:val="Hyperlink"/>
            <w:strike/>
            <w:szCs w:val="18"/>
            <w:lang w:val="en-US"/>
          </w:rPr>
          <w:t>www.unece.org/trans/main/wp29/wp29wgs/wp29gen/wp29resolutions.html</w:t>
        </w:r>
      </w:hyperlink>
    </w:p>
    <w:p w14:paraId="7EC0B4BE" w14:textId="31A68A64" w:rsidR="006C09D8" w:rsidRPr="00FF29D4" w:rsidRDefault="00FF29D4" w:rsidP="00FF29D4">
      <w:pPr>
        <w:pStyle w:val="FootnoteText"/>
        <w:widowControl w:val="0"/>
        <w:rPr>
          <w:b/>
          <w:bCs/>
          <w:szCs w:val="18"/>
          <w:lang w:val="en-US"/>
        </w:rPr>
      </w:pPr>
      <w:r>
        <w:rPr>
          <w:szCs w:val="18"/>
          <w:lang w:val="en-US"/>
        </w:rPr>
        <w:tab/>
      </w:r>
      <w:r>
        <w:rPr>
          <w:szCs w:val="18"/>
          <w:lang w:val="en-US"/>
        </w:rPr>
        <w:tab/>
      </w:r>
      <w:hyperlink r:id="rId17" w:history="1">
        <w:r w:rsidRPr="0075210F">
          <w:rPr>
            <w:rStyle w:val="Hyperlink"/>
            <w:b/>
            <w:bCs/>
            <w:szCs w:val="18"/>
            <w:lang w:val="en-US"/>
          </w:rPr>
          <w:t>https://unece.org/transport/vehicle-regulations/wp29/resolutions</w:t>
        </w:r>
      </w:hyperlink>
      <w:r w:rsidR="00D76FEC">
        <w:rPr>
          <w:b/>
          <w:bCs/>
          <w:szCs w:val="18"/>
          <w:lang w:val="en-US"/>
        </w:rPr>
        <w:t>"</w:t>
      </w:r>
    </w:p>
    <w:p w14:paraId="41E2C8B2" w14:textId="77777777" w:rsidR="006C09D8" w:rsidRDefault="006C09D8" w:rsidP="006C09D8">
      <w:pPr>
        <w:pStyle w:val="FootnoteText"/>
        <w:widowControl w:val="0"/>
        <w:ind w:left="2155"/>
        <w:rPr>
          <w:b/>
          <w:bCs/>
          <w:sz w:val="20"/>
          <w:lang w:val="en-US"/>
        </w:rPr>
      </w:pPr>
    </w:p>
    <w:p w14:paraId="343A2F41" w14:textId="0123B296" w:rsidR="006C09D8" w:rsidRPr="00E4710C" w:rsidRDefault="006C09D8" w:rsidP="006C09D8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lastRenderedPageBreak/>
        <w:t>Paragraph 18.1.7.</w:t>
      </w:r>
      <w:r w:rsidR="00FF29D4">
        <w:rPr>
          <w:rFonts w:eastAsia="DengXian"/>
          <w:i/>
          <w:lang w:eastAsia="zh-CN"/>
        </w:rPr>
        <w:t>,</w:t>
      </w:r>
      <w:r>
        <w:rPr>
          <w:rFonts w:eastAsia="DengXian"/>
          <w:i/>
          <w:lang w:eastAsia="zh-CN"/>
        </w:rPr>
        <w:t xml:space="preserve"> </w:t>
      </w:r>
      <w:r w:rsidRPr="00332B16">
        <w:rPr>
          <w:rFonts w:eastAsia="DengXian"/>
          <w:iCs/>
          <w:lang w:eastAsia="zh-CN"/>
        </w:rPr>
        <w:t xml:space="preserve">amend </w:t>
      </w:r>
      <w:r w:rsidRPr="004307BA">
        <w:rPr>
          <w:rFonts w:eastAsia="DengXian"/>
          <w:iCs/>
          <w:lang w:eastAsia="zh-CN"/>
        </w:rPr>
        <w:t>to read:</w:t>
      </w:r>
    </w:p>
    <w:p w14:paraId="51D77011" w14:textId="2F636769" w:rsidR="006C09D8" w:rsidRPr="00D76FEC" w:rsidRDefault="00D76FEC" w:rsidP="00D76FEC">
      <w:pPr>
        <w:spacing w:after="120" w:line="240" w:lineRule="auto"/>
        <w:ind w:left="2268" w:right="1134" w:hanging="1134"/>
        <w:jc w:val="both"/>
      </w:pPr>
      <w:r>
        <w:t>"</w:t>
      </w:r>
      <w:r w:rsidR="006C09D8" w:rsidRPr="00DE6D79">
        <w:t>18.</w:t>
      </w:r>
      <w:r w:rsidR="006C09D8">
        <w:t>1</w:t>
      </w:r>
      <w:r w:rsidR="006C09D8" w:rsidRPr="00DE6D79">
        <w:t>.</w:t>
      </w:r>
      <w:r w:rsidR="006C09D8">
        <w:t>7</w:t>
      </w:r>
      <w:r w:rsidR="006C09D8" w:rsidRPr="00DE6D79">
        <w:t>.</w:t>
      </w:r>
      <w:r w:rsidR="006C09D8" w:rsidRPr="00DE6D79">
        <w:tab/>
      </w:r>
      <w:r w:rsidR="006C09D8" w:rsidRPr="009A3318">
        <w:t xml:space="preserve">No appliances shall be connected to the CNG and/or LNG system other than those strictly required for the proper operation of the engine of the motor vehicle. Notwithstanding the provisions of paragraph 18.1.7., vehicles may be fitted with a heating system to heat the </w:t>
      </w:r>
      <w:r w:rsidR="006C09D8" w:rsidRPr="00F13670">
        <w:rPr>
          <w:strike/>
        </w:rPr>
        <w:t>passengers</w:t>
      </w:r>
      <w:r w:rsidR="006C09D8" w:rsidRPr="00F13670">
        <w:t xml:space="preserve"> </w:t>
      </w:r>
      <w:r w:rsidR="006C09D8" w:rsidRPr="00F13670">
        <w:rPr>
          <w:b/>
          <w:bCs/>
        </w:rPr>
        <w:t>occupant</w:t>
      </w:r>
      <w:r w:rsidR="006C09D8">
        <w:t xml:space="preserve"> </w:t>
      </w:r>
      <w:r w:rsidR="006C09D8" w:rsidRPr="009A3318">
        <w:t>compartment and/or the load area which is connected to the CNG and/or LNG system.</w:t>
      </w:r>
      <w:r>
        <w:t>"</w:t>
      </w:r>
    </w:p>
    <w:p w14:paraId="50F30E26" w14:textId="38A25C62" w:rsidR="006C09D8" w:rsidRPr="00E4710C" w:rsidRDefault="006C09D8" w:rsidP="006C09D8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Paragraph 18.3.1.15.</w:t>
      </w:r>
      <w:r w:rsidR="00FF29D4">
        <w:rPr>
          <w:rFonts w:eastAsia="DengXian"/>
          <w:i/>
          <w:lang w:eastAsia="zh-CN"/>
        </w:rPr>
        <w:t>,</w:t>
      </w:r>
      <w:r>
        <w:rPr>
          <w:rFonts w:eastAsia="DengXian"/>
          <w:i/>
          <w:lang w:eastAsia="zh-CN"/>
        </w:rPr>
        <w:t xml:space="preserve"> </w:t>
      </w:r>
      <w:r w:rsidRPr="00332B16">
        <w:rPr>
          <w:rFonts w:eastAsia="DengXian"/>
          <w:iCs/>
          <w:lang w:eastAsia="zh-CN"/>
        </w:rPr>
        <w:t xml:space="preserve">amend </w:t>
      </w:r>
      <w:r w:rsidRPr="004307BA">
        <w:rPr>
          <w:rFonts w:eastAsia="DengXian"/>
          <w:iCs/>
          <w:lang w:eastAsia="zh-CN"/>
        </w:rPr>
        <w:t>to read:</w:t>
      </w:r>
    </w:p>
    <w:p w14:paraId="220C5B7F" w14:textId="28E7704B" w:rsidR="006C09D8" w:rsidRDefault="00D76FEC" w:rsidP="00D76FEC">
      <w:pPr>
        <w:spacing w:after="120" w:line="240" w:lineRule="auto"/>
        <w:ind w:left="2268" w:right="1134" w:hanging="1134"/>
        <w:jc w:val="both"/>
      </w:pPr>
      <w:r>
        <w:t>"</w:t>
      </w:r>
      <w:r w:rsidR="006C09D8" w:rsidRPr="00DE6D79">
        <w:t>18.3.1.15.</w:t>
      </w:r>
      <w:r w:rsidR="006C09D8" w:rsidRPr="00DE6D79">
        <w:tab/>
        <w:t xml:space="preserve">Gas-tight housing for those components installed inside the luggage and </w:t>
      </w:r>
      <w:r w:rsidR="006C09D8" w:rsidRPr="00F13670">
        <w:rPr>
          <w:strike/>
        </w:rPr>
        <w:t>passengers</w:t>
      </w:r>
      <w:r w:rsidR="006C09D8" w:rsidRPr="00F13670">
        <w:t xml:space="preserve"> </w:t>
      </w:r>
      <w:r w:rsidR="006C09D8" w:rsidRPr="00F13670">
        <w:rPr>
          <w:b/>
          <w:bCs/>
        </w:rPr>
        <w:t>occupant</w:t>
      </w:r>
      <w:r w:rsidR="006C09D8" w:rsidRPr="00F13670">
        <w:t xml:space="preserve"> </w:t>
      </w:r>
      <w:r w:rsidR="006C09D8" w:rsidRPr="00DE6D79">
        <w:t>compartment. If the gas-tight housing will be destroyed in case of fire, the pressure relief device may be covered by the gas-tight housing.</w:t>
      </w:r>
      <w:r>
        <w:t>"</w:t>
      </w:r>
    </w:p>
    <w:p w14:paraId="4F1EE463" w14:textId="7776B725" w:rsidR="006C09D8" w:rsidRPr="00E4710C" w:rsidRDefault="006C09D8" w:rsidP="006C09D8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Paragraph 18.5.5.1.</w:t>
      </w:r>
      <w:r w:rsidR="00FF29D4">
        <w:rPr>
          <w:rFonts w:eastAsia="DengXian"/>
          <w:i/>
          <w:lang w:eastAsia="zh-CN"/>
        </w:rPr>
        <w:t>,</w:t>
      </w:r>
      <w:r>
        <w:rPr>
          <w:rFonts w:eastAsia="DengXian"/>
          <w:i/>
          <w:lang w:eastAsia="zh-CN"/>
        </w:rPr>
        <w:t xml:space="preserve"> </w:t>
      </w:r>
      <w:r w:rsidRPr="00332B16">
        <w:rPr>
          <w:rFonts w:eastAsia="DengXian"/>
          <w:iCs/>
          <w:lang w:eastAsia="zh-CN"/>
        </w:rPr>
        <w:t xml:space="preserve">amend </w:t>
      </w:r>
      <w:r w:rsidRPr="004307BA">
        <w:rPr>
          <w:rFonts w:eastAsia="DengXian"/>
          <w:iCs/>
          <w:lang w:eastAsia="zh-CN"/>
        </w:rPr>
        <w:t>to read:</w:t>
      </w:r>
    </w:p>
    <w:p w14:paraId="1B58D589" w14:textId="51CBBFAB" w:rsidR="006C09D8" w:rsidRPr="00DE6D79" w:rsidRDefault="00D76FEC" w:rsidP="00D76FEC">
      <w:pPr>
        <w:spacing w:after="120" w:line="240" w:lineRule="auto"/>
        <w:ind w:left="2268" w:right="1134" w:hanging="1134"/>
        <w:jc w:val="both"/>
      </w:pPr>
      <w:r>
        <w:t>"</w:t>
      </w:r>
      <w:r w:rsidR="006C09D8" w:rsidRPr="00DE6D79">
        <w:t>18.5.5.1.</w:t>
      </w:r>
      <w:r w:rsidR="006C09D8" w:rsidRPr="00DE6D79">
        <w:tab/>
      </w:r>
      <w:r w:rsidR="006C09D8" w:rsidRPr="002F72D4">
        <w:rPr>
          <w:rFonts w:eastAsia="Calibri"/>
          <w:color w:val="000000"/>
          <w:spacing w:val="-1"/>
          <w:lang w:val="en-US"/>
        </w:rPr>
        <w:t xml:space="preserve">A gas-tight housing over the CNG container(s)/CNG accumulator fittings, which fulfils the requirements of paragraphs 18.5.5.2. to 18.5.5.5. shall be fitted to the CNG fuel container/CNG accumulator, unless the CNG container(s)/CNG accumulator is installed outside the vehicle, outside enclosed spaces such as </w:t>
      </w:r>
      <w:r w:rsidR="006C09D8" w:rsidRPr="00F13670">
        <w:rPr>
          <w:strike/>
        </w:rPr>
        <w:t>passengers</w:t>
      </w:r>
      <w:r w:rsidR="006C09D8" w:rsidRPr="00F13670">
        <w:t xml:space="preserve"> </w:t>
      </w:r>
      <w:r w:rsidR="006C09D8" w:rsidRPr="00F13670">
        <w:rPr>
          <w:b/>
          <w:bCs/>
        </w:rPr>
        <w:t>occupant</w:t>
      </w:r>
      <w:r w:rsidR="006C09D8" w:rsidRPr="00F13670">
        <w:t xml:space="preserve"> </w:t>
      </w:r>
      <w:r w:rsidR="006C09D8" w:rsidRPr="002F72D4">
        <w:rPr>
          <w:rFonts w:eastAsia="Calibri"/>
          <w:color w:val="000000"/>
          <w:spacing w:val="-1"/>
          <w:lang w:val="en-US"/>
        </w:rPr>
        <w:t>compartment or cargo area or engine compartment</w:t>
      </w:r>
      <w:r w:rsidR="006C09D8" w:rsidRPr="00DE6D79">
        <w:t>.</w:t>
      </w:r>
      <w:r>
        <w:t>"</w:t>
      </w:r>
    </w:p>
    <w:p w14:paraId="3A049E7E" w14:textId="21210712" w:rsidR="006C09D8" w:rsidRPr="00E4710C" w:rsidRDefault="006C09D8" w:rsidP="006C09D8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Paragraph 18.5.5.7.</w:t>
      </w:r>
      <w:r w:rsidR="00FF29D4">
        <w:rPr>
          <w:rFonts w:eastAsia="DengXian"/>
          <w:i/>
          <w:lang w:eastAsia="zh-CN"/>
        </w:rPr>
        <w:t>,</w:t>
      </w:r>
      <w:r>
        <w:rPr>
          <w:rFonts w:eastAsia="DengXian"/>
          <w:i/>
          <w:lang w:eastAsia="zh-CN"/>
        </w:rPr>
        <w:t xml:space="preserve"> </w:t>
      </w:r>
      <w:r w:rsidRPr="00332B16">
        <w:rPr>
          <w:rFonts w:eastAsia="DengXian"/>
          <w:iCs/>
          <w:lang w:eastAsia="zh-CN"/>
        </w:rPr>
        <w:t xml:space="preserve">amend </w:t>
      </w:r>
      <w:r w:rsidRPr="004307BA">
        <w:rPr>
          <w:rFonts w:eastAsia="DengXian"/>
          <w:iCs/>
          <w:lang w:eastAsia="zh-CN"/>
        </w:rPr>
        <w:t>to read:</w:t>
      </w:r>
    </w:p>
    <w:p w14:paraId="050F2610" w14:textId="1084D578" w:rsidR="006C09D8" w:rsidRDefault="00D76FEC" w:rsidP="00D76FEC">
      <w:pPr>
        <w:spacing w:after="120" w:line="240" w:lineRule="auto"/>
        <w:ind w:left="2268" w:right="1134" w:hanging="1134"/>
        <w:jc w:val="both"/>
      </w:pPr>
      <w:r>
        <w:t>"</w:t>
      </w:r>
      <w:r w:rsidR="006C09D8" w:rsidRPr="00DE6D79">
        <w:t>18.5.5.7.</w:t>
      </w:r>
      <w:r w:rsidR="006C09D8" w:rsidRPr="00DE6D79">
        <w:tab/>
        <w:t xml:space="preserve">The gas-tight housing shall contain all the components installed into the luggage or </w:t>
      </w:r>
      <w:r w:rsidR="006C09D8" w:rsidRPr="00F13670">
        <w:rPr>
          <w:strike/>
        </w:rPr>
        <w:t>passengers</w:t>
      </w:r>
      <w:r w:rsidR="006C09D8" w:rsidRPr="00F13670">
        <w:t xml:space="preserve"> </w:t>
      </w:r>
      <w:r w:rsidR="006C09D8" w:rsidRPr="00F13670">
        <w:rPr>
          <w:b/>
          <w:bCs/>
        </w:rPr>
        <w:t>occupant</w:t>
      </w:r>
      <w:r w:rsidR="006C09D8" w:rsidRPr="00DE6D79">
        <w:t xml:space="preserve"> compartment.</w:t>
      </w:r>
      <w:r>
        <w:t>"</w:t>
      </w:r>
    </w:p>
    <w:p w14:paraId="3133E6EA" w14:textId="5827C983" w:rsidR="006C09D8" w:rsidRPr="00E4710C" w:rsidRDefault="006C09D8" w:rsidP="006C09D8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Paragraph 18.8.7.</w:t>
      </w:r>
      <w:r w:rsidR="00FF29D4">
        <w:rPr>
          <w:rFonts w:eastAsia="DengXian"/>
          <w:i/>
          <w:lang w:eastAsia="zh-CN"/>
        </w:rPr>
        <w:t>,</w:t>
      </w:r>
      <w:r>
        <w:rPr>
          <w:rFonts w:eastAsia="DengXian"/>
          <w:i/>
          <w:lang w:eastAsia="zh-CN"/>
        </w:rPr>
        <w:t xml:space="preserve"> </w:t>
      </w:r>
      <w:r w:rsidRPr="00332B16">
        <w:rPr>
          <w:rFonts w:eastAsia="DengXian"/>
          <w:iCs/>
          <w:lang w:eastAsia="zh-CN"/>
        </w:rPr>
        <w:t xml:space="preserve">amend </w:t>
      </w:r>
      <w:r w:rsidRPr="004307BA">
        <w:rPr>
          <w:rFonts w:eastAsia="DengXian"/>
          <w:iCs/>
          <w:lang w:eastAsia="zh-CN"/>
        </w:rPr>
        <w:t>to read:</w:t>
      </w:r>
    </w:p>
    <w:p w14:paraId="242CB686" w14:textId="52FE27F9" w:rsidR="006C09D8" w:rsidRDefault="00D76FEC" w:rsidP="00D76FEC">
      <w:pPr>
        <w:spacing w:after="120" w:line="240" w:lineRule="auto"/>
        <w:ind w:left="2268" w:right="1134" w:hanging="1134"/>
        <w:jc w:val="both"/>
      </w:pPr>
      <w:r>
        <w:t>"</w:t>
      </w:r>
      <w:r w:rsidR="006C09D8" w:rsidRPr="00DE6D79">
        <w:t>18.8.7.</w:t>
      </w:r>
      <w:r w:rsidR="006C09D8" w:rsidRPr="00DE6D79">
        <w:tab/>
        <w:t xml:space="preserve">In a </w:t>
      </w:r>
      <w:r w:rsidR="006C09D8" w:rsidRPr="00F13670">
        <w:rPr>
          <w:strike/>
        </w:rPr>
        <w:t>passengers</w:t>
      </w:r>
      <w:r w:rsidR="006C09D8" w:rsidRPr="00F13670">
        <w:t xml:space="preserve"> </w:t>
      </w:r>
      <w:r w:rsidR="006C09D8" w:rsidRPr="00F13670">
        <w:rPr>
          <w:b/>
          <w:bCs/>
        </w:rPr>
        <w:t>occupant</w:t>
      </w:r>
      <w:r w:rsidR="006C09D8" w:rsidRPr="00F13670">
        <w:t xml:space="preserve"> </w:t>
      </w:r>
      <w:r w:rsidR="006C09D8" w:rsidRPr="00DE6D79">
        <w:t>compartment or enclosed luggage compartment the fuel lines shall be no longer than reasonably required, and in any case shall be protected by a gas-tight housing.</w:t>
      </w:r>
      <w:r>
        <w:t>"</w:t>
      </w:r>
    </w:p>
    <w:p w14:paraId="6262FF08" w14:textId="3E97A55A" w:rsidR="006C09D8" w:rsidRPr="00E4710C" w:rsidRDefault="006C09D8" w:rsidP="006C09D8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Paragraph 18.10.2.</w:t>
      </w:r>
      <w:r w:rsidR="00FF29D4">
        <w:rPr>
          <w:rFonts w:eastAsia="DengXian"/>
          <w:i/>
          <w:lang w:eastAsia="zh-CN"/>
        </w:rPr>
        <w:t>,</w:t>
      </w:r>
      <w:r>
        <w:rPr>
          <w:rFonts w:eastAsia="DengXian"/>
          <w:i/>
          <w:lang w:eastAsia="zh-CN"/>
        </w:rPr>
        <w:t xml:space="preserve"> </w:t>
      </w:r>
      <w:r w:rsidRPr="00332B16">
        <w:rPr>
          <w:rFonts w:eastAsia="DengXian"/>
          <w:iCs/>
          <w:lang w:eastAsia="zh-CN"/>
        </w:rPr>
        <w:t xml:space="preserve">amend </w:t>
      </w:r>
      <w:r w:rsidRPr="004307BA">
        <w:rPr>
          <w:rFonts w:eastAsia="DengXian"/>
          <w:iCs/>
          <w:lang w:eastAsia="zh-CN"/>
        </w:rPr>
        <w:t>to read:</w:t>
      </w:r>
    </w:p>
    <w:p w14:paraId="36D85230" w14:textId="19AD85DA" w:rsidR="00AD00B2" w:rsidRDefault="00D76FEC" w:rsidP="00D76FEC">
      <w:pPr>
        <w:spacing w:after="120" w:line="240" w:lineRule="auto"/>
        <w:ind w:left="2268" w:right="1134" w:hanging="1134"/>
        <w:jc w:val="both"/>
      </w:pPr>
      <w:r>
        <w:t>"</w:t>
      </w:r>
      <w:r w:rsidR="006C09D8" w:rsidRPr="00DE6D79">
        <w:t>18.10.2.</w:t>
      </w:r>
      <w:r w:rsidR="006C09D8" w:rsidRPr="00DE6D79">
        <w:tab/>
        <w:t xml:space="preserve">When the CNG/LNG container or tank is installed in the </w:t>
      </w:r>
      <w:r w:rsidR="006C09D8" w:rsidRPr="00F13670">
        <w:rPr>
          <w:strike/>
        </w:rPr>
        <w:t>passengers</w:t>
      </w:r>
      <w:r w:rsidR="006C09D8" w:rsidRPr="00F13670">
        <w:t xml:space="preserve"> </w:t>
      </w:r>
      <w:r w:rsidR="006C09D8" w:rsidRPr="00F13670">
        <w:rPr>
          <w:b/>
          <w:bCs/>
        </w:rPr>
        <w:t>occupant</w:t>
      </w:r>
      <w:r w:rsidR="006C09D8" w:rsidRPr="00DE6D79">
        <w:t xml:space="preserve"> compartment or an enclosed (luggage) compartment the filling unit shall be located at the outside of the vehicle or in engine compartment.</w:t>
      </w:r>
      <w:r>
        <w:t>"</w:t>
      </w:r>
    </w:p>
    <w:p w14:paraId="3F0A7F4C" w14:textId="77777777" w:rsidR="00AD00B2" w:rsidRPr="00420003" w:rsidRDefault="00AD00B2" w:rsidP="00AD00B2">
      <w:pPr>
        <w:spacing w:before="240"/>
        <w:jc w:val="center"/>
        <w:rPr>
          <w:u w:val="single"/>
        </w:rPr>
      </w:pPr>
      <w:r w:rsidRPr="00420003">
        <w:rPr>
          <w:u w:val="single"/>
        </w:rPr>
        <w:tab/>
      </w:r>
      <w:r w:rsidRPr="00420003">
        <w:rPr>
          <w:u w:val="single"/>
        </w:rPr>
        <w:tab/>
      </w:r>
      <w:r w:rsidRPr="00420003">
        <w:rPr>
          <w:u w:val="single"/>
        </w:rPr>
        <w:tab/>
      </w:r>
    </w:p>
    <w:p w14:paraId="5AA67605" w14:textId="77777777" w:rsidR="00AD00B2" w:rsidRPr="000846F8" w:rsidRDefault="00AD00B2" w:rsidP="00147370">
      <w:pPr>
        <w:pStyle w:val="Para0"/>
      </w:pPr>
    </w:p>
    <w:sectPr w:rsidR="00AD00B2" w:rsidRPr="000846F8" w:rsidSect="000B1EA4">
      <w:headerReference w:type="even" r:id="rId18"/>
      <w:headerReference w:type="default" r:id="rId19"/>
      <w:footerReference w:type="even" r:id="rId20"/>
      <w:footerReference w:type="default" r:id="rId21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3A57" w14:textId="77777777" w:rsidR="00E37C80" w:rsidRDefault="00E37C80"/>
  </w:endnote>
  <w:endnote w:type="continuationSeparator" w:id="0">
    <w:p w14:paraId="4CBAEC0E" w14:textId="77777777" w:rsidR="00E37C80" w:rsidRDefault="00E37C80"/>
  </w:endnote>
  <w:endnote w:type="continuationNotice" w:id="1">
    <w:p w14:paraId="7C66B64C" w14:textId="77777777" w:rsidR="00E37C80" w:rsidRDefault="00E37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1F2C" w14:textId="77777777" w:rsidR="00E37C80" w:rsidRPr="000B175B" w:rsidRDefault="00E37C8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84D0E43" w14:textId="77777777" w:rsidR="00E37C80" w:rsidRPr="00FC68B7" w:rsidRDefault="00E37C8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2B940E1" w14:textId="77777777" w:rsidR="00E37C80" w:rsidRDefault="00E37C80"/>
  </w:footnote>
  <w:footnote w:id="2">
    <w:p w14:paraId="2AEA900E" w14:textId="37D7EA77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6D0" w14:textId="411358B2" w:rsidR="000B1EA4" w:rsidRPr="000B1EA4" w:rsidRDefault="000B58C6">
    <w:pPr>
      <w:pStyle w:val="Header"/>
    </w:pPr>
    <w:fldSimple w:instr=" TITLE  \* MERGEFORMAT ">
      <w:r w:rsidR="00586555">
        <w:t>ECE/TRANS/WP.29/GRSG/2025/</w:t>
      </w:r>
      <w:r w:rsidR="00D76FEC">
        <w:t>31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0E8" w14:textId="24020F64" w:rsidR="000B1EA4" w:rsidRPr="000B1EA4" w:rsidRDefault="000B58C6" w:rsidP="000B1EA4">
    <w:pPr>
      <w:pStyle w:val="Header"/>
      <w:jc w:val="right"/>
    </w:pPr>
    <w:fldSimple w:instr=" TITLE  \* MERGEFORMAT ">
      <w:r w:rsidR="00586555">
        <w:t>ECE/TRANS/WP.29/GRSG/2025/</w:t>
      </w:r>
      <w:r w:rsidR="00D76FEC">
        <w:t>31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5"/>
  </w:num>
  <w:num w:numId="12" w16cid:durableId="1211183943">
    <w:abstractNumId w:val="14"/>
  </w:num>
  <w:num w:numId="13" w16cid:durableId="482426443">
    <w:abstractNumId w:val="10"/>
  </w:num>
  <w:num w:numId="14" w16cid:durableId="539629582">
    <w:abstractNumId w:val="12"/>
  </w:num>
  <w:num w:numId="15" w16cid:durableId="650136043">
    <w:abstractNumId w:val="16"/>
  </w:num>
  <w:num w:numId="16" w16cid:durableId="462188031">
    <w:abstractNumId w:val="13"/>
  </w:num>
  <w:num w:numId="17" w16cid:durableId="393236747">
    <w:abstractNumId w:val="17"/>
  </w:num>
  <w:num w:numId="18" w16cid:durableId="920482846">
    <w:abstractNumId w:val="19"/>
  </w:num>
  <w:num w:numId="19" w16cid:durableId="662591124">
    <w:abstractNumId w:val="11"/>
  </w:num>
  <w:num w:numId="20" w16cid:durableId="179386263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4CE9"/>
    <w:rsid w:val="00005DF3"/>
    <w:rsid w:val="00006790"/>
    <w:rsid w:val="00007AF2"/>
    <w:rsid w:val="00024AEA"/>
    <w:rsid w:val="0002603C"/>
    <w:rsid w:val="00027624"/>
    <w:rsid w:val="00050F6B"/>
    <w:rsid w:val="00051972"/>
    <w:rsid w:val="000678CD"/>
    <w:rsid w:val="00072364"/>
    <w:rsid w:val="00072C8C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A2EB7"/>
    <w:rsid w:val="000A3324"/>
    <w:rsid w:val="000B175B"/>
    <w:rsid w:val="000B1EA4"/>
    <w:rsid w:val="000B3A0F"/>
    <w:rsid w:val="000B58C6"/>
    <w:rsid w:val="000C01EE"/>
    <w:rsid w:val="000C1217"/>
    <w:rsid w:val="000D598D"/>
    <w:rsid w:val="000E0415"/>
    <w:rsid w:val="000E0E92"/>
    <w:rsid w:val="000F35BA"/>
    <w:rsid w:val="000F7715"/>
    <w:rsid w:val="001259DE"/>
    <w:rsid w:val="00147370"/>
    <w:rsid w:val="00156B99"/>
    <w:rsid w:val="00166124"/>
    <w:rsid w:val="001763F3"/>
    <w:rsid w:val="0017782E"/>
    <w:rsid w:val="001846E2"/>
    <w:rsid w:val="00184DDA"/>
    <w:rsid w:val="001900CD"/>
    <w:rsid w:val="001A0452"/>
    <w:rsid w:val="001A7EF8"/>
    <w:rsid w:val="001B408D"/>
    <w:rsid w:val="001B4B04"/>
    <w:rsid w:val="001B4D3D"/>
    <w:rsid w:val="001B5875"/>
    <w:rsid w:val="001C15C9"/>
    <w:rsid w:val="001C2CED"/>
    <w:rsid w:val="001C4B9C"/>
    <w:rsid w:val="001C6663"/>
    <w:rsid w:val="001C7895"/>
    <w:rsid w:val="001D18F6"/>
    <w:rsid w:val="001D26DF"/>
    <w:rsid w:val="001E2F32"/>
    <w:rsid w:val="001F093E"/>
    <w:rsid w:val="001F1599"/>
    <w:rsid w:val="001F19C4"/>
    <w:rsid w:val="002043F0"/>
    <w:rsid w:val="00211E0B"/>
    <w:rsid w:val="00232575"/>
    <w:rsid w:val="002379AC"/>
    <w:rsid w:val="00247258"/>
    <w:rsid w:val="00257CAC"/>
    <w:rsid w:val="00260D2F"/>
    <w:rsid w:val="00271E29"/>
    <w:rsid w:val="0027237A"/>
    <w:rsid w:val="002938A5"/>
    <w:rsid w:val="00296CEB"/>
    <w:rsid w:val="002974E9"/>
    <w:rsid w:val="002A306B"/>
    <w:rsid w:val="002A7F94"/>
    <w:rsid w:val="002B109A"/>
    <w:rsid w:val="002B29E9"/>
    <w:rsid w:val="002C67B4"/>
    <w:rsid w:val="002C6D45"/>
    <w:rsid w:val="002D6E53"/>
    <w:rsid w:val="002E110E"/>
    <w:rsid w:val="002F046D"/>
    <w:rsid w:val="002F3023"/>
    <w:rsid w:val="0030126A"/>
    <w:rsid w:val="00301764"/>
    <w:rsid w:val="003164D4"/>
    <w:rsid w:val="003229D8"/>
    <w:rsid w:val="00335BB1"/>
    <w:rsid w:val="0033699F"/>
    <w:rsid w:val="00336C97"/>
    <w:rsid w:val="00337F88"/>
    <w:rsid w:val="00342432"/>
    <w:rsid w:val="0035047B"/>
    <w:rsid w:val="0035223F"/>
    <w:rsid w:val="00352D4B"/>
    <w:rsid w:val="0035638C"/>
    <w:rsid w:val="00375CC0"/>
    <w:rsid w:val="00380772"/>
    <w:rsid w:val="00382A3A"/>
    <w:rsid w:val="00394D6B"/>
    <w:rsid w:val="00394EF2"/>
    <w:rsid w:val="003A46BB"/>
    <w:rsid w:val="003A4EC7"/>
    <w:rsid w:val="003A7295"/>
    <w:rsid w:val="003B0C82"/>
    <w:rsid w:val="003B1F60"/>
    <w:rsid w:val="003B3226"/>
    <w:rsid w:val="003C2CC4"/>
    <w:rsid w:val="003C3A5F"/>
    <w:rsid w:val="003C6404"/>
    <w:rsid w:val="003D4B23"/>
    <w:rsid w:val="003E278A"/>
    <w:rsid w:val="003E6AF7"/>
    <w:rsid w:val="003E6DC1"/>
    <w:rsid w:val="003F071F"/>
    <w:rsid w:val="003F0A27"/>
    <w:rsid w:val="003F21FC"/>
    <w:rsid w:val="00413520"/>
    <w:rsid w:val="00426E70"/>
    <w:rsid w:val="00426F30"/>
    <w:rsid w:val="00431F55"/>
    <w:rsid w:val="004325CB"/>
    <w:rsid w:val="00440A07"/>
    <w:rsid w:val="00445124"/>
    <w:rsid w:val="00450B77"/>
    <w:rsid w:val="00462880"/>
    <w:rsid w:val="00466414"/>
    <w:rsid w:val="00466D33"/>
    <w:rsid w:val="00476F24"/>
    <w:rsid w:val="00481761"/>
    <w:rsid w:val="00492E84"/>
    <w:rsid w:val="004A570C"/>
    <w:rsid w:val="004A5D33"/>
    <w:rsid w:val="004A60AF"/>
    <w:rsid w:val="004B383B"/>
    <w:rsid w:val="004B59A0"/>
    <w:rsid w:val="004C37A6"/>
    <w:rsid w:val="004C55B0"/>
    <w:rsid w:val="004C651E"/>
    <w:rsid w:val="004D1435"/>
    <w:rsid w:val="004F6BA0"/>
    <w:rsid w:val="0050158B"/>
    <w:rsid w:val="00502B9C"/>
    <w:rsid w:val="00503BEA"/>
    <w:rsid w:val="00510783"/>
    <w:rsid w:val="00513249"/>
    <w:rsid w:val="00533616"/>
    <w:rsid w:val="00535ABA"/>
    <w:rsid w:val="005373CB"/>
    <w:rsid w:val="0053768B"/>
    <w:rsid w:val="005420F2"/>
    <w:rsid w:val="0054285C"/>
    <w:rsid w:val="00560CBE"/>
    <w:rsid w:val="005615EE"/>
    <w:rsid w:val="00566E03"/>
    <w:rsid w:val="005736D0"/>
    <w:rsid w:val="00576CA0"/>
    <w:rsid w:val="00584173"/>
    <w:rsid w:val="00586555"/>
    <w:rsid w:val="00595520"/>
    <w:rsid w:val="005A44B9"/>
    <w:rsid w:val="005B1BA0"/>
    <w:rsid w:val="005B3DB3"/>
    <w:rsid w:val="005C0268"/>
    <w:rsid w:val="005D15CA"/>
    <w:rsid w:val="005D17A3"/>
    <w:rsid w:val="005E7B0B"/>
    <w:rsid w:val="005F06C6"/>
    <w:rsid w:val="005F08DF"/>
    <w:rsid w:val="005F3066"/>
    <w:rsid w:val="005F3E61"/>
    <w:rsid w:val="005F56C6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55B0A"/>
    <w:rsid w:val="0065766B"/>
    <w:rsid w:val="0067039D"/>
    <w:rsid w:val="00670B41"/>
    <w:rsid w:val="00671576"/>
    <w:rsid w:val="006770B2"/>
    <w:rsid w:val="006776BA"/>
    <w:rsid w:val="00686A48"/>
    <w:rsid w:val="0068763C"/>
    <w:rsid w:val="00691C3C"/>
    <w:rsid w:val="00692079"/>
    <w:rsid w:val="006940E1"/>
    <w:rsid w:val="00695423"/>
    <w:rsid w:val="006A3C72"/>
    <w:rsid w:val="006A7392"/>
    <w:rsid w:val="006B03A1"/>
    <w:rsid w:val="006B3B36"/>
    <w:rsid w:val="006B5B88"/>
    <w:rsid w:val="006B67D9"/>
    <w:rsid w:val="006C09D8"/>
    <w:rsid w:val="006C5535"/>
    <w:rsid w:val="006D0589"/>
    <w:rsid w:val="006D4056"/>
    <w:rsid w:val="006E564B"/>
    <w:rsid w:val="006E7154"/>
    <w:rsid w:val="006E757A"/>
    <w:rsid w:val="006F1361"/>
    <w:rsid w:val="006F22CE"/>
    <w:rsid w:val="007003CD"/>
    <w:rsid w:val="00701112"/>
    <w:rsid w:val="00701F11"/>
    <w:rsid w:val="00702CDE"/>
    <w:rsid w:val="0070701E"/>
    <w:rsid w:val="00711A0D"/>
    <w:rsid w:val="0072632A"/>
    <w:rsid w:val="007358E8"/>
    <w:rsid w:val="00736ECE"/>
    <w:rsid w:val="007402FF"/>
    <w:rsid w:val="0074533B"/>
    <w:rsid w:val="00745C23"/>
    <w:rsid w:val="00745F4F"/>
    <w:rsid w:val="00750606"/>
    <w:rsid w:val="00755560"/>
    <w:rsid w:val="00762100"/>
    <w:rsid w:val="007643BC"/>
    <w:rsid w:val="00780C68"/>
    <w:rsid w:val="007959FE"/>
    <w:rsid w:val="007A0CF1"/>
    <w:rsid w:val="007B6BA5"/>
    <w:rsid w:val="007B6F4A"/>
    <w:rsid w:val="007C3390"/>
    <w:rsid w:val="007C42D8"/>
    <w:rsid w:val="007C4F4B"/>
    <w:rsid w:val="007D321E"/>
    <w:rsid w:val="007D6F65"/>
    <w:rsid w:val="007D7362"/>
    <w:rsid w:val="007E2A38"/>
    <w:rsid w:val="007E7053"/>
    <w:rsid w:val="007F5CE2"/>
    <w:rsid w:val="007F6611"/>
    <w:rsid w:val="00810BAC"/>
    <w:rsid w:val="008121DD"/>
    <w:rsid w:val="00814C29"/>
    <w:rsid w:val="008175E9"/>
    <w:rsid w:val="008242D7"/>
    <w:rsid w:val="0082577B"/>
    <w:rsid w:val="00825CB5"/>
    <w:rsid w:val="00827AD8"/>
    <w:rsid w:val="00866893"/>
    <w:rsid w:val="00866F02"/>
    <w:rsid w:val="00867D18"/>
    <w:rsid w:val="00871F9A"/>
    <w:rsid w:val="00871FD5"/>
    <w:rsid w:val="00872499"/>
    <w:rsid w:val="00877A8A"/>
    <w:rsid w:val="0088172E"/>
    <w:rsid w:val="00881EFA"/>
    <w:rsid w:val="008879CB"/>
    <w:rsid w:val="00895AF3"/>
    <w:rsid w:val="00895FF8"/>
    <w:rsid w:val="008979B1"/>
    <w:rsid w:val="008A5166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33E0"/>
    <w:rsid w:val="008E7116"/>
    <w:rsid w:val="008F143B"/>
    <w:rsid w:val="008F18DF"/>
    <w:rsid w:val="008F3882"/>
    <w:rsid w:val="008F4B7C"/>
    <w:rsid w:val="00914D27"/>
    <w:rsid w:val="0092556A"/>
    <w:rsid w:val="00926E47"/>
    <w:rsid w:val="00931AC5"/>
    <w:rsid w:val="009357B7"/>
    <w:rsid w:val="00947162"/>
    <w:rsid w:val="00952BE2"/>
    <w:rsid w:val="009610D0"/>
    <w:rsid w:val="0096375C"/>
    <w:rsid w:val="00963A7C"/>
    <w:rsid w:val="00964BF7"/>
    <w:rsid w:val="009662E6"/>
    <w:rsid w:val="0097095E"/>
    <w:rsid w:val="00973AA2"/>
    <w:rsid w:val="0097411D"/>
    <w:rsid w:val="0098592B"/>
    <w:rsid w:val="00985FC4"/>
    <w:rsid w:val="00990766"/>
    <w:rsid w:val="00991261"/>
    <w:rsid w:val="009964C4"/>
    <w:rsid w:val="009A1127"/>
    <w:rsid w:val="009A1FBE"/>
    <w:rsid w:val="009A6533"/>
    <w:rsid w:val="009A7371"/>
    <w:rsid w:val="009A7B81"/>
    <w:rsid w:val="009B011B"/>
    <w:rsid w:val="009B0370"/>
    <w:rsid w:val="009B7EB7"/>
    <w:rsid w:val="009D01C0"/>
    <w:rsid w:val="009D6A08"/>
    <w:rsid w:val="009D6FEB"/>
    <w:rsid w:val="009E0A16"/>
    <w:rsid w:val="009E6CB7"/>
    <w:rsid w:val="009E7970"/>
    <w:rsid w:val="009E7D2D"/>
    <w:rsid w:val="009F2EAC"/>
    <w:rsid w:val="009F5302"/>
    <w:rsid w:val="009F57E3"/>
    <w:rsid w:val="009F65A5"/>
    <w:rsid w:val="00A03D6E"/>
    <w:rsid w:val="00A077A2"/>
    <w:rsid w:val="00A10F4F"/>
    <w:rsid w:val="00A11067"/>
    <w:rsid w:val="00A1406A"/>
    <w:rsid w:val="00A1704A"/>
    <w:rsid w:val="00A35A0F"/>
    <w:rsid w:val="00A36AC2"/>
    <w:rsid w:val="00A40B76"/>
    <w:rsid w:val="00A425EB"/>
    <w:rsid w:val="00A512FF"/>
    <w:rsid w:val="00A72F22"/>
    <w:rsid w:val="00A733BC"/>
    <w:rsid w:val="00A748A6"/>
    <w:rsid w:val="00A766C3"/>
    <w:rsid w:val="00A76A69"/>
    <w:rsid w:val="00A7780E"/>
    <w:rsid w:val="00A879A4"/>
    <w:rsid w:val="00A95C34"/>
    <w:rsid w:val="00A9719E"/>
    <w:rsid w:val="00AA0FF8"/>
    <w:rsid w:val="00AA768A"/>
    <w:rsid w:val="00AA7F40"/>
    <w:rsid w:val="00AB67D5"/>
    <w:rsid w:val="00AC0F2C"/>
    <w:rsid w:val="00AC502A"/>
    <w:rsid w:val="00AC56FF"/>
    <w:rsid w:val="00AC6AA1"/>
    <w:rsid w:val="00AD00B2"/>
    <w:rsid w:val="00AD136A"/>
    <w:rsid w:val="00AD7635"/>
    <w:rsid w:val="00AE1E26"/>
    <w:rsid w:val="00AF58C1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7B15"/>
    <w:rsid w:val="00B4162A"/>
    <w:rsid w:val="00B45C02"/>
    <w:rsid w:val="00B616FA"/>
    <w:rsid w:val="00B70B63"/>
    <w:rsid w:val="00B715E3"/>
    <w:rsid w:val="00B72A1E"/>
    <w:rsid w:val="00B76463"/>
    <w:rsid w:val="00B81E12"/>
    <w:rsid w:val="00B8479C"/>
    <w:rsid w:val="00B90CC7"/>
    <w:rsid w:val="00BA339B"/>
    <w:rsid w:val="00BB23CC"/>
    <w:rsid w:val="00BC1E7E"/>
    <w:rsid w:val="00BC3F9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2715E"/>
    <w:rsid w:val="00C463DD"/>
    <w:rsid w:val="00C720D2"/>
    <w:rsid w:val="00C745C3"/>
    <w:rsid w:val="00C7495C"/>
    <w:rsid w:val="00C978F5"/>
    <w:rsid w:val="00CA24A4"/>
    <w:rsid w:val="00CB348D"/>
    <w:rsid w:val="00CC1A51"/>
    <w:rsid w:val="00CD46F5"/>
    <w:rsid w:val="00CD6F8D"/>
    <w:rsid w:val="00CE1B38"/>
    <w:rsid w:val="00CE4A8F"/>
    <w:rsid w:val="00CF038A"/>
    <w:rsid w:val="00CF071D"/>
    <w:rsid w:val="00CF6C8D"/>
    <w:rsid w:val="00D0123D"/>
    <w:rsid w:val="00D15B04"/>
    <w:rsid w:val="00D202EE"/>
    <w:rsid w:val="00D2031B"/>
    <w:rsid w:val="00D25FE2"/>
    <w:rsid w:val="00D32885"/>
    <w:rsid w:val="00D33C14"/>
    <w:rsid w:val="00D37DA9"/>
    <w:rsid w:val="00D406A7"/>
    <w:rsid w:val="00D41AE9"/>
    <w:rsid w:val="00D43252"/>
    <w:rsid w:val="00D44D86"/>
    <w:rsid w:val="00D50B7D"/>
    <w:rsid w:val="00D52012"/>
    <w:rsid w:val="00D52E21"/>
    <w:rsid w:val="00D704E5"/>
    <w:rsid w:val="00D71579"/>
    <w:rsid w:val="00D72727"/>
    <w:rsid w:val="00D73061"/>
    <w:rsid w:val="00D76FEC"/>
    <w:rsid w:val="00D903C4"/>
    <w:rsid w:val="00D9365B"/>
    <w:rsid w:val="00D978C6"/>
    <w:rsid w:val="00DA029E"/>
    <w:rsid w:val="00DA0956"/>
    <w:rsid w:val="00DA13BD"/>
    <w:rsid w:val="00DA357F"/>
    <w:rsid w:val="00DA3E12"/>
    <w:rsid w:val="00DB2D44"/>
    <w:rsid w:val="00DB4F0B"/>
    <w:rsid w:val="00DC18AD"/>
    <w:rsid w:val="00DF0FF5"/>
    <w:rsid w:val="00DF504D"/>
    <w:rsid w:val="00DF7CAE"/>
    <w:rsid w:val="00E03DE4"/>
    <w:rsid w:val="00E1573C"/>
    <w:rsid w:val="00E16AA2"/>
    <w:rsid w:val="00E37C80"/>
    <w:rsid w:val="00E423C0"/>
    <w:rsid w:val="00E4395D"/>
    <w:rsid w:val="00E47B84"/>
    <w:rsid w:val="00E53F9A"/>
    <w:rsid w:val="00E6414C"/>
    <w:rsid w:val="00E7260F"/>
    <w:rsid w:val="00E8702D"/>
    <w:rsid w:val="00E905F4"/>
    <w:rsid w:val="00E916A9"/>
    <w:rsid w:val="00E916DE"/>
    <w:rsid w:val="00E925AD"/>
    <w:rsid w:val="00E96630"/>
    <w:rsid w:val="00EA7291"/>
    <w:rsid w:val="00ED18DC"/>
    <w:rsid w:val="00ED6201"/>
    <w:rsid w:val="00ED7A2A"/>
    <w:rsid w:val="00ED7DD7"/>
    <w:rsid w:val="00EE48F6"/>
    <w:rsid w:val="00EE67FB"/>
    <w:rsid w:val="00EF1D7F"/>
    <w:rsid w:val="00EF230B"/>
    <w:rsid w:val="00EF37F7"/>
    <w:rsid w:val="00F0081B"/>
    <w:rsid w:val="00F0137E"/>
    <w:rsid w:val="00F04E44"/>
    <w:rsid w:val="00F13BF2"/>
    <w:rsid w:val="00F140E2"/>
    <w:rsid w:val="00F21786"/>
    <w:rsid w:val="00F23BDC"/>
    <w:rsid w:val="00F25D06"/>
    <w:rsid w:val="00F31CFF"/>
    <w:rsid w:val="00F3742B"/>
    <w:rsid w:val="00F40007"/>
    <w:rsid w:val="00F41FDB"/>
    <w:rsid w:val="00F50597"/>
    <w:rsid w:val="00F5132A"/>
    <w:rsid w:val="00F52073"/>
    <w:rsid w:val="00F5436B"/>
    <w:rsid w:val="00F56D63"/>
    <w:rsid w:val="00F609A9"/>
    <w:rsid w:val="00F62C75"/>
    <w:rsid w:val="00F73CD9"/>
    <w:rsid w:val="00F80C99"/>
    <w:rsid w:val="00F84786"/>
    <w:rsid w:val="00F867EC"/>
    <w:rsid w:val="00F91B2B"/>
    <w:rsid w:val="00F9695F"/>
    <w:rsid w:val="00FA2265"/>
    <w:rsid w:val="00FC03CD"/>
    <w:rsid w:val="00FC0646"/>
    <w:rsid w:val="00FC1DE7"/>
    <w:rsid w:val="00FC2357"/>
    <w:rsid w:val="00FC68B7"/>
    <w:rsid w:val="00FD220C"/>
    <w:rsid w:val="00FE0518"/>
    <w:rsid w:val="00FE3E4E"/>
    <w:rsid w:val="00FE6985"/>
    <w:rsid w:val="00FE7B8F"/>
    <w:rsid w:val="00FF29D4"/>
    <w:rsid w:val="00FF3E35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  <w:style w:type="paragraph" w:customStyle="1" w:styleId="Para0">
    <w:name w:val="Para"/>
    <w:basedOn w:val="Normal"/>
    <w:qFormat/>
    <w:rsid w:val="00147370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147370"/>
    <w:pPr>
      <w:widowControl w:val="0"/>
      <w:spacing w:after="120" w:line="240" w:lineRule="exact"/>
      <w:ind w:left="2835" w:right="1134" w:hanging="567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vehicle-regulations/wp29/resolution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unece.org/trans/main/wp29/wp29wgs/wp29gen/wp29resolutions.html" TargetMode="External"/><Relationship Id="rId17" Type="http://schemas.openxmlformats.org/officeDocument/2006/relationships/hyperlink" Target="https://unece.org/transport/vehicle-regulations/wp29/resolu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nece.org/trans/main/wp29/wp29wgs/wp29gen/wp29resolutions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unece.org/transport/vehicle-regulations/wp29/resolution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ece.org/trans/main/wp29/wp29wgs/wp29gen/wp29resolutions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CCFF2-0DE5-4E42-86E9-E9B8A2574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5</TotalTime>
  <Pages>3</Pages>
  <Words>933</Words>
  <Characters>5320</Characters>
  <Application>Microsoft Office Word</Application>
  <DocSecurity>4</DocSecurity>
  <Lines>44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ECE/TRANS/WP.29/GRSG/2025/8</vt:lpstr>
      <vt:lpstr>ECE/TRANS/WP.29/GRSG/2025/8</vt:lpstr>
      <vt:lpstr/>
    </vt:vector>
  </TitlesOfParts>
  <Company>CSD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ECE/TRANS/WP.29/GRSG/2025/XX</dc:title>
  <dc:subject>2500997</dc:subject>
  <dc:creator>Edoardo Gianotti</dc:creator>
  <cp:keywords/>
  <dc:description/>
  <cp:lastModifiedBy>Benedicte Boudol</cp:lastModifiedBy>
  <cp:revision>2</cp:revision>
  <cp:lastPrinted>2025-01-24T14:01:00Z</cp:lastPrinted>
  <dcterms:created xsi:type="dcterms:W3CDTF">2025-07-18T13:09:00Z</dcterms:created>
  <dcterms:modified xsi:type="dcterms:W3CDTF">2025-07-18T13:09:00Z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