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C061" w14:textId="6557F246" w:rsidR="00E31F36" w:rsidRDefault="00ED7F18" w:rsidP="00E31F36">
      <w:pPr>
        <w:pStyle w:val="HChG"/>
      </w:pPr>
      <w:r w:rsidRPr="00ED2B0E">
        <w:tab/>
      </w:r>
      <w:r w:rsidRPr="00ED2B0E">
        <w:tab/>
      </w:r>
      <w:r w:rsidR="00E31F36">
        <w:t>Proposal for a corrigendum to Mutual Resolution (M.R.1) of the 1958 and 1998 Agreements concerning the description and performance of test tools and devices necessary for the assessment of compliance of wheeled vehicles, equipment and parts according to the technical prescriptions specified in Regulations and global technical regulations</w:t>
      </w:r>
    </w:p>
    <w:p w14:paraId="01F2B1A1" w14:textId="77777777" w:rsidR="00E31F36" w:rsidRPr="00E31F36" w:rsidRDefault="00E31F36" w:rsidP="00E31F36"/>
    <w:p w14:paraId="18C1B722" w14:textId="0CF3B40C" w:rsidR="002D352D" w:rsidRDefault="004C4E0F" w:rsidP="00531173">
      <w:pPr>
        <w:pStyle w:val="SingleTxtG"/>
        <w:rPr>
          <w:color w:val="000000" w:themeColor="text1"/>
        </w:rPr>
      </w:pPr>
      <w:r w:rsidRPr="006E6F5F">
        <w:t xml:space="preserve">The text reproduced below was prepared by the expert from </w:t>
      </w:r>
      <w:r>
        <w:t>Germany</w:t>
      </w:r>
      <w:r w:rsidRPr="006E6F5F">
        <w:t xml:space="preserve"> </w:t>
      </w:r>
      <w:r>
        <w:t>to</w:t>
      </w:r>
      <w:r w:rsidR="00E31F36">
        <w:t xml:space="preserve"> correct an editorial error regarding the u</w:t>
      </w:r>
      <w:r w:rsidR="00E31F36" w:rsidRPr="00E31F36">
        <w:t>nit of the moment of inertia</w:t>
      </w:r>
      <w:r w:rsidR="00E31F36">
        <w:t xml:space="preserve">. </w:t>
      </w:r>
      <w:r w:rsidRPr="00DF6800">
        <w:t xml:space="preserve">The modifications to the current text of </w:t>
      </w:r>
      <w:r w:rsidR="00E31F36">
        <w:t>Mutual Res</w:t>
      </w:r>
      <w:r w:rsidR="008671A4">
        <w:t>o</w:t>
      </w:r>
      <w:r w:rsidR="00E31F36">
        <w:t xml:space="preserve">lution (M.R.1) </w:t>
      </w:r>
      <w:r w:rsidRPr="00DF6800">
        <w:t>are marked</w:t>
      </w:r>
      <w:r>
        <w:t xml:space="preserve"> </w:t>
      </w:r>
      <w:r w:rsidRPr="00DF6800">
        <w:t xml:space="preserve">in </w:t>
      </w:r>
      <w:r w:rsidRPr="004C4E0F">
        <w:rPr>
          <w:b/>
          <w:bCs/>
        </w:rPr>
        <w:t>bold</w:t>
      </w:r>
      <w:r w:rsidRPr="00DF6800">
        <w:t xml:space="preserve"> for new </w:t>
      </w:r>
      <w:r w:rsidRPr="00DF6800">
        <w:rPr>
          <w:strike/>
        </w:rPr>
        <w:t>and strikethrough</w:t>
      </w:r>
      <w:r w:rsidRPr="00DF6800">
        <w:t xml:space="preserve"> for deleted characters</w:t>
      </w:r>
      <w:r w:rsidR="002D352D">
        <w:t>.</w:t>
      </w:r>
    </w:p>
    <w:p w14:paraId="37CBB239" w14:textId="1F010F66" w:rsidR="005760CB" w:rsidRDefault="00831D3D" w:rsidP="00455A06">
      <w:pPr>
        <w:pStyle w:val="HChG"/>
      </w:pPr>
      <w:r>
        <w:tab/>
        <w:t>I.</w:t>
      </w:r>
      <w:r>
        <w:tab/>
      </w:r>
      <w:r w:rsidR="005760CB" w:rsidRPr="00831D3D">
        <w:t>Proposal</w:t>
      </w:r>
    </w:p>
    <w:p w14:paraId="15201E23" w14:textId="4FCEAF77" w:rsidR="00670237" w:rsidRDefault="00BA32C7" w:rsidP="00670237">
      <w:pPr>
        <w:pStyle w:val="SingleTxtG"/>
        <w:ind w:left="2268" w:hanging="1134"/>
      </w:pPr>
      <w:r>
        <w:rPr>
          <w:i/>
        </w:rPr>
        <w:t>Addendum 3,</w:t>
      </w:r>
      <w:r w:rsidR="00670237">
        <w:rPr>
          <w:i/>
        </w:rPr>
        <w:t xml:space="preserve"> </w:t>
      </w:r>
      <w:r w:rsidR="00670237" w:rsidRPr="00F252A8">
        <w:rPr>
          <w:i/>
        </w:rPr>
        <w:t xml:space="preserve">Paragraph </w:t>
      </w:r>
      <w:r w:rsidR="004B0140">
        <w:rPr>
          <w:i/>
        </w:rPr>
        <w:t>2.1</w:t>
      </w:r>
      <w:r w:rsidR="00670237">
        <w:rPr>
          <w:i/>
        </w:rPr>
        <w:t>.</w:t>
      </w:r>
      <w:r w:rsidR="00670237" w:rsidRPr="00F252A8">
        <w:rPr>
          <w:i/>
          <w:iCs/>
        </w:rPr>
        <w:t>,</w:t>
      </w:r>
      <w:r w:rsidR="00670237">
        <w:rPr>
          <w:i/>
          <w:iCs/>
        </w:rPr>
        <w:t xml:space="preserve"> </w:t>
      </w:r>
      <w:r w:rsidR="00670237" w:rsidRPr="009345C7">
        <w:t>amend to read:</w:t>
      </w:r>
    </w:p>
    <w:p w14:paraId="69C4004F" w14:textId="73A85EEC" w:rsidR="001103BA" w:rsidRDefault="00670237" w:rsidP="001103BA">
      <w:pPr>
        <w:pStyle w:val="SingleTxtG"/>
        <w:ind w:left="2268" w:hanging="1134"/>
      </w:pPr>
      <w:r>
        <w:t>“</w:t>
      </w:r>
      <w:r w:rsidR="001103BA">
        <w:t xml:space="preserve">2.1. </w:t>
      </w:r>
      <w:r w:rsidR="001103BA">
        <w:tab/>
      </w:r>
      <w:r w:rsidR="001103BA">
        <w:tab/>
      </w:r>
      <w:r w:rsidR="001103BA" w:rsidRPr="00C57748">
        <w:rPr>
          <w:u w:val="single"/>
        </w:rPr>
        <w:t>Physical properties</w:t>
      </w:r>
      <w:r w:rsidR="001103BA">
        <w:t xml:space="preserve"> </w:t>
      </w:r>
    </w:p>
    <w:p w14:paraId="0ACF60CD" w14:textId="77777777" w:rsidR="004B0140" w:rsidRDefault="001103BA" w:rsidP="001103BA">
      <w:pPr>
        <w:pStyle w:val="SingleTxtG"/>
        <w:ind w:left="2268" w:hanging="1134"/>
      </w:pPr>
      <w:r>
        <w:tab/>
      </w:r>
      <w:r>
        <w:tab/>
        <w:t xml:space="preserve">The flexible Pedestrian </w:t>
      </w:r>
      <w:proofErr w:type="spellStart"/>
      <w:r>
        <w:t>Legform</w:t>
      </w:r>
      <w:proofErr w:type="spellEnd"/>
      <w:r>
        <w:t xml:space="preserve"> Impactor shall consist of the flesh and skin, flexible long bone segments (representing femur bone and tibia bone), and the knee joint as shown in Figure 1. </w:t>
      </w:r>
    </w:p>
    <w:p w14:paraId="2A51BA5A" w14:textId="77777777" w:rsidR="004B0140" w:rsidRDefault="004B0140" w:rsidP="001103BA">
      <w:pPr>
        <w:pStyle w:val="SingleTxtG"/>
        <w:ind w:left="2268" w:hanging="1134"/>
      </w:pPr>
      <w:r>
        <w:tab/>
      </w:r>
      <w:r>
        <w:tab/>
      </w:r>
      <w:r w:rsidR="001103BA">
        <w:t xml:space="preserve">The assembled impactor shall have a total mass of 13.2 ± 0.4 kg. The dimensions of the fully assembled impactor shall be as defined in Figure 1, measured at the vertical centre line. </w:t>
      </w:r>
    </w:p>
    <w:p w14:paraId="578CF5F6" w14:textId="77777777" w:rsidR="004B0140" w:rsidRDefault="004B0140" w:rsidP="001103BA">
      <w:pPr>
        <w:pStyle w:val="SingleTxtG"/>
        <w:ind w:left="2268" w:hanging="1134"/>
      </w:pPr>
      <w:r>
        <w:tab/>
      </w:r>
      <w:r>
        <w:tab/>
      </w:r>
      <w:r w:rsidR="001103BA">
        <w:t xml:space="preserve">Brackets, pulleys, protectors, connection parts, etc. attached to the impactor for the purposes of launching and/or protection may extend beyond the dimensions and tolerances shown in Figures 1 and 2. </w:t>
      </w:r>
    </w:p>
    <w:p w14:paraId="2020D5CD" w14:textId="77777777" w:rsidR="004B0140" w:rsidRDefault="004B0140" w:rsidP="001103BA">
      <w:pPr>
        <w:pStyle w:val="SingleTxtG"/>
        <w:ind w:left="2268" w:hanging="1134"/>
      </w:pPr>
      <w:r>
        <w:tab/>
      </w:r>
      <w:r>
        <w:tab/>
      </w:r>
      <w:r w:rsidR="001103BA">
        <w:t xml:space="preserve">The cross-sectional shape of the femur main body segments, the tibia main body segments and their impact faces shall be as defined in Figure 2 (a). </w:t>
      </w:r>
    </w:p>
    <w:p w14:paraId="34D9C425" w14:textId="77777777" w:rsidR="004B0140" w:rsidRDefault="004B0140" w:rsidP="001103BA">
      <w:pPr>
        <w:pStyle w:val="SingleTxtG"/>
        <w:ind w:left="2268" w:hanging="1134"/>
      </w:pPr>
      <w:r>
        <w:tab/>
      </w:r>
      <w:r>
        <w:tab/>
      </w:r>
      <w:r w:rsidR="001103BA">
        <w:t xml:space="preserve">The cross-sectional shape of the knee joint and its impact face shall be as defined in Figure 2 (b). </w:t>
      </w:r>
    </w:p>
    <w:p w14:paraId="099E4D6C" w14:textId="77777777" w:rsidR="004B0140" w:rsidRDefault="004B0140" w:rsidP="001103BA">
      <w:pPr>
        <w:pStyle w:val="SingleTxtG"/>
        <w:ind w:left="2268" w:hanging="1134"/>
      </w:pPr>
      <w:r>
        <w:tab/>
      </w:r>
      <w:r>
        <w:tab/>
      </w:r>
      <w:r w:rsidR="001103BA">
        <w:t xml:space="preserve">The masses of the femur and the tibia without the flesh and skin, including the connection parts to the knee joint, shall be 2.46 ± 0.12 kg and 2.64 ± 0.13 kg respectively. The mass of the knee joint without the flesh and skin shall be 4.28 ± 0.21 kg. The assembled mass of the femur, the knee joint and the tibia without the flesh and skin shall be 9.38 ± 0.3 kg. The screws that attach femur and tibia to the knee are part of the knee assembly. </w:t>
      </w:r>
    </w:p>
    <w:p w14:paraId="3265BA28" w14:textId="77777777" w:rsidR="004B0140" w:rsidRDefault="004B0140" w:rsidP="001103BA">
      <w:pPr>
        <w:pStyle w:val="SingleTxtG"/>
        <w:ind w:left="2268" w:hanging="1134"/>
      </w:pPr>
      <w:r>
        <w:tab/>
      </w:r>
      <w:r>
        <w:tab/>
      </w:r>
      <w:r w:rsidR="001103BA">
        <w:t xml:space="preserve">The centres of gravity of (a) the femur and tibia without the flesh and skin, including the connection parts to the knee joint, and (b) the knee joint shall be as defined in Figure 1. </w:t>
      </w:r>
    </w:p>
    <w:p w14:paraId="7CB80B12" w14:textId="2CA25C30" w:rsidR="00FC7200" w:rsidRDefault="004B0140" w:rsidP="001103BA">
      <w:pPr>
        <w:pStyle w:val="SingleTxtG"/>
        <w:ind w:left="2268" w:hanging="1134"/>
      </w:pPr>
      <w:r>
        <w:tab/>
      </w:r>
      <w:r>
        <w:tab/>
      </w:r>
      <w:r w:rsidR="001103BA">
        <w:t xml:space="preserve">The moment of inertia of the femur and the tibia without the flesh and skin, including the connection parts inserted to the knee joint, around the X-axis through the respective centre of gravity shall be 0.0339 ± 0.0016 </w:t>
      </w:r>
      <w:r w:rsidR="00EB1598" w:rsidRPr="00EB1598">
        <w:rPr>
          <w:b/>
        </w:rPr>
        <w:t>kgm</w:t>
      </w:r>
      <w:r w:rsidR="00EB1598" w:rsidRPr="00EB1598">
        <w:rPr>
          <w:b/>
          <w:vertAlign w:val="superscript"/>
        </w:rPr>
        <w:t>2</w:t>
      </w:r>
      <w:r w:rsidR="00EB1598">
        <w:t xml:space="preserve"> </w:t>
      </w:r>
      <w:r w:rsidR="001103BA" w:rsidRPr="00EB1598">
        <w:rPr>
          <w:strike/>
        </w:rPr>
        <w:t>kg/m²</w:t>
      </w:r>
      <w:r w:rsidR="001103BA">
        <w:t xml:space="preserve"> and 0.0486 ± 0.0023 </w:t>
      </w:r>
      <w:r w:rsidR="00EB1598" w:rsidRPr="00EB1598">
        <w:rPr>
          <w:b/>
        </w:rPr>
        <w:t>kgm</w:t>
      </w:r>
      <w:r w:rsidR="00EB1598" w:rsidRPr="00EB1598">
        <w:rPr>
          <w:b/>
          <w:vertAlign w:val="superscript"/>
        </w:rPr>
        <w:t>2</w:t>
      </w:r>
      <w:r w:rsidR="00EB1598">
        <w:rPr>
          <w:b/>
          <w:vertAlign w:val="superscript"/>
        </w:rPr>
        <w:t xml:space="preserve"> </w:t>
      </w:r>
      <w:r w:rsidR="001103BA" w:rsidRPr="00EB1598">
        <w:rPr>
          <w:strike/>
        </w:rPr>
        <w:t xml:space="preserve">kg/m² </w:t>
      </w:r>
      <w:r w:rsidR="001103BA">
        <w:t xml:space="preserve">respectively. The moment of inertia of the knee joint around the X-axis through the respective centre of gravity shall be 0.0180 ± 0.0009 </w:t>
      </w:r>
      <w:r w:rsidR="00EB1598" w:rsidRPr="00EB1598">
        <w:rPr>
          <w:b/>
        </w:rPr>
        <w:t>kgm</w:t>
      </w:r>
      <w:r w:rsidR="00EB1598" w:rsidRPr="00EB1598">
        <w:rPr>
          <w:b/>
          <w:vertAlign w:val="superscript"/>
        </w:rPr>
        <w:t>2</w:t>
      </w:r>
      <w:r w:rsidR="00EB1598">
        <w:rPr>
          <w:b/>
          <w:vertAlign w:val="superscript"/>
        </w:rPr>
        <w:t xml:space="preserve"> </w:t>
      </w:r>
      <w:r w:rsidR="00EB1598" w:rsidRPr="00EB1598">
        <w:rPr>
          <w:strike/>
        </w:rPr>
        <w:t>kg/m²</w:t>
      </w:r>
      <w:r w:rsidR="001103BA">
        <w:t>.</w:t>
      </w:r>
    </w:p>
    <w:p w14:paraId="34A14484" w14:textId="701CF128" w:rsidR="004B0140" w:rsidRDefault="004B0140" w:rsidP="001103BA">
      <w:pPr>
        <w:pStyle w:val="SingleTxtG"/>
        <w:ind w:left="2268" w:hanging="1134"/>
      </w:pPr>
      <w:r>
        <w:tab/>
      </w:r>
      <w:r>
        <w:tab/>
        <w:t xml:space="preserve">For each test, the impactor (femur, knee joint and tibia without flesh and skin) shall be covered by the flesh and skin composed of synthetic rubber sheets (R1, R2) and foamed neoprene sheets (N1F, N2F, N1T, N2T, N3) as shown in Figure 3. The size of the sheets shall be within the requirements shown in Figure 3. The sheets are required to have compression characteristics as shown </w:t>
      </w:r>
      <w:r>
        <w:lastRenderedPageBreak/>
        <w:t>For each test, the impactor (femur, knee joint and tibia without flesh and skin) shall be covered by the flesh and skin composed of synthetic rubber sheets (R1, R2) and foamed neoprene sheets (N1F, N2F, N1T, N2T, N3) as shown in Figure 3. The size of the sheets shall be within the requirements shown in Figure 3. The sheets are required to have compression characteristics as shown:</w:t>
      </w:r>
    </w:p>
    <w:p w14:paraId="215C74F5" w14:textId="6CDD8366" w:rsidR="004B0140" w:rsidRDefault="004B0140" w:rsidP="001103BA">
      <w:pPr>
        <w:pStyle w:val="SingleTxtG"/>
        <w:ind w:left="2268" w:hanging="1134"/>
      </w:pPr>
      <w:r>
        <w:tab/>
      </w:r>
      <w:r>
        <w:tab/>
        <w:t>Figure 1</w:t>
      </w:r>
    </w:p>
    <w:p w14:paraId="0906CDAE" w14:textId="4C8C9537" w:rsidR="004B0140" w:rsidRPr="00B52190" w:rsidRDefault="004B0140" w:rsidP="001103BA">
      <w:pPr>
        <w:pStyle w:val="SingleTxtG"/>
        <w:ind w:left="2268" w:hanging="1134"/>
      </w:pPr>
      <w:r>
        <w:tab/>
      </w:r>
      <w:r>
        <w:tab/>
        <w:t>….”</w:t>
      </w:r>
    </w:p>
    <w:p w14:paraId="19B7DB3D" w14:textId="35C8B479" w:rsidR="00C11DF7" w:rsidRPr="004E3F12" w:rsidRDefault="00C11DF7" w:rsidP="00C11DF7">
      <w:pPr>
        <w:pStyle w:val="HChG"/>
      </w:pPr>
      <w:r w:rsidRPr="00C11DF7">
        <w:tab/>
      </w:r>
      <w:r w:rsidRPr="004E3F12">
        <w:t>II.</w:t>
      </w:r>
      <w:r w:rsidRPr="004E3F12">
        <w:tab/>
      </w:r>
      <w:r w:rsidRPr="004E3F12">
        <w:tab/>
        <w:t>Justification</w:t>
      </w:r>
    </w:p>
    <w:p w14:paraId="3D628415" w14:textId="01F21C40" w:rsidR="00C11DF7" w:rsidRPr="004E3F12" w:rsidRDefault="00C11DF7" w:rsidP="00D71DBD">
      <w:pPr>
        <w:shd w:val="clear" w:color="auto" w:fill="FFFFFF"/>
        <w:spacing w:before="100" w:beforeAutospacing="1" w:after="100" w:afterAutospacing="1" w:line="240" w:lineRule="auto"/>
        <w:ind w:left="1134" w:right="1134"/>
      </w:pPr>
      <w:r w:rsidRPr="00C11DF7">
        <w:t>The purpose of this proposal is to correct an editorial error regarding the unit of the moment of inertia. The moment of inertia is the result of multiplying the mass by the square of the distance from the axis of rotation. </w:t>
      </w:r>
      <w:r w:rsidR="006B1DFE">
        <w:t>Thus</w:t>
      </w:r>
      <w:r>
        <w:t xml:space="preserve"> the unit must be corrected to kgm</w:t>
      </w:r>
      <w:r w:rsidRPr="00C11DF7">
        <w:rPr>
          <w:vertAlign w:val="superscript"/>
        </w:rPr>
        <w:t>2</w:t>
      </w:r>
      <w:r>
        <w:t xml:space="preserve"> instead of kg/m</w:t>
      </w:r>
      <w:r w:rsidRPr="00C11DF7">
        <w:rPr>
          <w:vertAlign w:val="superscript"/>
        </w:rPr>
        <w:t>2</w:t>
      </w:r>
      <w:r>
        <w:t>.</w:t>
      </w:r>
    </w:p>
    <w:p w14:paraId="2186826F" w14:textId="6444FDE1" w:rsidR="00D00CE2" w:rsidRPr="00C11DF7" w:rsidRDefault="00D00CE2" w:rsidP="00EB1598">
      <w:pPr>
        <w:spacing w:before="240"/>
      </w:pPr>
    </w:p>
    <w:sectPr w:rsidR="00D00CE2" w:rsidRPr="00C11DF7"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14E5" w14:textId="77777777" w:rsidR="00095F8B" w:rsidRDefault="00095F8B"/>
  </w:endnote>
  <w:endnote w:type="continuationSeparator" w:id="0">
    <w:p w14:paraId="7D476B1F" w14:textId="77777777" w:rsidR="00095F8B" w:rsidRDefault="00095F8B"/>
  </w:endnote>
  <w:endnote w:type="continuationNotice" w:id="1">
    <w:p w14:paraId="778B43D7" w14:textId="77777777" w:rsidR="00095F8B" w:rsidRDefault="00095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6F23" w14:textId="77777777" w:rsidR="00095F8B" w:rsidRPr="000B175B" w:rsidRDefault="00095F8B" w:rsidP="000B175B">
      <w:pPr>
        <w:tabs>
          <w:tab w:val="right" w:pos="2155"/>
        </w:tabs>
        <w:spacing w:after="80"/>
        <w:ind w:left="680"/>
        <w:rPr>
          <w:u w:val="single"/>
        </w:rPr>
      </w:pPr>
      <w:r>
        <w:rPr>
          <w:u w:val="single"/>
        </w:rPr>
        <w:tab/>
      </w:r>
    </w:p>
  </w:footnote>
  <w:footnote w:type="continuationSeparator" w:id="0">
    <w:p w14:paraId="7360E170" w14:textId="77777777" w:rsidR="00095F8B" w:rsidRPr="00FC68B7" w:rsidRDefault="00095F8B" w:rsidP="00FC68B7">
      <w:pPr>
        <w:tabs>
          <w:tab w:val="left" w:pos="2155"/>
        </w:tabs>
        <w:spacing w:after="80"/>
        <w:ind w:left="680"/>
        <w:rPr>
          <w:u w:val="single"/>
        </w:rPr>
      </w:pPr>
      <w:r>
        <w:rPr>
          <w:u w:val="single"/>
        </w:rPr>
        <w:tab/>
      </w:r>
    </w:p>
  </w:footnote>
  <w:footnote w:type="continuationNotice" w:id="1">
    <w:p w14:paraId="5AA80720" w14:textId="77777777" w:rsidR="00095F8B" w:rsidRDefault="00095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10B86266" w:rsidR="00BB4BFD" w:rsidRPr="00BB4BFD" w:rsidRDefault="00BB4BFD" w:rsidP="00BB4BFD">
    <w:pPr>
      <w:pStyle w:val="Header"/>
      <w:tabs>
        <w:tab w:val="right" w:pos="9639"/>
      </w:tabs>
      <w:rPr>
        <w:lang w:val="en-US"/>
      </w:rPr>
    </w:pPr>
    <w:r w:rsidRPr="00BB4BFD">
      <w:rPr>
        <w:b w:val="0"/>
        <w:bCs/>
        <w:lang w:val="en-US"/>
      </w:rPr>
      <w:t xml:space="preserve">Submitted by </w:t>
    </w:r>
    <w:r w:rsidR="00F7373F">
      <w:rPr>
        <w:b w:val="0"/>
        <w:bCs/>
        <w:lang w:val="en-US"/>
      </w:rPr>
      <w:t>Germany</w:t>
    </w:r>
    <w:r w:rsidRPr="00BB4BFD">
      <w:rPr>
        <w:b w:val="0"/>
        <w:bCs/>
        <w:lang w:val="en-US"/>
      </w:rPr>
      <w:tab/>
    </w:r>
    <w:r w:rsidRPr="00B73C54">
      <w:rPr>
        <w:sz w:val="24"/>
        <w:szCs w:val="28"/>
        <w:lang w:val="en-US"/>
      </w:rPr>
      <w:t>GRSP-77-</w:t>
    </w:r>
    <w:r w:rsidR="009C75E1">
      <w:rPr>
        <w:sz w:val="24"/>
        <w:szCs w:val="28"/>
        <w:lang w:val="en-US"/>
      </w:rPr>
      <w:t>54</w:t>
    </w:r>
  </w:p>
  <w:p w14:paraId="6A318103" w14:textId="7D9FCAC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EC30E5">
      <w:rPr>
        <w:b w:val="0"/>
        <w:bCs/>
        <w:lang w:val="en-US"/>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8"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7"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695379061">
    <w:abstractNumId w:val="1"/>
  </w:num>
  <w:num w:numId="2" w16cid:durableId="2055426388">
    <w:abstractNumId w:val="0"/>
  </w:num>
  <w:num w:numId="3" w16cid:durableId="1253901725">
    <w:abstractNumId w:val="2"/>
  </w:num>
  <w:num w:numId="4" w16cid:durableId="1947229702">
    <w:abstractNumId w:val="3"/>
  </w:num>
  <w:num w:numId="5" w16cid:durableId="1368291641">
    <w:abstractNumId w:val="8"/>
  </w:num>
  <w:num w:numId="6" w16cid:durableId="1264414769">
    <w:abstractNumId w:val="9"/>
  </w:num>
  <w:num w:numId="7" w16cid:durableId="1288663972">
    <w:abstractNumId w:val="7"/>
  </w:num>
  <w:num w:numId="8" w16cid:durableId="969673818">
    <w:abstractNumId w:val="6"/>
  </w:num>
  <w:num w:numId="9" w16cid:durableId="356003374">
    <w:abstractNumId w:val="5"/>
  </w:num>
  <w:num w:numId="10" w16cid:durableId="1052844735">
    <w:abstractNumId w:val="4"/>
  </w:num>
  <w:num w:numId="11" w16cid:durableId="1508204859">
    <w:abstractNumId w:val="20"/>
  </w:num>
  <w:num w:numId="12" w16cid:durableId="1512841484">
    <w:abstractNumId w:val="15"/>
  </w:num>
  <w:num w:numId="13" w16cid:durableId="1829512430">
    <w:abstractNumId w:val="10"/>
  </w:num>
  <w:num w:numId="14" w16cid:durableId="87118207">
    <w:abstractNumId w:val="12"/>
  </w:num>
  <w:num w:numId="15" w16cid:durableId="1525365368">
    <w:abstractNumId w:val="21"/>
  </w:num>
  <w:num w:numId="16" w16cid:durableId="97872665">
    <w:abstractNumId w:val="14"/>
  </w:num>
  <w:num w:numId="17" w16cid:durableId="1763528210">
    <w:abstractNumId w:val="25"/>
  </w:num>
  <w:num w:numId="18" w16cid:durableId="2104564379">
    <w:abstractNumId w:val="28"/>
  </w:num>
  <w:num w:numId="19" w16cid:durableId="627054676">
    <w:abstractNumId w:val="11"/>
  </w:num>
  <w:num w:numId="20" w16cid:durableId="648169091">
    <w:abstractNumId w:val="18"/>
  </w:num>
  <w:num w:numId="21" w16cid:durableId="302539747">
    <w:abstractNumId w:val="24"/>
  </w:num>
  <w:num w:numId="22" w16cid:durableId="172493707">
    <w:abstractNumId w:val="27"/>
  </w:num>
  <w:num w:numId="23" w16cid:durableId="117182401">
    <w:abstractNumId w:val="13"/>
  </w:num>
  <w:num w:numId="24" w16cid:durableId="1160000864">
    <w:abstractNumId w:val="26"/>
  </w:num>
  <w:num w:numId="25" w16cid:durableId="979580978">
    <w:abstractNumId w:val="19"/>
  </w:num>
  <w:num w:numId="26" w16cid:durableId="1697584490">
    <w:abstractNumId w:val="16"/>
  </w:num>
  <w:num w:numId="27" w16cid:durableId="1893033015">
    <w:abstractNumId w:val="17"/>
  </w:num>
  <w:num w:numId="28" w16cid:durableId="1500774533">
    <w:abstractNumId w:val="29"/>
  </w:num>
  <w:num w:numId="29" w16cid:durableId="338626040">
    <w:abstractNumId w:val="22"/>
  </w:num>
  <w:num w:numId="30" w16cid:durableId="76862075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48EE"/>
    <w:rsid w:val="00027624"/>
    <w:rsid w:val="00047E60"/>
    <w:rsid w:val="00050F6B"/>
    <w:rsid w:val="00061E89"/>
    <w:rsid w:val="00066E6B"/>
    <w:rsid w:val="000678CD"/>
    <w:rsid w:val="00070708"/>
    <w:rsid w:val="00072C8C"/>
    <w:rsid w:val="000757CA"/>
    <w:rsid w:val="00081CE0"/>
    <w:rsid w:val="00084D30"/>
    <w:rsid w:val="00090320"/>
    <w:rsid w:val="00092F5D"/>
    <w:rsid w:val="000931C0"/>
    <w:rsid w:val="000953A0"/>
    <w:rsid w:val="00095F8B"/>
    <w:rsid w:val="00097003"/>
    <w:rsid w:val="0009775F"/>
    <w:rsid w:val="000A2E09"/>
    <w:rsid w:val="000B0BAB"/>
    <w:rsid w:val="000B175B"/>
    <w:rsid w:val="000B3A0F"/>
    <w:rsid w:val="000B45E1"/>
    <w:rsid w:val="000B55C7"/>
    <w:rsid w:val="000C740C"/>
    <w:rsid w:val="000D4DD3"/>
    <w:rsid w:val="000E0415"/>
    <w:rsid w:val="000E5AB1"/>
    <w:rsid w:val="000F7715"/>
    <w:rsid w:val="0010176D"/>
    <w:rsid w:val="001103BA"/>
    <w:rsid w:val="001140B2"/>
    <w:rsid w:val="00117807"/>
    <w:rsid w:val="00137704"/>
    <w:rsid w:val="00141936"/>
    <w:rsid w:val="001463BB"/>
    <w:rsid w:val="0015490D"/>
    <w:rsid w:val="00156B99"/>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411B5"/>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B0140"/>
    <w:rsid w:val="004C0E79"/>
    <w:rsid w:val="004C4E0F"/>
    <w:rsid w:val="004C55B0"/>
    <w:rsid w:val="004D5410"/>
    <w:rsid w:val="004D7F17"/>
    <w:rsid w:val="004E3AA6"/>
    <w:rsid w:val="004E72DC"/>
    <w:rsid w:val="004F0ED2"/>
    <w:rsid w:val="004F6BA0"/>
    <w:rsid w:val="00503BEA"/>
    <w:rsid w:val="00517C87"/>
    <w:rsid w:val="00521FF9"/>
    <w:rsid w:val="00531173"/>
    <w:rsid w:val="00533616"/>
    <w:rsid w:val="00535ABA"/>
    <w:rsid w:val="00535FC6"/>
    <w:rsid w:val="0053768B"/>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C2C"/>
    <w:rsid w:val="00600A51"/>
    <w:rsid w:val="00600BF0"/>
    <w:rsid w:val="00604DDD"/>
    <w:rsid w:val="006107D6"/>
    <w:rsid w:val="006115CC"/>
    <w:rsid w:val="00611FC4"/>
    <w:rsid w:val="006176FB"/>
    <w:rsid w:val="006178CE"/>
    <w:rsid w:val="00625E72"/>
    <w:rsid w:val="00630FCB"/>
    <w:rsid w:val="006317CB"/>
    <w:rsid w:val="006347E5"/>
    <w:rsid w:val="00637A54"/>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1DFE"/>
    <w:rsid w:val="006B67D9"/>
    <w:rsid w:val="006B727E"/>
    <w:rsid w:val="006C5535"/>
    <w:rsid w:val="006D0589"/>
    <w:rsid w:val="006E564B"/>
    <w:rsid w:val="006E64C6"/>
    <w:rsid w:val="006E7154"/>
    <w:rsid w:val="007003CD"/>
    <w:rsid w:val="0070172D"/>
    <w:rsid w:val="0070701E"/>
    <w:rsid w:val="0072632A"/>
    <w:rsid w:val="007358E8"/>
    <w:rsid w:val="00736ECE"/>
    <w:rsid w:val="00740667"/>
    <w:rsid w:val="00741637"/>
    <w:rsid w:val="0074533B"/>
    <w:rsid w:val="00762438"/>
    <w:rsid w:val="007631AC"/>
    <w:rsid w:val="007643BC"/>
    <w:rsid w:val="0077422D"/>
    <w:rsid w:val="00774B4F"/>
    <w:rsid w:val="00780C6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7F6EAC"/>
    <w:rsid w:val="00800E7D"/>
    <w:rsid w:val="0080624A"/>
    <w:rsid w:val="00807123"/>
    <w:rsid w:val="00810BAC"/>
    <w:rsid w:val="00814C29"/>
    <w:rsid w:val="008175E9"/>
    <w:rsid w:val="0082294F"/>
    <w:rsid w:val="008242D7"/>
    <w:rsid w:val="0082577B"/>
    <w:rsid w:val="00825CB5"/>
    <w:rsid w:val="00827FC9"/>
    <w:rsid w:val="00831D3D"/>
    <w:rsid w:val="00833AAA"/>
    <w:rsid w:val="00835D52"/>
    <w:rsid w:val="00840217"/>
    <w:rsid w:val="00842608"/>
    <w:rsid w:val="0084677E"/>
    <w:rsid w:val="0085398D"/>
    <w:rsid w:val="008638B7"/>
    <w:rsid w:val="00866893"/>
    <w:rsid w:val="00866F02"/>
    <w:rsid w:val="008671A4"/>
    <w:rsid w:val="00867B1E"/>
    <w:rsid w:val="00867D18"/>
    <w:rsid w:val="008702BA"/>
    <w:rsid w:val="00871F9A"/>
    <w:rsid w:val="00871FD5"/>
    <w:rsid w:val="00874153"/>
    <w:rsid w:val="0088172E"/>
    <w:rsid w:val="00881EFA"/>
    <w:rsid w:val="0088436A"/>
    <w:rsid w:val="008879CB"/>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1BD2"/>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81AD7"/>
    <w:rsid w:val="009821D7"/>
    <w:rsid w:val="0098592B"/>
    <w:rsid w:val="00985FC4"/>
    <w:rsid w:val="00990766"/>
    <w:rsid w:val="00991261"/>
    <w:rsid w:val="009964C4"/>
    <w:rsid w:val="009A0BE1"/>
    <w:rsid w:val="009A7B81"/>
    <w:rsid w:val="009B011B"/>
    <w:rsid w:val="009B7EB7"/>
    <w:rsid w:val="009C07B7"/>
    <w:rsid w:val="009C0E65"/>
    <w:rsid w:val="009C75E1"/>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43DF"/>
    <w:rsid w:val="00A36AC2"/>
    <w:rsid w:val="00A425EB"/>
    <w:rsid w:val="00A50EA4"/>
    <w:rsid w:val="00A573D8"/>
    <w:rsid w:val="00A578A1"/>
    <w:rsid w:val="00A578A5"/>
    <w:rsid w:val="00A60979"/>
    <w:rsid w:val="00A6195F"/>
    <w:rsid w:val="00A679E6"/>
    <w:rsid w:val="00A72F22"/>
    <w:rsid w:val="00A733BC"/>
    <w:rsid w:val="00A748A6"/>
    <w:rsid w:val="00A76A69"/>
    <w:rsid w:val="00A834EF"/>
    <w:rsid w:val="00A879A4"/>
    <w:rsid w:val="00AA0FF8"/>
    <w:rsid w:val="00AA15B0"/>
    <w:rsid w:val="00AB5DDB"/>
    <w:rsid w:val="00AC0F2C"/>
    <w:rsid w:val="00AC1803"/>
    <w:rsid w:val="00AC502A"/>
    <w:rsid w:val="00AC77F0"/>
    <w:rsid w:val="00AE1E26"/>
    <w:rsid w:val="00AE3980"/>
    <w:rsid w:val="00AE58B3"/>
    <w:rsid w:val="00AE693A"/>
    <w:rsid w:val="00AF58C1"/>
    <w:rsid w:val="00B0350A"/>
    <w:rsid w:val="00B04A3F"/>
    <w:rsid w:val="00B06643"/>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2C7"/>
    <w:rsid w:val="00BA339B"/>
    <w:rsid w:val="00BB21DE"/>
    <w:rsid w:val="00BB22B8"/>
    <w:rsid w:val="00BB23CC"/>
    <w:rsid w:val="00BB4BFD"/>
    <w:rsid w:val="00BC1E7E"/>
    <w:rsid w:val="00BC2596"/>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11DF7"/>
    <w:rsid w:val="00C2074A"/>
    <w:rsid w:val="00C334CC"/>
    <w:rsid w:val="00C44775"/>
    <w:rsid w:val="00C463DD"/>
    <w:rsid w:val="00C576AB"/>
    <w:rsid w:val="00C57748"/>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123D"/>
    <w:rsid w:val="00D022DD"/>
    <w:rsid w:val="00D15B04"/>
    <w:rsid w:val="00D2031B"/>
    <w:rsid w:val="00D25FE2"/>
    <w:rsid w:val="00D37DA9"/>
    <w:rsid w:val="00D406A7"/>
    <w:rsid w:val="00D41AE9"/>
    <w:rsid w:val="00D42AC4"/>
    <w:rsid w:val="00D43252"/>
    <w:rsid w:val="00D43D30"/>
    <w:rsid w:val="00D44D86"/>
    <w:rsid w:val="00D4539E"/>
    <w:rsid w:val="00D50B7D"/>
    <w:rsid w:val="00D52012"/>
    <w:rsid w:val="00D52228"/>
    <w:rsid w:val="00D53D0C"/>
    <w:rsid w:val="00D704E5"/>
    <w:rsid w:val="00D71DBD"/>
    <w:rsid w:val="00D72727"/>
    <w:rsid w:val="00D72BBD"/>
    <w:rsid w:val="00D82689"/>
    <w:rsid w:val="00D86AEA"/>
    <w:rsid w:val="00D90BC3"/>
    <w:rsid w:val="00D935FE"/>
    <w:rsid w:val="00D978C6"/>
    <w:rsid w:val="00D97C51"/>
    <w:rsid w:val="00DA0956"/>
    <w:rsid w:val="00DA357F"/>
    <w:rsid w:val="00DA3E12"/>
    <w:rsid w:val="00DC18AD"/>
    <w:rsid w:val="00DC792B"/>
    <w:rsid w:val="00DE6AD4"/>
    <w:rsid w:val="00DF2C61"/>
    <w:rsid w:val="00DF7CAE"/>
    <w:rsid w:val="00E032FD"/>
    <w:rsid w:val="00E149B5"/>
    <w:rsid w:val="00E22B54"/>
    <w:rsid w:val="00E257A6"/>
    <w:rsid w:val="00E3074A"/>
    <w:rsid w:val="00E31F36"/>
    <w:rsid w:val="00E423C0"/>
    <w:rsid w:val="00E445D1"/>
    <w:rsid w:val="00E5015A"/>
    <w:rsid w:val="00E52978"/>
    <w:rsid w:val="00E57190"/>
    <w:rsid w:val="00E61EA2"/>
    <w:rsid w:val="00E6414C"/>
    <w:rsid w:val="00E66F5B"/>
    <w:rsid w:val="00E70E0F"/>
    <w:rsid w:val="00E7260F"/>
    <w:rsid w:val="00E8702D"/>
    <w:rsid w:val="00E905F4"/>
    <w:rsid w:val="00E916A9"/>
    <w:rsid w:val="00E916DE"/>
    <w:rsid w:val="00E925AD"/>
    <w:rsid w:val="00E96630"/>
    <w:rsid w:val="00EB0A66"/>
    <w:rsid w:val="00EB1598"/>
    <w:rsid w:val="00EB2084"/>
    <w:rsid w:val="00EB4D0B"/>
    <w:rsid w:val="00EB6912"/>
    <w:rsid w:val="00EC23DE"/>
    <w:rsid w:val="00EC30E5"/>
    <w:rsid w:val="00ED18DC"/>
    <w:rsid w:val="00ED4883"/>
    <w:rsid w:val="00ED59BC"/>
    <w:rsid w:val="00ED6201"/>
    <w:rsid w:val="00ED7A2A"/>
    <w:rsid w:val="00ED7F18"/>
    <w:rsid w:val="00EE41AF"/>
    <w:rsid w:val="00EE4276"/>
    <w:rsid w:val="00EE5D74"/>
    <w:rsid w:val="00EF1D7F"/>
    <w:rsid w:val="00EF7F45"/>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401D"/>
    <w:rsid w:val="00F678B7"/>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B4412"/>
    <w:rsid w:val="00FB7CD1"/>
    <w:rsid w:val="00FC03CD"/>
    <w:rsid w:val="00FC0646"/>
    <w:rsid w:val="00FC5676"/>
    <w:rsid w:val="00FC68B7"/>
    <w:rsid w:val="00FC7200"/>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88A67091-9443-480F-A327-3890D495BB90}">
  <ds:schemaRefs>
    <ds:schemaRef ds:uri="http://schemas.openxmlformats.org/officeDocument/2006/bibliography"/>
  </ds:schemaRefs>
</ds:datastoreItem>
</file>

<file path=customXml/itemProps2.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2</Pages>
  <Words>549</Words>
  <Characters>3133</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GRSP-77-27</vt:lpstr>
      <vt:lpstr>GRSP-77-27</vt:lpstr>
      <vt:lpstr/>
    </vt:vector>
  </TitlesOfParts>
  <Company>CSD</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GRSP-77-54</dc:title>
  <dc:creator>Editorial</dc:creator>
  <cp:lastModifiedBy>Armando Serrano Lombillo</cp:lastModifiedBy>
  <cp:revision>3</cp:revision>
  <cp:lastPrinted>2025-05-01T10:02:00Z</cp:lastPrinted>
  <dcterms:created xsi:type="dcterms:W3CDTF">2025-05-07T14:28:00Z</dcterms:created>
  <dcterms:modified xsi:type="dcterms:W3CDTF">2025-05-07T14:28:00Z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