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F2D0" w:themeFill="accent6" w:themeFillTint="33"/>
        <w:tblLayout w:type="fixed"/>
        <w:tblCellMar>
          <w:top w:w="58" w:type="dxa"/>
          <w:left w:w="58" w:type="dxa"/>
          <w:bottom w:w="58" w:type="dxa"/>
          <w:right w:w="58" w:type="dxa"/>
        </w:tblCellMar>
        <w:tblLook w:val="04A0" w:firstRow="1" w:lastRow="0" w:firstColumn="1" w:lastColumn="0" w:noHBand="0" w:noVBand="1"/>
      </w:tblPr>
      <w:tblGrid>
        <w:gridCol w:w="2337"/>
        <w:gridCol w:w="2337"/>
        <w:gridCol w:w="2338"/>
        <w:gridCol w:w="2338"/>
      </w:tblGrid>
      <w:tr w:rsidR="00972275" w14:paraId="0694DF31" w14:textId="77777777" w:rsidTr="0017678D">
        <w:tc>
          <w:tcPr>
            <w:tcW w:w="9350" w:type="dxa"/>
            <w:gridSpan w:val="4"/>
          </w:tcPr>
          <w:p w14:paraId="2ED857F8" w14:textId="77777777" w:rsidR="00972275" w:rsidRDefault="00972275" w:rsidP="00446CBF">
            <w:pPr>
              <w:jc w:val="center"/>
              <w:rPr>
                <w:rFonts w:ascii="Roboto" w:hAnsi="Roboto"/>
                <w:lang w:val="en-US"/>
              </w:rPr>
            </w:pPr>
            <w:r>
              <w:rPr>
                <w:rFonts w:ascii="Roboto" w:hAnsi="Roboto"/>
                <w:lang w:val="en-US"/>
              </w:rPr>
              <w:t>ADS IWG Working Document</w:t>
            </w:r>
          </w:p>
          <w:p w14:paraId="3CB381B6" w14:textId="77777777" w:rsidR="00972275" w:rsidRDefault="00972275" w:rsidP="00446CBF">
            <w:pPr>
              <w:jc w:val="center"/>
              <w:rPr>
                <w:rFonts w:ascii="Roboto" w:hAnsi="Roboto"/>
                <w:lang w:val="en-US"/>
              </w:rPr>
            </w:pPr>
            <w:r>
              <w:rPr>
                <w:rFonts w:ascii="Roboto" w:hAnsi="Roboto"/>
                <w:lang w:val="en-US"/>
              </w:rPr>
              <w:t>Change Proposal Form</w:t>
            </w:r>
          </w:p>
          <w:p w14:paraId="4D83FAEF" w14:textId="77777777" w:rsidR="00972275" w:rsidRPr="0097125E" w:rsidRDefault="00972275" w:rsidP="00446CBF">
            <w:pPr>
              <w:jc w:val="center"/>
              <w:rPr>
                <w:rFonts w:ascii="Roboto" w:hAnsi="Roboto"/>
                <w:lang w:val="en-US"/>
              </w:rPr>
            </w:pPr>
            <w:r w:rsidRPr="0097125E">
              <w:rPr>
                <w:rFonts w:ascii="Roboto" w:hAnsi="Roboto"/>
                <w:lang w:val="en-US"/>
              </w:rPr>
              <w:t>One major comment per form</w:t>
            </w:r>
          </w:p>
          <w:p w14:paraId="5B3E782B" w14:textId="77777777" w:rsidR="00972275" w:rsidRDefault="00972275" w:rsidP="00446CBF">
            <w:pPr>
              <w:jc w:val="center"/>
              <w:rPr>
                <w:lang w:val="en-US"/>
              </w:rPr>
            </w:pPr>
            <w:r w:rsidRPr="0097125E">
              <w:rPr>
                <w:rFonts w:ascii="Roboto" w:hAnsi="Roboto"/>
                <w:lang w:val="en-US"/>
              </w:rPr>
              <w:t>(Shaded blocks for use by the IWG Secretar</w:t>
            </w:r>
            <w:r w:rsidR="009A32D9">
              <w:rPr>
                <w:rFonts w:ascii="Roboto" w:hAnsi="Roboto"/>
                <w:lang w:val="en-US"/>
              </w:rPr>
              <w:t>iat</w:t>
            </w:r>
            <w:r w:rsidRPr="0097125E">
              <w:rPr>
                <w:rFonts w:ascii="Roboto" w:hAnsi="Roboto"/>
                <w:lang w:val="en-US"/>
              </w:rPr>
              <w:t>)</w:t>
            </w:r>
          </w:p>
        </w:tc>
      </w:tr>
      <w:tr w:rsidR="00972275" w14:paraId="3DAC4B95" w14:textId="77777777" w:rsidTr="0017678D">
        <w:tc>
          <w:tcPr>
            <w:tcW w:w="2337" w:type="dxa"/>
          </w:tcPr>
          <w:p w14:paraId="18431EEA" w14:textId="77777777" w:rsidR="00972275" w:rsidRDefault="00972275" w:rsidP="00446CBF">
            <w:pPr>
              <w:rPr>
                <w:lang w:val="en-US"/>
              </w:rPr>
            </w:pPr>
          </w:p>
        </w:tc>
        <w:tc>
          <w:tcPr>
            <w:tcW w:w="2337" w:type="dxa"/>
          </w:tcPr>
          <w:p w14:paraId="6205AEC1" w14:textId="77777777" w:rsidR="00972275" w:rsidRDefault="00972275" w:rsidP="00446CBF">
            <w:pPr>
              <w:rPr>
                <w:lang w:val="en-US"/>
              </w:rPr>
            </w:pPr>
          </w:p>
        </w:tc>
        <w:tc>
          <w:tcPr>
            <w:tcW w:w="2338" w:type="dxa"/>
          </w:tcPr>
          <w:p w14:paraId="0F0E015A" w14:textId="77777777" w:rsidR="00972275" w:rsidRDefault="00972275" w:rsidP="00446CBF">
            <w:pPr>
              <w:rPr>
                <w:lang w:val="en-US"/>
              </w:rPr>
            </w:pPr>
          </w:p>
        </w:tc>
        <w:tc>
          <w:tcPr>
            <w:tcW w:w="2338" w:type="dxa"/>
          </w:tcPr>
          <w:p w14:paraId="27568801" w14:textId="77777777" w:rsidR="00972275" w:rsidRDefault="00972275" w:rsidP="00446CBF">
            <w:pPr>
              <w:rPr>
                <w:lang w:val="en-US"/>
              </w:rPr>
            </w:pPr>
          </w:p>
        </w:tc>
      </w:tr>
      <w:tr w:rsidR="00972275" w14:paraId="113EC6E3" w14:textId="77777777" w:rsidTr="0017678D">
        <w:tc>
          <w:tcPr>
            <w:tcW w:w="2337" w:type="dxa"/>
            <w:tcBorders>
              <w:right w:val="single" w:sz="4" w:space="0" w:color="auto"/>
            </w:tcBorders>
          </w:tcPr>
          <w:p w14:paraId="15DC55F8" w14:textId="77777777" w:rsidR="00972275" w:rsidRDefault="00972275" w:rsidP="00E240CF">
            <w:pPr>
              <w:ind w:right="144"/>
              <w:jc w:val="right"/>
              <w:rPr>
                <w:lang w:val="en-US"/>
              </w:rPr>
            </w:pPr>
            <w:r>
              <w:rPr>
                <w:lang w:val="en-US"/>
              </w:rPr>
              <w:t>Document Reference</w:t>
            </w:r>
          </w:p>
        </w:tc>
        <w:tc>
          <w:tcPr>
            <w:tcW w:w="2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DABF78" w14:textId="0C9A155A" w:rsidR="00972275" w:rsidRDefault="00673C18" w:rsidP="00446CBF">
            <w:pPr>
              <w:jc w:val="center"/>
              <w:rPr>
                <w:lang w:val="en-US"/>
              </w:rPr>
            </w:pPr>
            <w:r>
              <w:rPr>
                <w:lang w:val="en-US"/>
              </w:rPr>
              <w:t>ADS-17-20</w:t>
            </w:r>
          </w:p>
        </w:tc>
        <w:tc>
          <w:tcPr>
            <w:tcW w:w="2338" w:type="dxa"/>
            <w:tcBorders>
              <w:left w:val="single" w:sz="4" w:space="0" w:color="auto"/>
              <w:right w:val="single" w:sz="4" w:space="0" w:color="auto"/>
            </w:tcBorders>
          </w:tcPr>
          <w:p w14:paraId="22F03729" w14:textId="77777777" w:rsidR="00972275" w:rsidRDefault="00972275" w:rsidP="00E240CF">
            <w:pPr>
              <w:ind w:right="144"/>
              <w:jc w:val="right"/>
              <w:rPr>
                <w:lang w:val="en-US"/>
              </w:rPr>
            </w:pPr>
            <w:r>
              <w:rPr>
                <w:lang w:val="en-US"/>
              </w:rPr>
              <w:t>Date</w:t>
            </w:r>
          </w:p>
        </w:tc>
        <w:tc>
          <w:tcPr>
            <w:tcW w:w="2338" w:type="dxa"/>
            <w:tcBorders>
              <w:top w:val="single" w:sz="4" w:space="0" w:color="auto"/>
              <w:left w:val="single" w:sz="4" w:space="0" w:color="auto"/>
              <w:bottom w:val="single" w:sz="4" w:space="0" w:color="auto"/>
              <w:right w:val="single" w:sz="4" w:space="0" w:color="auto"/>
            </w:tcBorders>
          </w:tcPr>
          <w:p w14:paraId="7480EE31" w14:textId="4A65E0C6" w:rsidR="00972275" w:rsidRDefault="00673C18" w:rsidP="00446CBF">
            <w:pPr>
              <w:jc w:val="center"/>
              <w:rPr>
                <w:lang w:val="en-US"/>
              </w:rPr>
            </w:pPr>
            <w:r>
              <w:rPr>
                <w:lang w:val="en-US"/>
              </w:rPr>
              <w:t>4 December 2025</w:t>
            </w:r>
          </w:p>
        </w:tc>
      </w:tr>
      <w:tr w:rsidR="00446CBF" w14:paraId="5B8493D1" w14:textId="77777777" w:rsidTr="00673C18">
        <w:trPr>
          <w:trHeight w:val="144"/>
        </w:trPr>
        <w:tc>
          <w:tcPr>
            <w:tcW w:w="2337" w:type="dxa"/>
          </w:tcPr>
          <w:p w14:paraId="3060BA53" w14:textId="77777777" w:rsidR="00446CBF" w:rsidRDefault="00446CBF" w:rsidP="00446CBF">
            <w:pPr>
              <w:rPr>
                <w:lang w:val="en-US"/>
              </w:rPr>
            </w:pPr>
          </w:p>
        </w:tc>
        <w:tc>
          <w:tcPr>
            <w:tcW w:w="2337" w:type="dxa"/>
            <w:tcBorders>
              <w:top w:val="single" w:sz="4" w:space="0" w:color="auto"/>
              <w:bottom w:val="single" w:sz="4" w:space="0" w:color="auto"/>
            </w:tcBorders>
          </w:tcPr>
          <w:p w14:paraId="09D8BD0D" w14:textId="77777777" w:rsidR="00446CBF" w:rsidRDefault="00446CBF" w:rsidP="00446CBF">
            <w:pPr>
              <w:jc w:val="center"/>
              <w:rPr>
                <w:lang w:val="en-US"/>
              </w:rPr>
            </w:pPr>
          </w:p>
        </w:tc>
        <w:tc>
          <w:tcPr>
            <w:tcW w:w="2338" w:type="dxa"/>
          </w:tcPr>
          <w:p w14:paraId="5AD9465B" w14:textId="77777777" w:rsidR="00446CBF" w:rsidRDefault="00446CBF" w:rsidP="00446CBF">
            <w:pPr>
              <w:ind w:right="576"/>
              <w:jc w:val="right"/>
              <w:rPr>
                <w:lang w:val="en-US"/>
              </w:rPr>
            </w:pPr>
          </w:p>
        </w:tc>
        <w:tc>
          <w:tcPr>
            <w:tcW w:w="2338" w:type="dxa"/>
            <w:tcBorders>
              <w:top w:val="single" w:sz="4" w:space="0" w:color="auto"/>
              <w:bottom w:val="single" w:sz="4" w:space="0" w:color="auto"/>
            </w:tcBorders>
          </w:tcPr>
          <w:p w14:paraId="5C6CF875" w14:textId="77777777" w:rsidR="00446CBF" w:rsidRDefault="00446CBF" w:rsidP="00446CBF">
            <w:pPr>
              <w:jc w:val="center"/>
              <w:rPr>
                <w:lang w:val="en-US"/>
              </w:rPr>
            </w:pPr>
          </w:p>
        </w:tc>
      </w:tr>
      <w:tr w:rsidR="00446CBF" w14:paraId="087AB4BE" w14:textId="77777777" w:rsidTr="00673C18">
        <w:tc>
          <w:tcPr>
            <w:tcW w:w="2337" w:type="dxa"/>
            <w:tcBorders>
              <w:right w:val="single" w:sz="4" w:space="0" w:color="auto"/>
            </w:tcBorders>
          </w:tcPr>
          <w:p w14:paraId="0827A7AC" w14:textId="77777777" w:rsidR="00446CBF" w:rsidRDefault="00446CBF" w:rsidP="00E240CF">
            <w:pPr>
              <w:ind w:right="144"/>
              <w:jc w:val="right"/>
              <w:rPr>
                <w:lang w:val="en-US"/>
              </w:rPr>
            </w:pPr>
            <w:r>
              <w:rPr>
                <w:lang w:val="en-US"/>
              </w:rPr>
              <w:t>A</w:t>
            </w:r>
            <w:r w:rsidR="0017678D">
              <w:rPr>
                <w:lang w:val="en-US"/>
              </w:rPr>
              <w:t>genda</w:t>
            </w:r>
            <w:r>
              <w:rPr>
                <w:lang w:val="en-US"/>
              </w:rPr>
              <w:t xml:space="preserve"> item</w:t>
            </w:r>
          </w:p>
        </w:tc>
        <w:tc>
          <w:tcPr>
            <w:tcW w:w="2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5836CA" w14:textId="530A2A4D" w:rsidR="00446CBF" w:rsidRDefault="00DF121A" w:rsidP="00446CBF">
            <w:pPr>
              <w:jc w:val="center"/>
              <w:rPr>
                <w:lang w:val="en-US"/>
              </w:rPr>
            </w:pPr>
            <w:r>
              <w:rPr>
                <w:lang w:val="en-US"/>
              </w:rPr>
              <w:t>5.1.</w:t>
            </w:r>
          </w:p>
        </w:tc>
        <w:tc>
          <w:tcPr>
            <w:tcW w:w="2338" w:type="dxa"/>
            <w:tcBorders>
              <w:left w:val="single" w:sz="4" w:space="0" w:color="auto"/>
              <w:right w:val="single" w:sz="4" w:space="0" w:color="auto"/>
            </w:tcBorders>
          </w:tcPr>
          <w:p w14:paraId="773AE442" w14:textId="75DD4AD3" w:rsidR="00446CBF" w:rsidRDefault="00673C18" w:rsidP="00673C18">
            <w:pPr>
              <w:ind w:right="115"/>
              <w:jc w:val="right"/>
              <w:rPr>
                <w:lang w:val="en-US"/>
              </w:rPr>
            </w:pPr>
            <w:r>
              <w:rPr>
                <w:lang w:val="en-US"/>
              </w:rPr>
              <w:t>Outcome</w:t>
            </w:r>
          </w:p>
        </w:tc>
        <w:tc>
          <w:tcPr>
            <w:tcW w:w="2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53A200" w14:textId="77777777" w:rsidR="00446CBF" w:rsidRDefault="00446CBF" w:rsidP="00446CBF">
            <w:pPr>
              <w:jc w:val="center"/>
              <w:rPr>
                <w:lang w:val="en-US"/>
              </w:rPr>
            </w:pPr>
          </w:p>
        </w:tc>
      </w:tr>
      <w:tr w:rsidR="00972275" w14:paraId="52DB793B" w14:textId="77777777" w:rsidTr="0017678D">
        <w:trPr>
          <w:trHeight w:val="20"/>
        </w:trPr>
        <w:tc>
          <w:tcPr>
            <w:tcW w:w="4674" w:type="dxa"/>
            <w:gridSpan w:val="2"/>
            <w:tcBorders>
              <w:bottom w:val="single" w:sz="4" w:space="0" w:color="auto"/>
            </w:tcBorders>
          </w:tcPr>
          <w:p w14:paraId="66748F39" w14:textId="77777777" w:rsidR="00972275" w:rsidRDefault="00972275" w:rsidP="00446CBF">
            <w:pPr>
              <w:rPr>
                <w:lang w:val="en-US"/>
              </w:rPr>
            </w:pPr>
          </w:p>
        </w:tc>
        <w:tc>
          <w:tcPr>
            <w:tcW w:w="4676" w:type="dxa"/>
            <w:gridSpan w:val="2"/>
          </w:tcPr>
          <w:p w14:paraId="20A7725F" w14:textId="77777777" w:rsidR="00972275" w:rsidRDefault="00972275" w:rsidP="00446CBF">
            <w:pPr>
              <w:rPr>
                <w:lang w:val="en-US"/>
              </w:rPr>
            </w:pPr>
          </w:p>
        </w:tc>
      </w:tr>
      <w:tr w:rsidR="00972275" w14:paraId="39994A19" w14:textId="77777777" w:rsidTr="0017678D">
        <w:trPr>
          <w:trHeight w:val="144"/>
        </w:trPr>
        <w:tc>
          <w:tcPr>
            <w:tcW w:w="7012" w:type="dxa"/>
            <w:gridSpan w:val="3"/>
            <w:tcBorders>
              <w:top w:val="single" w:sz="4" w:space="0" w:color="auto"/>
              <w:left w:val="single" w:sz="4" w:space="0" w:color="auto"/>
              <w:right w:val="single" w:sz="4" w:space="0" w:color="auto"/>
            </w:tcBorders>
          </w:tcPr>
          <w:p w14:paraId="48C6BAA7" w14:textId="77777777" w:rsidR="00972275" w:rsidRDefault="00446CBF" w:rsidP="00446CBF">
            <w:pPr>
              <w:rPr>
                <w:lang w:val="en-US"/>
              </w:rPr>
            </w:pPr>
            <w:r>
              <w:rPr>
                <w:lang w:val="en-US"/>
              </w:rPr>
              <w:t>Proposed by (affiliation only—no personal information)</w:t>
            </w:r>
          </w:p>
        </w:tc>
        <w:tc>
          <w:tcPr>
            <w:tcW w:w="2338" w:type="dxa"/>
            <w:tcBorders>
              <w:left w:val="single" w:sz="4" w:space="0" w:color="auto"/>
            </w:tcBorders>
          </w:tcPr>
          <w:p w14:paraId="0AF379EE" w14:textId="77777777" w:rsidR="00972275" w:rsidRDefault="00972275" w:rsidP="00446CBF">
            <w:pPr>
              <w:rPr>
                <w:lang w:val="en-US"/>
              </w:rPr>
            </w:pPr>
          </w:p>
        </w:tc>
      </w:tr>
      <w:tr w:rsidR="00972275" w14:paraId="559A625C" w14:textId="77777777" w:rsidTr="0017678D">
        <w:trPr>
          <w:trHeight w:val="432"/>
        </w:trPr>
        <w:tc>
          <w:tcPr>
            <w:tcW w:w="7012" w:type="dxa"/>
            <w:gridSpan w:val="3"/>
            <w:tcBorders>
              <w:left w:val="single" w:sz="4" w:space="0" w:color="auto"/>
              <w:bottom w:val="single" w:sz="4" w:space="0" w:color="auto"/>
              <w:right w:val="single" w:sz="4" w:space="0" w:color="auto"/>
            </w:tcBorders>
          </w:tcPr>
          <w:p w14:paraId="48BC621F" w14:textId="03E476EC" w:rsidR="00972275" w:rsidRDefault="00673C18" w:rsidP="00446CBF">
            <w:pPr>
              <w:rPr>
                <w:lang w:val="en-US"/>
              </w:rPr>
            </w:pPr>
            <w:r>
              <w:rPr>
                <w:lang w:val="en-US"/>
              </w:rPr>
              <w:t>GRVA ADS Workshops</w:t>
            </w:r>
          </w:p>
        </w:tc>
        <w:tc>
          <w:tcPr>
            <w:tcW w:w="2338" w:type="dxa"/>
            <w:tcBorders>
              <w:left w:val="single" w:sz="4" w:space="0" w:color="auto"/>
            </w:tcBorders>
          </w:tcPr>
          <w:p w14:paraId="7E0D0C36" w14:textId="77777777" w:rsidR="00972275" w:rsidRDefault="00972275" w:rsidP="00446CBF">
            <w:pPr>
              <w:rPr>
                <w:lang w:val="en-US"/>
              </w:rPr>
            </w:pPr>
          </w:p>
        </w:tc>
      </w:tr>
      <w:tr w:rsidR="00972275" w14:paraId="3D522FF5" w14:textId="77777777" w:rsidTr="0017678D">
        <w:tc>
          <w:tcPr>
            <w:tcW w:w="2337" w:type="dxa"/>
            <w:tcBorders>
              <w:top w:val="single" w:sz="4" w:space="0" w:color="auto"/>
              <w:bottom w:val="single" w:sz="4" w:space="0" w:color="auto"/>
            </w:tcBorders>
          </w:tcPr>
          <w:p w14:paraId="1EBC4F3F" w14:textId="77777777" w:rsidR="00972275" w:rsidRPr="00D719D9" w:rsidRDefault="00972275" w:rsidP="00446CBF">
            <w:pPr>
              <w:rPr>
                <w:lang w:val="en-US"/>
              </w:rPr>
            </w:pPr>
          </w:p>
        </w:tc>
        <w:tc>
          <w:tcPr>
            <w:tcW w:w="2337" w:type="dxa"/>
            <w:tcBorders>
              <w:top w:val="single" w:sz="4" w:space="0" w:color="auto"/>
              <w:bottom w:val="single" w:sz="4" w:space="0" w:color="auto"/>
            </w:tcBorders>
          </w:tcPr>
          <w:p w14:paraId="3938E5F9" w14:textId="77777777" w:rsidR="00972275" w:rsidRDefault="00972275" w:rsidP="00446CBF">
            <w:pPr>
              <w:rPr>
                <w:lang w:val="en-US"/>
              </w:rPr>
            </w:pPr>
          </w:p>
        </w:tc>
        <w:tc>
          <w:tcPr>
            <w:tcW w:w="2338" w:type="dxa"/>
            <w:tcBorders>
              <w:bottom w:val="single" w:sz="4" w:space="0" w:color="auto"/>
            </w:tcBorders>
          </w:tcPr>
          <w:p w14:paraId="56DB633D" w14:textId="77777777" w:rsidR="00972275" w:rsidRDefault="00972275" w:rsidP="00446CBF">
            <w:pPr>
              <w:rPr>
                <w:lang w:val="en-US"/>
              </w:rPr>
            </w:pPr>
          </w:p>
        </w:tc>
        <w:tc>
          <w:tcPr>
            <w:tcW w:w="2338" w:type="dxa"/>
            <w:tcBorders>
              <w:bottom w:val="single" w:sz="4" w:space="0" w:color="auto"/>
            </w:tcBorders>
          </w:tcPr>
          <w:p w14:paraId="397AF693" w14:textId="77777777" w:rsidR="00972275" w:rsidRDefault="00972275" w:rsidP="00446CBF">
            <w:pPr>
              <w:rPr>
                <w:lang w:val="en-US"/>
              </w:rPr>
            </w:pPr>
          </w:p>
        </w:tc>
      </w:tr>
      <w:tr w:rsidR="00972275" w14:paraId="393E98DC" w14:textId="77777777" w:rsidTr="0017678D">
        <w:trPr>
          <w:trHeight w:val="144"/>
        </w:trPr>
        <w:tc>
          <w:tcPr>
            <w:tcW w:w="9350" w:type="dxa"/>
            <w:gridSpan w:val="4"/>
            <w:tcBorders>
              <w:top w:val="single" w:sz="4" w:space="0" w:color="auto"/>
              <w:left w:val="single" w:sz="4" w:space="0" w:color="auto"/>
              <w:right w:val="single" w:sz="4" w:space="0" w:color="auto"/>
            </w:tcBorders>
          </w:tcPr>
          <w:p w14:paraId="15069995" w14:textId="77777777" w:rsidR="00972275" w:rsidRDefault="00972275" w:rsidP="00446CBF">
            <w:pPr>
              <w:rPr>
                <w:lang w:val="en-US"/>
              </w:rPr>
            </w:pPr>
            <w:r w:rsidRPr="00D719D9">
              <w:rPr>
                <w:lang w:val="en-US"/>
              </w:rPr>
              <w:t>Summary of Change (25 words or less)</w:t>
            </w:r>
          </w:p>
        </w:tc>
      </w:tr>
      <w:tr w:rsidR="00972275" w14:paraId="5680430A" w14:textId="77777777" w:rsidTr="0017678D">
        <w:trPr>
          <w:trHeight w:val="576"/>
        </w:trPr>
        <w:tc>
          <w:tcPr>
            <w:tcW w:w="9350" w:type="dxa"/>
            <w:gridSpan w:val="4"/>
            <w:tcBorders>
              <w:left w:val="single" w:sz="4" w:space="0" w:color="auto"/>
              <w:bottom w:val="single" w:sz="4" w:space="0" w:color="auto"/>
              <w:right w:val="single" w:sz="4" w:space="0" w:color="auto"/>
            </w:tcBorders>
          </w:tcPr>
          <w:p w14:paraId="317AFE73" w14:textId="6B73AF8B" w:rsidR="00972275" w:rsidRDefault="00673C18" w:rsidP="00446CBF">
            <w:pPr>
              <w:rPr>
                <w:lang w:val="en-US"/>
              </w:rPr>
            </w:pPr>
            <w:r>
              <w:rPr>
                <w:lang w:val="en-US"/>
              </w:rPr>
              <w:t>Deletion of statistics cited in the cost-benefit analysis.</w:t>
            </w:r>
          </w:p>
        </w:tc>
      </w:tr>
      <w:tr w:rsidR="00972275" w14:paraId="55D7150A" w14:textId="77777777" w:rsidTr="0017678D">
        <w:tc>
          <w:tcPr>
            <w:tcW w:w="2337" w:type="dxa"/>
            <w:tcBorders>
              <w:top w:val="single" w:sz="4" w:space="0" w:color="auto"/>
              <w:bottom w:val="single" w:sz="4" w:space="0" w:color="auto"/>
            </w:tcBorders>
          </w:tcPr>
          <w:p w14:paraId="1198B87E" w14:textId="77777777" w:rsidR="00972275" w:rsidRDefault="00972275" w:rsidP="00446CBF">
            <w:pPr>
              <w:rPr>
                <w:lang w:val="en-US"/>
              </w:rPr>
            </w:pPr>
          </w:p>
        </w:tc>
        <w:tc>
          <w:tcPr>
            <w:tcW w:w="2337" w:type="dxa"/>
            <w:tcBorders>
              <w:top w:val="single" w:sz="4" w:space="0" w:color="auto"/>
              <w:bottom w:val="single" w:sz="4" w:space="0" w:color="auto"/>
            </w:tcBorders>
          </w:tcPr>
          <w:p w14:paraId="2AEA75CB" w14:textId="77777777" w:rsidR="00972275" w:rsidRDefault="00972275" w:rsidP="00446CBF">
            <w:pPr>
              <w:rPr>
                <w:lang w:val="en-US"/>
              </w:rPr>
            </w:pPr>
          </w:p>
        </w:tc>
        <w:tc>
          <w:tcPr>
            <w:tcW w:w="2338" w:type="dxa"/>
            <w:tcBorders>
              <w:top w:val="single" w:sz="4" w:space="0" w:color="auto"/>
              <w:bottom w:val="single" w:sz="4" w:space="0" w:color="auto"/>
            </w:tcBorders>
          </w:tcPr>
          <w:p w14:paraId="7FB5B32D" w14:textId="77777777" w:rsidR="00972275" w:rsidRDefault="00972275" w:rsidP="00446CBF">
            <w:pPr>
              <w:rPr>
                <w:lang w:val="en-US"/>
              </w:rPr>
            </w:pPr>
          </w:p>
        </w:tc>
        <w:tc>
          <w:tcPr>
            <w:tcW w:w="2338" w:type="dxa"/>
            <w:tcBorders>
              <w:top w:val="single" w:sz="4" w:space="0" w:color="auto"/>
              <w:bottom w:val="single" w:sz="4" w:space="0" w:color="auto"/>
            </w:tcBorders>
          </w:tcPr>
          <w:p w14:paraId="78A7BBA8" w14:textId="77777777" w:rsidR="00972275" w:rsidRDefault="00972275" w:rsidP="00446CBF">
            <w:pPr>
              <w:rPr>
                <w:lang w:val="en-US"/>
              </w:rPr>
            </w:pPr>
          </w:p>
        </w:tc>
      </w:tr>
      <w:tr w:rsidR="00972275" w14:paraId="6DF12E59" w14:textId="77777777" w:rsidTr="0017678D">
        <w:tc>
          <w:tcPr>
            <w:tcW w:w="9350" w:type="dxa"/>
            <w:gridSpan w:val="4"/>
            <w:tcBorders>
              <w:top w:val="single" w:sz="4" w:space="0" w:color="auto"/>
              <w:left w:val="single" w:sz="4" w:space="0" w:color="auto"/>
              <w:right w:val="single" w:sz="4" w:space="0" w:color="auto"/>
            </w:tcBorders>
          </w:tcPr>
          <w:p w14:paraId="374F07F6" w14:textId="77777777" w:rsidR="00972275" w:rsidRDefault="00972275" w:rsidP="00446CBF">
            <w:pPr>
              <w:rPr>
                <w:lang w:val="en-US"/>
              </w:rPr>
            </w:pPr>
            <w:r w:rsidRPr="00972275">
              <w:rPr>
                <w:lang w:val="en-US"/>
              </w:rPr>
              <w:t>Reason for Change (Justification)</w:t>
            </w:r>
          </w:p>
        </w:tc>
      </w:tr>
      <w:tr w:rsidR="00972275" w14:paraId="0DCA0C8A" w14:textId="77777777" w:rsidTr="0017678D">
        <w:trPr>
          <w:trHeight w:val="1152"/>
        </w:trPr>
        <w:tc>
          <w:tcPr>
            <w:tcW w:w="9350" w:type="dxa"/>
            <w:gridSpan w:val="4"/>
            <w:tcBorders>
              <w:left w:val="single" w:sz="4" w:space="0" w:color="auto"/>
              <w:bottom w:val="single" w:sz="4" w:space="0" w:color="auto"/>
              <w:right w:val="single" w:sz="4" w:space="0" w:color="auto"/>
            </w:tcBorders>
          </w:tcPr>
          <w:p w14:paraId="588BFF32" w14:textId="66B4445B" w:rsidR="00972275" w:rsidRDefault="00673C18" w:rsidP="00446CBF">
            <w:pPr>
              <w:rPr>
                <w:lang w:val="en-US"/>
              </w:rPr>
            </w:pPr>
            <w:r>
              <w:rPr>
                <w:lang w:val="en-US"/>
              </w:rPr>
              <w:t>The statistics do not cite the sources of the data to enable interpretation.</w:t>
            </w:r>
          </w:p>
        </w:tc>
      </w:tr>
      <w:tr w:rsidR="00972275" w14:paraId="7ED53909" w14:textId="77777777" w:rsidTr="00736487">
        <w:tc>
          <w:tcPr>
            <w:tcW w:w="2337" w:type="dxa"/>
            <w:tcBorders>
              <w:top w:val="single" w:sz="4" w:space="0" w:color="auto"/>
            </w:tcBorders>
          </w:tcPr>
          <w:p w14:paraId="1B4FC8C7" w14:textId="77777777" w:rsidR="00972275" w:rsidRDefault="00972275" w:rsidP="00446CBF">
            <w:pPr>
              <w:rPr>
                <w:lang w:val="en-US"/>
              </w:rPr>
            </w:pPr>
          </w:p>
        </w:tc>
        <w:tc>
          <w:tcPr>
            <w:tcW w:w="2337" w:type="dxa"/>
            <w:tcBorders>
              <w:top w:val="single" w:sz="4" w:space="0" w:color="auto"/>
              <w:bottom w:val="single" w:sz="4" w:space="0" w:color="auto"/>
            </w:tcBorders>
          </w:tcPr>
          <w:p w14:paraId="5ED62813" w14:textId="77777777" w:rsidR="00972275" w:rsidRDefault="00972275" w:rsidP="00446CBF">
            <w:pPr>
              <w:rPr>
                <w:lang w:val="en-US"/>
              </w:rPr>
            </w:pPr>
          </w:p>
        </w:tc>
        <w:tc>
          <w:tcPr>
            <w:tcW w:w="2338" w:type="dxa"/>
            <w:tcBorders>
              <w:top w:val="single" w:sz="4" w:space="0" w:color="auto"/>
              <w:bottom w:val="single" w:sz="4" w:space="0" w:color="auto"/>
            </w:tcBorders>
          </w:tcPr>
          <w:p w14:paraId="58CC3A11" w14:textId="77777777" w:rsidR="00972275" w:rsidRDefault="00972275" w:rsidP="00446CBF">
            <w:pPr>
              <w:rPr>
                <w:lang w:val="en-US"/>
              </w:rPr>
            </w:pPr>
          </w:p>
        </w:tc>
        <w:tc>
          <w:tcPr>
            <w:tcW w:w="2338" w:type="dxa"/>
            <w:tcBorders>
              <w:top w:val="single" w:sz="4" w:space="0" w:color="auto"/>
              <w:bottom w:val="single" w:sz="4" w:space="0" w:color="auto"/>
            </w:tcBorders>
          </w:tcPr>
          <w:p w14:paraId="2DDC7DDC" w14:textId="77777777" w:rsidR="00972275" w:rsidRDefault="00972275" w:rsidP="00446CBF">
            <w:pPr>
              <w:rPr>
                <w:lang w:val="en-US"/>
              </w:rPr>
            </w:pPr>
          </w:p>
        </w:tc>
      </w:tr>
      <w:tr w:rsidR="00736487" w14:paraId="2D20649E" w14:textId="77777777" w:rsidTr="00736487">
        <w:tc>
          <w:tcPr>
            <w:tcW w:w="2337" w:type="dxa"/>
            <w:tcBorders>
              <w:right w:val="single" w:sz="4" w:space="0" w:color="auto"/>
            </w:tcBorders>
          </w:tcPr>
          <w:p w14:paraId="54F9FF7C" w14:textId="77777777" w:rsidR="00736487" w:rsidRDefault="00736487" w:rsidP="00E240CF">
            <w:pPr>
              <w:ind w:right="144"/>
              <w:jc w:val="right"/>
              <w:rPr>
                <w:lang w:val="en-US"/>
              </w:rPr>
            </w:pPr>
            <w:r>
              <w:rPr>
                <w:lang w:val="en-US"/>
              </w:rPr>
              <w:t xml:space="preserve">Location </w:t>
            </w:r>
          </w:p>
        </w:tc>
        <w:tc>
          <w:tcPr>
            <w:tcW w:w="7013" w:type="dxa"/>
            <w:gridSpan w:val="3"/>
            <w:tcBorders>
              <w:top w:val="single" w:sz="4" w:space="0" w:color="auto"/>
              <w:left w:val="single" w:sz="4" w:space="0" w:color="auto"/>
              <w:bottom w:val="single" w:sz="4" w:space="0" w:color="auto"/>
              <w:right w:val="single" w:sz="4" w:space="0" w:color="auto"/>
            </w:tcBorders>
          </w:tcPr>
          <w:p w14:paraId="15CB2392" w14:textId="77777777" w:rsidR="00736487" w:rsidRDefault="00736487" w:rsidP="00446CBF">
            <w:pPr>
              <w:rPr>
                <w:lang w:val="en-US"/>
              </w:rPr>
            </w:pPr>
            <w:r>
              <w:rPr>
                <w:lang w:val="en-US"/>
              </w:rPr>
              <w:t>(e.g., paragraph, chapter, annex, appendix)</w:t>
            </w:r>
          </w:p>
        </w:tc>
      </w:tr>
      <w:tr w:rsidR="00E240CF" w14:paraId="71405BDD" w14:textId="77777777" w:rsidTr="00E240CF">
        <w:tc>
          <w:tcPr>
            <w:tcW w:w="2337" w:type="dxa"/>
            <w:tcBorders>
              <w:bottom w:val="single" w:sz="4" w:space="0" w:color="auto"/>
            </w:tcBorders>
          </w:tcPr>
          <w:p w14:paraId="4EC0CD4D" w14:textId="77777777" w:rsidR="00E240CF" w:rsidRDefault="00E240CF" w:rsidP="00446CBF">
            <w:pPr>
              <w:rPr>
                <w:lang w:val="en-US"/>
              </w:rPr>
            </w:pPr>
          </w:p>
        </w:tc>
        <w:tc>
          <w:tcPr>
            <w:tcW w:w="2337" w:type="dxa"/>
            <w:tcBorders>
              <w:top w:val="single" w:sz="4" w:space="0" w:color="auto"/>
              <w:bottom w:val="single" w:sz="4" w:space="0" w:color="auto"/>
            </w:tcBorders>
          </w:tcPr>
          <w:p w14:paraId="5590DCE3" w14:textId="77777777" w:rsidR="00E240CF" w:rsidRDefault="00E240CF" w:rsidP="00446CBF">
            <w:pPr>
              <w:rPr>
                <w:lang w:val="en-US"/>
              </w:rPr>
            </w:pPr>
          </w:p>
        </w:tc>
        <w:tc>
          <w:tcPr>
            <w:tcW w:w="2338" w:type="dxa"/>
            <w:tcBorders>
              <w:bottom w:val="single" w:sz="4" w:space="0" w:color="auto"/>
            </w:tcBorders>
          </w:tcPr>
          <w:p w14:paraId="3176C91B" w14:textId="77777777" w:rsidR="00E240CF" w:rsidRDefault="00E240CF" w:rsidP="00446CBF">
            <w:pPr>
              <w:rPr>
                <w:lang w:val="en-US"/>
              </w:rPr>
            </w:pPr>
          </w:p>
        </w:tc>
        <w:tc>
          <w:tcPr>
            <w:tcW w:w="2338" w:type="dxa"/>
            <w:tcBorders>
              <w:bottom w:val="single" w:sz="4" w:space="0" w:color="auto"/>
            </w:tcBorders>
          </w:tcPr>
          <w:p w14:paraId="350DE614" w14:textId="77777777" w:rsidR="00E240CF" w:rsidRDefault="00E240CF" w:rsidP="00446CBF">
            <w:pPr>
              <w:rPr>
                <w:lang w:val="en-US"/>
              </w:rPr>
            </w:pPr>
          </w:p>
        </w:tc>
      </w:tr>
      <w:tr w:rsidR="008D6314" w14:paraId="2467647A" w14:textId="77777777" w:rsidTr="0017678D">
        <w:tc>
          <w:tcPr>
            <w:tcW w:w="9350" w:type="dxa"/>
            <w:gridSpan w:val="4"/>
            <w:tcBorders>
              <w:top w:val="single" w:sz="4" w:space="0" w:color="auto"/>
              <w:left w:val="single" w:sz="4" w:space="0" w:color="auto"/>
              <w:right w:val="single" w:sz="4" w:space="0" w:color="auto"/>
            </w:tcBorders>
          </w:tcPr>
          <w:p w14:paraId="4D111BE1" w14:textId="77777777" w:rsidR="008D6314" w:rsidRDefault="008D6314" w:rsidP="00446CBF">
            <w:pPr>
              <w:rPr>
                <w:lang w:val="en-US"/>
              </w:rPr>
            </w:pPr>
            <w:r>
              <w:rPr>
                <w:lang w:val="en-US"/>
              </w:rPr>
              <w:t>Original text</w:t>
            </w:r>
          </w:p>
        </w:tc>
      </w:tr>
      <w:tr w:rsidR="008D6314" w14:paraId="16062765" w14:textId="77777777" w:rsidTr="0017678D">
        <w:trPr>
          <w:trHeight w:val="1440"/>
        </w:trPr>
        <w:tc>
          <w:tcPr>
            <w:tcW w:w="9350" w:type="dxa"/>
            <w:gridSpan w:val="4"/>
            <w:tcBorders>
              <w:left w:val="single" w:sz="4" w:space="0" w:color="auto"/>
              <w:bottom w:val="single" w:sz="4" w:space="0" w:color="auto"/>
              <w:right w:val="single" w:sz="4" w:space="0" w:color="auto"/>
            </w:tcBorders>
          </w:tcPr>
          <w:p w14:paraId="29C3CB46" w14:textId="2D8770C4" w:rsidR="00673C18" w:rsidRPr="00673C18" w:rsidRDefault="00673C18" w:rsidP="00673C18">
            <w:pPr>
              <w:ind w:left="432" w:hanging="432"/>
              <w:rPr>
                <w:lang w:val="en-US"/>
              </w:rPr>
            </w:pPr>
            <w:r w:rsidRPr="00673C18">
              <w:rPr>
                <w:lang w:val="en-US"/>
              </w:rPr>
              <w:t>85.</w:t>
            </w:r>
            <w:r w:rsidRPr="00673C18">
              <w:rPr>
                <w:lang w:val="en-US"/>
              </w:rPr>
              <w:tab/>
              <w:t>Empirical data from ADS demonstration zones and research institutions worldwide highlight the potential benefits and challenges of ADS technology across diverse traffic environments. Statistical analyses of passenger vehicles indicate that accident rates in ADS modes are consistently lower than in manual driving. According to the data shared by the GRVA experts, there is an average of 18.5 accidents per million kilometres in manual driving (10.2 at-fault accidents), compared to 7.1 accidents in automated driving (2.8 at-fault accidents). Notably, some leading technology providers have achieved zero at-fault accidents per million kilometres in automated mode.</w:t>
            </w:r>
          </w:p>
          <w:p w14:paraId="575A0EED" w14:textId="77777777" w:rsidR="00673C18" w:rsidRPr="00673C18" w:rsidRDefault="00673C18" w:rsidP="00673C18">
            <w:pPr>
              <w:ind w:left="432" w:hanging="432"/>
              <w:rPr>
                <w:lang w:val="en-US"/>
              </w:rPr>
            </w:pPr>
          </w:p>
          <w:p w14:paraId="2D8658B7" w14:textId="1CA39AF9" w:rsidR="008D6314" w:rsidRDefault="00673C18" w:rsidP="00673C18">
            <w:pPr>
              <w:ind w:left="432" w:hanging="432"/>
              <w:rPr>
                <w:lang w:val="en-US"/>
              </w:rPr>
            </w:pPr>
            <w:r w:rsidRPr="00673C18">
              <w:rPr>
                <w:lang w:val="en-US"/>
              </w:rPr>
              <w:t>86.</w:t>
            </w:r>
            <w:r>
              <w:rPr>
                <w:lang w:val="en-US"/>
              </w:rPr>
              <w:tab/>
            </w:r>
            <w:r w:rsidRPr="00673C18">
              <w:rPr>
                <w:lang w:val="en-US"/>
              </w:rPr>
              <w:t>However, according to the data shared by the GRVA experts, challenges to traffic efficiency persist, particularly during peak hours or in complex scenarios. Studies suggest automated vehicles may experience a 5-15 per cent reduction in average speed compared to human drivers, primarily due to conservative following distance decisions, suboptimal route planning, and delayed responses to dynamic environments. For example, pilot projects in multiple urban areas reported peak-hour automated vehicle speeds of 22–28 km/h, 10-18 per cent lower than manual driving, with travel times increasing by 8-12 per cent on average.</w:t>
            </w:r>
          </w:p>
        </w:tc>
      </w:tr>
      <w:tr w:rsidR="00972275" w14:paraId="7A67E58B" w14:textId="77777777" w:rsidTr="0017678D">
        <w:tc>
          <w:tcPr>
            <w:tcW w:w="2337" w:type="dxa"/>
            <w:tcBorders>
              <w:top w:val="single" w:sz="4" w:space="0" w:color="auto"/>
              <w:bottom w:val="single" w:sz="4" w:space="0" w:color="auto"/>
            </w:tcBorders>
          </w:tcPr>
          <w:p w14:paraId="0522090A" w14:textId="77777777" w:rsidR="00972275" w:rsidRDefault="00972275" w:rsidP="00446CBF">
            <w:pPr>
              <w:rPr>
                <w:lang w:val="en-US"/>
              </w:rPr>
            </w:pPr>
          </w:p>
        </w:tc>
        <w:tc>
          <w:tcPr>
            <w:tcW w:w="2337" w:type="dxa"/>
            <w:tcBorders>
              <w:top w:val="single" w:sz="4" w:space="0" w:color="auto"/>
              <w:bottom w:val="single" w:sz="4" w:space="0" w:color="auto"/>
            </w:tcBorders>
          </w:tcPr>
          <w:p w14:paraId="05C172B8" w14:textId="77777777" w:rsidR="00972275" w:rsidRDefault="00972275" w:rsidP="00446CBF">
            <w:pPr>
              <w:rPr>
                <w:lang w:val="en-US"/>
              </w:rPr>
            </w:pPr>
          </w:p>
        </w:tc>
        <w:tc>
          <w:tcPr>
            <w:tcW w:w="2338" w:type="dxa"/>
            <w:tcBorders>
              <w:top w:val="single" w:sz="4" w:space="0" w:color="auto"/>
              <w:bottom w:val="single" w:sz="4" w:space="0" w:color="auto"/>
            </w:tcBorders>
          </w:tcPr>
          <w:p w14:paraId="695AA527" w14:textId="77777777" w:rsidR="00972275" w:rsidRDefault="00972275" w:rsidP="00446CBF">
            <w:pPr>
              <w:rPr>
                <w:lang w:val="en-US"/>
              </w:rPr>
            </w:pPr>
          </w:p>
        </w:tc>
        <w:tc>
          <w:tcPr>
            <w:tcW w:w="2338" w:type="dxa"/>
            <w:tcBorders>
              <w:top w:val="single" w:sz="4" w:space="0" w:color="auto"/>
              <w:bottom w:val="single" w:sz="4" w:space="0" w:color="auto"/>
            </w:tcBorders>
          </w:tcPr>
          <w:p w14:paraId="557EBEBB" w14:textId="77777777" w:rsidR="00972275" w:rsidRDefault="00972275" w:rsidP="00446CBF">
            <w:pPr>
              <w:rPr>
                <w:lang w:val="en-US"/>
              </w:rPr>
            </w:pPr>
          </w:p>
        </w:tc>
      </w:tr>
      <w:tr w:rsidR="008D6314" w14:paraId="27F1E5BD" w14:textId="77777777" w:rsidTr="0017678D">
        <w:tc>
          <w:tcPr>
            <w:tcW w:w="9350" w:type="dxa"/>
            <w:gridSpan w:val="4"/>
            <w:tcBorders>
              <w:top w:val="single" w:sz="4" w:space="0" w:color="auto"/>
              <w:left w:val="single" w:sz="4" w:space="0" w:color="auto"/>
              <w:right w:val="single" w:sz="4" w:space="0" w:color="auto"/>
            </w:tcBorders>
          </w:tcPr>
          <w:p w14:paraId="7EDE0EFC" w14:textId="77777777" w:rsidR="008D6314" w:rsidRDefault="008D6314" w:rsidP="00446CBF">
            <w:pPr>
              <w:rPr>
                <w:lang w:val="en-US"/>
              </w:rPr>
            </w:pPr>
            <w:r>
              <w:rPr>
                <w:lang w:val="en-US"/>
              </w:rPr>
              <w:t>Revised text</w:t>
            </w:r>
          </w:p>
        </w:tc>
      </w:tr>
      <w:tr w:rsidR="008D6314" w14:paraId="62C05300" w14:textId="77777777" w:rsidTr="0017678D">
        <w:trPr>
          <w:trHeight w:val="1296"/>
        </w:trPr>
        <w:tc>
          <w:tcPr>
            <w:tcW w:w="9350" w:type="dxa"/>
            <w:gridSpan w:val="4"/>
            <w:tcBorders>
              <w:left w:val="single" w:sz="4" w:space="0" w:color="auto"/>
              <w:bottom w:val="single" w:sz="4" w:space="0" w:color="auto"/>
              <w:right w:val="single" w:sz="4" w:space="0" w:color="auto"/>
            </w:tcBorders>
          </w:tcPr>
          <w:p w14:paraId="0FAC54BF" w14:textId="169073D3" w:rsidR="00673C18" w:rsidRPr="00673C18" w:rsidRDefault="00673C18" w:rsidP="00673C18">
            <w:pPr>
              <w:ind w:left="432" w:hanging="432"/>
              <w:rPr>
                <w:lang w:val="en-US"/>
              </w:rPr>
            </w:pPr>
            <w:r w:rsidRPr="00673C18">
              <w:rPr>
                <w:lang w:val="en-US"/>
              </w:rPr>
              <w:t>85.</w:t>
            </w:r>
            <w:r w:rsidRPr="00673C18">
              <w:rPr>
                <w:lang w:val="en-US"/>
              </w:rPr>
              <w:tab/>
              <w:t xml:space="preserve">Empirical data from ADS demonstration zones and research institutions worldwide highlight the potential benefits and challenges of ADS technology across diverse traffic environments. Statistical analyses of passenger vehicles indicate that accident rates in ADS modes are consistently lower than in manual driving. </w:t>
            </w:r>
            <w:r w:rsidRPr="00673C18">
              <w:rPr>
                <w:strike/>
                <w:lang w:val="en-US"/>
              </w:rPr>
              <w:t>According to the data shared by the GRVA experts, there is an average of 18.5 accidents per million kilometres in manual driving (10.2 at-fault accidents), compared to 7.1 accidents in automated driving (2.8 at-fault accidents). Notably, some leading technology providers have achieved zero at-fault accidents per million kilometres in automated mode.</w:t>
            </w:r>
          </w:p>
          <w:p w14:paraId="613BE446" w14:textId="77777777" w:rsidR="00673C18" w:rsidRPr="00673C18" w:rsidRDefault="00673C18" w:rsidP="00673C18">
            <w:pPr>
              <w:rPr>
                <w:lang w:val="en-US"/>
              </w:rPr>
            </w:pPr>
          </w:p>
          <w:p w14:paraId="060757CF" w14:textId="117E4813" w:rsidR="008D6314" w:rsidRPr="00673C18" w:rsidRDefault="00673C18" w:rsidP="00673C18">
            <w:pPr>
              <w:ind w:left="432" w:hanging="432"/>
              <w:rPr>
                <w:strike/>
                <w:lang w:val="en-US"/>
              </w:rPr>
            </w:pPr>
            <w:r w:rsidRPr="00673C18">
              <w:rPr>
                <w:strike/>
                <w:lang w:val="en-US"/>
              </w:rPr>
              <w:t>86.</w:t>
            </w:r>
            <w:r>
              <w:rPr>
                <w:strike/>
                <w:lang w:val="en-US"/>
              </w:rPr>
              <w:tab/>
            </w:r>
            <w:r w:rsidRPr="00673C18">
              <w:rPr>
                <w:strike/>
                <w:lang w:val="en-US"/>
              </w:rPr>
              <w:t>However, according to the data shared by the GRVA experts, challenges to traffic efficiency persist, particularly during peak hours or in complex scenarios. Studies suggest automated vehicles may experience a 5-15 per cent reduction in average speed compared to human drivers, primarily due to conservative following distance decisions, suboptimal route planning, and delayed responses to dynamic environments. For example, pilot projects in multiple urban areas reported peak-hour automated vehicle speeds of 22–28 km/h, 10-18 per cent lower than manual driving, with travel times increasing by 8-12 per cent on average.</w:t>
            </w:r>
          </w:p>
        </w:tc>
      </w:tr>
    </w:tbl>
    <w:p w14:paraId="073D06B0" w14:textId="77777777" w:rsidR="00D719D9" w:rsidRPr="0097125E" w:rsidRDefault="00D719D9" w:rsidP="00446CBF">
      <w:pPr>
        <w:rPr>
          <w:lang w:val="en-US"/>
        </w:rPr>
      </w:pPr>
    </w:p>
    <w:sectPr w:rsidR="00D719D9" w:rsidRPr="0097125E" w:rsidSect="00E240CF">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A989E" w14:textId="77777777" w:rsidR="00194B85" w:rsidRDefault="00194B85" w:rsidP="00972275">
      <w:pPr>
        <w:spacing w:after="0" w:line="240" w:lineRule="auto"/>
      </w:pPr>
      <w:r>
        <w:separator/>
      </w:r>
    </w:p>
  </w:endnote>
  <w:endnote w:type="continuationSeparator" w:id="0">
    <w:p w14:paraId="579C5283" w14:textId="77777777" w:rsidR="00194B85" w:rsidRDefault="00194B85" w:rsidP="00972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6D1B1" w14:textId="77777777" w:rsidR="00194B85" w:rsidRDefault="00194B85" w:rsidP="00972275">
      <w:pPr>
        <w:spacing w:after="0" w:line="240" w:lineRule="auto"/>
      </w:pPr>
      <w:r>
        <w:separator/>
      </w:r>
    </w:p>
  </w:footnote>
  <w:footnote w:type="continuationSeparator" w:id="0">
    <w:p w14:paraId="1830E768" w14:textId="77777777" w:rsidR="00194B85" w:rsidRDefault="00194B85" w:rsidP="009722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B52E8"/>
    <w:multiLevelType w:val="multilevel"/>
    <w:tmpl w:val="4DE6CA8A"/>
    <w:lvl w:ilvl="0">
      <w:start w:val="1"/>
      <w:numFmt w:val="decimal"/>
      <w:pStyle w:val="ListParagraph"/>
      <w:lvlText w:val="%1."/>
      <w:lvlJc w:val="left"/>
      <w:pPr>
        <w:ind w:left="360" w:hanging="360"/>
      </w:pPr>
      <w:rPr>
        <w:rFonts w:hint="default"/>
      </w:rPr>
    </w:lvl>
    <w:lvl w:ilvl="1">
      <w:start w:val="1"/>
      <w:numFmt w:val="decimal"/>
      <w:pStyle w:val="ListL2"/>
      <w:lvlText w:val="%1.%2."/>
      <w:lvlJc w:val="left"/>
      <w:pPr>
        <w:ind w:left="792" w:hanging="432"/>
      </w:pPr>
      <w:rPr>
        <w:rFonts w:hint="default"/>
      </w:rPr>
    </w:lvl>
    <w:lvl w:ilvl="2">
      <w:start w:val="1"/>
      <w:numFmt w:val="decimal"/>
      <w:pStyle w:val="ListL3"/>
      <w:lvlText w:val="%1.%2.%3."/>
      <w:lvlJc w:val="left"/>
      <w:pPr>
        <w:ind w:left="1224" w:hanging="504"/>
      </w:pPr>
      <w:rPr>
        <w:rFonts w:hint="default"/>
      </w:rPr>
    </w:lvl>
    <w:lvl w:ilvl="3">
      <w:start w:val="1"/>
      <w:numFmt w:val="decimal"/>
      <w:pStyle w:val="ListL4"/>
      <w:lvlText w:val="%1.%2.%3.%4."/>
      <w:lvlJc w:val="left"/>
      <w:pPr>
        <w:ind w:left="24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5D85371"/>
    <w:multiLevelType w:val="multilevel"/>
    <w:tmpl w:val="9C7602E2"/>
    <w:styleLink w:val="List-L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pStyle w:val="List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03636370">
    <w:abstractNumId w:val="1"/>
  </w:num>
  <w:num w:numId="2" w16cid:durableId="2083943190">
    <w:abstractNumId w:val="0"/>
  </w:num>
  <w:num w:numId="3" w16cid:durableId="826358993">
    <w:abstractNumId w:val="0"/>
  </w:num>
  <w:num w:numId="4" w16cid:durableId="1993020458">
    <w:abstractNumId w:val="0"/>
  </w:num>
  <w:num w:numId="5" w16cid:durableId="924917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C18"/>
    <w:rsid w:val="00087EE5"/>
    <w:rsid w:val="00150CE1"/>
    <w:rsid w:val="0017678D"/>
    <w:rsid w:val="00194B85"/>
    <w:rsid w:val="001E1959"/>
    <w:rsid w:val="001F16A2"/>
    <w:rsid w:val="002B06C7"/>
    <w:rsid w:val="00446CBF"/>
    <w:rsid w:val="004E4A62"/>
    <w:rsid w:val="00564E1E"/>
    <w:rsid w:val="005937B3"/>
    <w:rsid w:val="006267E5"/>
    <w:rsid w:val="00673C18"/>
    <w:rsid w:val="00736487"/>
    <w:rsid w:val="00740A2F"/>
    <w:rsid w:val="00764FBD"/>
    <w:rsid w:val="00784A99"/>
    <w:rsid w:val="008D6314"/>
    <w:rsid w:val="00967F00"/>
    <w:rsid w:val="0097125E"/>
    <w:rsid w:val="00972275"/>
    <w:rsid w:val="009A32D9"/>
    <w:rsid w:val="009E6E59"/>
    <w:rsid w:val="00A27445"/>
    <w:rsid w:val="00A411E7"/>
    <w:rsid w:val="00B27EC4"/>
    <w:rsid w:val="00CD3E56"/>
    <w:rsid w:val="00D071F8"/>
    <w:rsid w:val="00D56162"/>
    <w:rsid w:val="00D719D9"/>
    <w:rsid w:val="00DF121A"/>
    <w:rsid w:val="00DF6323"/>
    <w:rsid w:val="00E240CF"/>
    <w:rsid w:val="00F15342"/>
    <w:rsid w:val="00F20E3C"/>
    <w:rsid w:val="00F35ACF"/>
    <w:rsid w:val="00F43EAA"/>
    <w:rsid w:val="00F943C1"/>
    <w:rsid w:val="00FF3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F22D8"/>
  <w15:chartTrackingRefBased/>
  <w15:docId w15:val="{3BCD2241-3DF2-4F34-B256-A49F4E67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A62"/>
    <w:rPr>
      <w:lang w:val="en-GB"/>
    </w:rPr>
  </w:style>
  <w:style w:type="paragraph" w:styleId="Heading1">
    <w:name w:val="heading 1"/>
    <w:basedOn w:val="Normal"/>
    <w:next w:val="Normal"/>
    <w:link w:val="Heading1Char"/>
    <w:uiPriority w:val="9"/>
    <w:qFormat/>
    <w:rsid w:val="009712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12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125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125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7125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7125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7125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7125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7125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L2">
    <w:name w:val="List-L2"/>
    <w:uiPriority w:val="99"/>
    <w:rsid w:val="00F43EAA"/>
    <w:pPr>
      <w:numPr>
        <w:numId w:val="1"/>
      </w:numPr>
    </w:pPr>
  </w:style>
  <w:style w:type="paragraph" w:customStyle="1" w:styleId="ListL2">
    <w:name w:val="List L2"/>
    <w:basedOn w:val="ListParagraph"/>
    <w:link w:val="ListL2Char"/>
    <w:qFormat/>
    <w:rsid w:val="004E4A62"/>
    <w:pPr>
      <w:numPr>
        <w:ilvl w:val="1"/>
      </w:numPr>
      <w:spacing w:after="120"/>
      <w:ind w:right="1152"/>
      <w:contextualSpacing w:val="0"/>
    </w:pPr>
  </w:style>
  <w:style w:type="character" w:customStyle="1" w:styleId="ListL2Char">
    <w:name w:val="List L2 Char"/>
    <w:basedOn w:val="DefaultParagraphFont"/>
    <w:link w:val="ListL2"/>
    <w:rsid w:val="004E4A62"/>
  </w:style>
  <w:style w:type="paragraph" w:styleId="ListParagraph">
    <w:name w:val="List Paragraph"/>
    <w:basedOn w:val="Normal"/>
    <w:uiPriority w:val="34"/>
    <w:qFormat/>
    <w:rsid w:val="004E4A62"/>
    <w:pPr>
      <w:numPr>
        <w:numId w:val="5"/>
      </w:numPr>
      <w:contextualSpacing/>
    </w:pPr>
  </w:style>
  <w:style w:type="paragraph" w:customStyle="1" w:styleId="ListL3">
    <w:name w:val="List L3"/>
    <w:basedOn w:val="ListL2"/>
    <w:link w:val="ListL3Char"/>
    <w:qFormat/>
    <w:rsid w:val="004E4A62"/>
    <w:pPr>
      <w:numPr>
        <w:ilvl w:val="2"/>
      </w:numPr>
    </w:pPr>
  </w:style>
  <w:style w:type="character" w:customStyle="1" w:styleId="ListL3Char">
    <w:name w:val="List L3 Char"/>
    <w:basedOn w:val="ListL2Char"/>
    <w:link w:val="ListL3"/>
    <w:rsid w:val="004E4A62"/>
  </w:style>
  <w:style w:type="paragraph" w:customStyle="1" w:styleId="ListL4">
    <w:name w:val="List L4"/>
    <w:basedOn w:val="ListL3"/>
    <w:link w:val="ListL4Char"/>
    <w:qFormat/>
    <w:rsid w:val="004E4A62"/>
    <w:pPr>
      <w:numPr>
        <w:ilvl w:val="3"/>
      </w:numPr>
    </w:pPr>
  </w:style>
  <w:style w:type="character" w:customStyle="1" w:styleId="ListL4Char">
    <w:name w:val="List L4 Char"/>
    <w:basedOn w:val="ListL3Char"/>
    <w:link w:val="ListL4"/>
    <w:rsid w:val="004E4A62"/>
  </w:style>
  <w:style w:type="paragraph" w:customStyle="1" w:styleId="ListL5">
    <w:name w:val="List L5"/>
    <w:basedOn w:val="ListL4"/>
    <w:link w:val="ListL5Char"/>
    <w:qFormat/>
    <w:rsid w:val="004E4A62"/>
    <w:pPr>
      <w:numPr>
        <w:ilvl w:val="4"/>
        <w:numId w:val="1"/>
      </w:numPr>
      <w:ind w:left="3960" w:hanging="1152"/>
    </w:pPr>
  </w:style>
  <w:style w:type="character" w:customStyle="1" w:styleId="ListL5Char">
    <w:name w:val="List L5 Char"/>
    <w:basedOn w:val="ListL4Char"/>
    <w:link w:val="ListL5"/>
    <w:rsid w:val="004E4A62"/>
  </w:style>
  <w:style w:type="paragraph" w:customStyle="1" w:styleId="footnote">
    <w:name w:val="footnote"/>
    <w:basedOn w:val="FootnoteText"/>
    <w:link w:val="footnoteChar"/>
    <w:qFormat/>
    <w:rsid w:val="004E4A62"/>
    <w:pPr>
      <w:ind w:left="187" w:hanging="187"/>
    </w:pPr>
  </w:style>
  <w:style w:type="character" w:customStyle="1" w:styleId="footnoteChar">
    <w:name w:val="footnote Char"/>
    <w:basedOn w:val="FootnoteTextChar"/>
    <w:link w:val="footnote"/>
    <w:rsid w:val="004E4A62"/>
    <w:rPr>
      <w:sz w:val="20"/>
      <w:szCs w:val="20"/>
    </w:rPr>
  </w:style>
  <w:style w:type="paragraph" w:styleId="FootnoteText">
    <w:name w:val="footnote text"/>
    <w:basedOn w:val="Normal"/>
    <w:link w:val="FootnoteTextChar"/>
    <w:uiPriority w:val="99"/>
    <w:semiHidden/>
    <w:unhideWhenUsed/>
    <w:rsid w:val="004E4A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4A62"/>
    <w:rPr>
      <w:sz w:val="20"/>
      <w:szCs w:val="20"/>
    </w:rPr>
  </w:style>
  <w:style w:type="character" w:customStyle="1" w:styleId="Heading1Char">
    <w:name w:val="Heading 1 Char"/>
    <w:basedOn w:val="DefaultParagraphFont"/>
    <w:link w:val="Heading1"/>
    <w:uiPriority w:val="9"/>
    <w:rsid w:val="0097125E"/>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97125E"/>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97125E"/>
    <w:rPr>
      <w:rFonts w:asciiTheme="minorHAnsi" w:eastAsiaTheme="majorEastAsia" w:hAnsiTheme="minorHAnsi"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97125E"/>
    <w:rPr>
      <w:rFonts w:asciiTheme="minorHAnsi" w:eastAsiaTheme="majorEastAsia" w:hAnsiTheme="minorHAnsi"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97125E"/>
    <w:rPr>
      <w:rFonts w:asciiTheme="minorHAnsi" w:eastAsiaTheme="majorEastAsia" w:hAnsiTheme="minorHAnsi" w:cstheme="majorBidi"/>
      <w:color w:val="0F4761" w:themeColor="accent1" w:themeShade="BF"/>
      <w:lang w:val="en-GB"/>
    </w:rPr>
  </w:style>
  <w:style w:type="character" w:customStyle="1" w:styleId="Heading6Char">
    <w:name w:val="Heading 6 Char"/>
    <w:basedOn w:val="DefaultParagraphFont"/>
    <w:link w:val="Heading6"/>
    <w:uiPriority w:val="9"/>
    <w:semiHidden/>
    <w:rsid w:val="0097125E"/>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97125E"/>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97125E"/>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97125E"/>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9712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25E"/>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7125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125E"/>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97125E"/>
    <w:pPr>
      <w:spacing w:before="160"/>
      <w:jc w:val="center"/>
    </w:pPr>
    <w:rPr>
      <w:i/>
      <w:iCs/>
      <w:color w:val="404040" w:themeColor="text1" w:themeTint="BF"/>
    </w:rPr>
  </w:style>
  <w:style w:type="character" w:customStyle="1" w:styleId="QuoteChar">
    <w:name w:val="Quote Char"/>
    <w:basedOn w:val="DefaultParagraphFont"/>
    <w:link w:val="Quote"/>
    <w:uiPriority w:val="29"/>
    <w:rsid w:val="0097125E"/>
    <w:rPr>
      <w:i/>
      <w:iCs/>
      <w:color w:val="404040" w:themeColor="text1" w:themeTint="BF"/>
      <w:lang w:val="en-GB"/>
    </w:rPr>
  </w:style>
  <w:style w:type="character" w:styleId="IntenseEmphasis">
    <w:name w:val="Intense Emphasis"/>
    <w:basedOn w:val="DefaultParagraphFont"/>
    <w:uiPriority w:val="21"/>
    <w:qFormat/>
    <w:rsid w:val="0097125E"/>
    <w:rPr>
      <w:i/>
      <w:iCs/>
      <w:color w:val="0F4761" w:themeColor="accent1" w:themeShade="BF"/>
    </w:rPr>
  </w:style>
  <w:style w:type="paragraph" w:styleId="IntenseQuote">
    <w:name w:val="Intense Quote"/>
    <w:basedOn w:val="Normal"/>
    <w:next w:val="Normal"/>
    <w:link w:val="IntenseQuoteChar"/>
    <w:uiPriority w:val="30"/>
    <w:qFormat/>
    <w:rsid w:val="009712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125E"/>
    <w:rPr>
      <w:i/>
      <w:iCs/>
      <w:color w:val="0F4761" w:themeColor="accent1" w:themeShade="BF"/>
      <w:lang w:val="en-GB"/>
    </w:rPr>
  </w:style>
  <w:style w:type="character" w:styleId="IntenseReference">
    <w:name w:val="Intense Reference"/>
    <w:basedOn w:val="DefaultParagraphFont"/>
    <w:uiPriority w:val="32"/>
    <w:qFormat/>
    <w:rsid w:val="0097125E"/>
    <w:rPr>
      <w:b/>
      <w:bCs/>
      <w:smallCaps/>
      <w:color w:val="0F4761" w:themeColor="accent1" w:themeShade="BF"/>
      <w:spacing w:val="5"/>
    </w:rPr>
  </w:style>
  <w:style w:type="table" w:styleId="TableGrid">
    <w:name w:val="Table Grid"/>
    <w:basedOn w:val="TableNormal"/>
    <w:uiPriority w:val="39"/>
    <w:rsid w:val="00971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22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275"/>
    <w:rPr>
      <w:lang w:val="en-GB"/>
    </w:rPr>
  </w:style>
  <w:style w:type="paragraph" w:styleId="Footer">
    <w:name w:val="footer"/>
    <w:basedOn w:val="Normal"/>
    <w:link w:val="FooterChar"/>
    <w:uiPriority w:val="99"/>
    <w:unhideWhenUsed/>
    <w:rsid w:val="009722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27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25\GAR\ADS\Change%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Change form.dotx</Template>
  <TotalTime>9</TotalTime>
  <Pages>2</Pages>
  <Words>463</Words>
  <Characters>2746</Characters>
  <Application>Microsoft Office Word</Application>
  <DocSecurity>0</DocSecurity>
  <Lines>85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Creamer</dc:creator>
  <cp:keywords/>
  <dc:description/>
  <cp:lastModifiedBy>John Creamer</cp:lastModifiedBy>
  <cp:revision>2</cp:revision>
  <dcterms:created xsi:type="dcterms:W3CDTF">2025-12-05T09:11:00Z</dcterms:created>
  <dcterms:modified xsi:type="dcterms:W3CDTF">2025-12-07T22:49:00Z</dcterms:modified>
</cp:coreProperties>
</file>