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4620E62" w14:textId="77777777" w:rsidTr="00B20551">
        <w:trPr>
          <w:cantSplit/>
          <w:trHeight w:hRule="exact" w:val="851"/>
        </w:trPr>
        <w:tc>
          <w:tcPr>
            <w:tcW w:w="1276" w:type="dxa"/>
            <w:tcBorders>
              <w:bottom w:val="single" w:sz="4" w:space="0" w:color="auto"/>
            </w:tcBorders>
            <w:vAlign w:val="bottom"/>
          </w:tcPr>
          <w:p w14:paraId="51E50958" w14:textId="77777777" w:rsidR="009E6CB7" w:rsidRDefault="009E6CB7" w:rsidP="00B20551">
            <w:pPr>
              <w:spacing w:after="80"/>
            </w:pPr>
          </w:p>
        </w:tc>
        <w:tc>
          <w:tcPr>
            <w:tcW w:w="2268" w:type="dxa"/>
            <w:tcBorders>
              <w:bottom w:val="single" w:sz="4" w:space="0" w:color="auto"/>
            </w:tcBorders>
            <w:vAlign w:val="bottom"/>
          </w:tcPr>
          <w:p w14:paraId="5AA44956"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B9E564F" w14:textId="1C264C7D" w:rsidR="009E6CB7" w:rsidRPr="00D47EEA" w:rsidRDefault="00DA129C" w:rsidP="00DA129C">
            <w:pPr>
              <w:jc w:val="right"/>
            </w:pPr>
            <w:r w:rsidRPr="00DA129C">
              <w:rPr>
                <w:sz w:val="40"/>
              </w:rPr>
              <w:t>ECE</w:t>
            </w:r>
            <w:r>
              <w:t>/TRANS/WP.29/2021/</w:t>
            </w:r>
            <w:r w:rsidR="00C46FFF">
              <w:t>82</w:t>
            </w:r>
          </w:p>
        </w:tc>
      </w:tr>
      <w:tr w:rsidR="009E6CB7" w14:paraId="0752CF60" w14:textId="77777777" w:rsidTr="00B20551">
        <w:trPr>
          <w:cantSplit/>
          <w:trHeight w:hRule="exact" w:val="2835"/>
        </w:trPr>
        <w:tc>
          <w:tcPr>
            <w:tcW w:w="1276" w:type="dxa"/>
            <w:tcBorders>
              <w:top w:val="single" w:sz="4" w:space="0" w:color="auto"/>
              <w:bottom w:val="single" w:sz="12" w:space="0" w:color="auto"/>
            </w:tcBorders>
          </w:tcPr>
          <w:p w14:paraId="30CE9ED8" w14:textId="5764F81A" w:rsidR="009E6CB7" w:rsidRDefault="00686A48" w:rsidP="00B20551">
            <w:pPr>
              <w:spacing w:before="120"/>
            </w:pPr>
            <w:r>
              <w:rPr>
                <w:noProof/>
                <w:lang w:val="fr-CH" w:eastAsia="fr-CH"/>
              </w:rPr>
              <w:drawing>
                <wp:inline distT="0" distB="0" distL="0" distR="0" wp14:anchorId="4A6951C2" wp14:editId="4572623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1B084C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BE1DA78" w14:textId="77777777" w:rsidR="009E6CB7" w:rsidRDefault="00DA129C" w:rsidP="00DA129C">
            <w:pPr>
              <w:spacing w:before="240" w:line="240" w:lineRule="exact"/>
            </w:pPr>
            <w:r>
              <w:t>Distr.: General</w:t>
            </w:r>
          </w:p>
          <w:p w14:paraId="52871F30" w14:textId="1909BC84" w:rsidR="00DA129C" w:rsidRDefault="00006346" w:rsidP="00DA129C">
            <w:pPr>
              <w:spacing w:line="240" w:lineRule="exact"/>
            </w:pPr>
            <w:r>
              <w:t>9</w:t>
            </w:r>
            <w:r w:rsidR="00140B84">
              <w:t xml:space="preserve"> April </w:t>
            </w:r>
            <w:r w:rsidR="00DA129C">
              <w:t>2021</w:t>
            </w:r>
          </w:p>
          <w:p w14:paraId="24C44D14" w14:textId="77777777" w:rsidR="00DA129C" w:rsidRDefault="00DA129C" w:rsidP="00DA129C">
            <w:pPr>
              <w:spacing w:line="240" w:lineRule="exact"/>
            </w:pPr>
          </w:p>
          <w:p w14:paraId="19CDCD89" w14:textId="77777777" w:rsidR="00DA129C" w:rsidRDefault="00DA129C" w:rsidP="00DA129C">
            <w:pPr>
              <w:spacing w:line="240" w:lineRule="exact"/>
            </w:pPr>
            <w:r>
              <w:t>Original: English</w:t>
            </w:r>
          </w:p>
        </w:tc>
      </w:tr>
    </w:tbl>
    <w:p w14:paraId="1E6230DF" w14:textId="77777777" w:rsidR="00DA129C" w:rsidRPr="00525E6C" w:rsidRDefault="00DA129C" w:rsidP="00DA129C">
      <w:pPr>
        <w:spacing w:before="120"/>
        <w:rPr>
          <w:b/>
          <w:sz w:val="28"/>
          <w:szCs w:val="28"/>
        </w:rPr>
      </w:pPr>
      <w:r w:rsidRPr="00525E6C">
        <w:rPr>
          <w:b/>
          <w:sz w:val="28"/>
          <w:szCs w:val="28"/>
        </w:rPr>
        <w:t>Economic Commission for Europe</w:t>
      </w:r>
    </w:p>
    <w:p w14:paraId="37F98C9D" w14:textId="77777777" w:rsidR="00DA129C" w:rsidRPr="00525E6C" w:rsidRDefault="00DA129C" w:rsidP="00DA129C">
      <w:pPr>
        <w:spacing w:before="120"/>
        <w:rPr>
          <w:sz w:val="28"/>
          <w:szCs w:val="28"/>
        </w:rPr>
      </w:pPr>
      <w:r w:rsidRPr="00525E6C">
        <w:rPr>
          <w:sz w:val="28"/>
          <w:szCs w:val="28"/>
        </w:rPr>
        <w:t>Inland Transport Committee</w:t>
      </w:r>
    </w:p>
    <w:p w14:paraId="7B944650" w14:textId="77777777" w:rsidR="00DA129C" w:rsidRPr="00525E6C" w:rsidRDefault="00DA129C" w:rsidP="00DA129C">
      <w:pPr>
        <w:spacing w:before="120"/>
        <w:rPr>
          <w:b/>
          <w:sz w:val="24"/>
          <w:szCs w:val="24"/>
        </w:rPr>
      </w:pPr>
      <w:r w:rsidRPr="00525E6C">
        <w:rPr>
          <w:b/>
          <w:sz w:val="24"/>
          <w:szCs w:val="24"/>
        </w:rPr>
        <w:t>World Forum for Harmonization of Vehicle Regulations</w:t>
      </w:r>
    </w:p>
    <w:p w14:paraId="025A5EC2" w14:textId="6D60FD6A" w:rsidR="00DA129C" w:rsidRDefault="00DA129C" w:rsidP="00DA129C">
      <w:pPr>
        <w:tabs>
          <w:tab w:val="center" w:pos="4819"/>
        </w:tabs>
        <w:spacing w:before="120"/>
        <w:rPr>
          <w:b/>
          <w:lang w:val="en-US"/>
        </w:rPr>
      </w:pPr>
      <w:r>
        <w:rPr>
          <w:b/>
          <w:lang w:val="en-US"/>
        </w:rPr>
        <w:t>184th session</w:t>
      </w:r>
    </w:p>
    <w:p w14:paraId="5FF1D6F9" w14:textId="1F3FE8C2" w:rsidR="00DA129C" w:rsidRDefault="00DA129C" w:rsidP="00DA129C">
      <w:pPr>
        <w:rPr>
          <w:lang w:val="en-US"/>
        </w:rPr>
      </w:pPr>
      <w:r>
        <w:rPr>
          <w:lang w:val="en-US"/>
        </w:rPr>
        <w:t>Geneva, 22-24 June 2021</w:t>
      </w:r>
    </w:p>
    <w:p w14:paraId="5BD0E586" w14:textId="6449BE7C" w:rsidR="00DA129C" w:rsidRDefault="00DA129C" w:rsidP="00DA129C">
      <w:r>
        <w:t xml:space="preserve">Item </w:t>
      </w:r>
      <w:r w:rsidRPr="007C1A43">
        <w:t>4.</w:t>
      </w:r>
      <w:r w:rsidR="00140B84" w:rsidRPr="007C1A43">
        <w:t>8</w:t>
      </w:r>
      <w:r w:rsidRPr="007C1A43">
        <w:t>.</w:t>
      </w:r>
      <w:r w:rsidR="00103024" w:rsidRPr="007C1A43">
        <w:t>2</w:t>
      </w:r>
      <w:r>
        <w:t xml:space="preserve"> of the provisional agenda</w:t>
      </w:r>
    </w:p>
    <w:p w14:paraId="78023911" w14:textId="39D1C973" w:rsidR="00DA129C" w:rsidRDefault="00DA129C" w:rsidP="00DA129C">
      <w:pPr>
        <w:rPr>
          <w:b/>
        </w:rPr>
      </w:pPr>
      <w:r>
        <w:rPr>
          <w:b/>
        </w:rPr>
        <w:t>1958 Agreement:</w:t>
      </w:r>
      <w:r>
        <w:rPr>
          <w:b/>
        </w:rPr>
        <w:br/>
      </w:r>
      <w:r w:rsidRPr="008405E4">
        <w:rPr>
          <w:b/>
        </w:rPr>
        <w:t>Consideration of</w:t>
      </w:r>
      <w:r>
        <w:rPr>
          <w:b/>
        </w:rPr>
        <w:t xml:space="preserve"> draft amendments to existing </w:t>
      </w:r>
      <w:r>
        <w:rPr>
          <w:b/>
        </w:rPr>
        <w:br/>
      </w:r>
      <w:r w:rsidRPr="008405E4">
        <w:rPr>
          <w:b/>
        </w:rPr>
        <w:t>UN Regulations submitted</w:t>
      </w:r>
      <w:r>
        <w:rPr>
          <w:b/>
        </w:rPr>
        <w:t xml:space="preserve"> </w:t>
      </w:r>
      <w:r w:rsidRPr="008405E4">
        <w:rPr>
          <w:b/>
        </w:rPr>
        <w:t>by</w:t>
      </w:r>
      <w:r>
        <w:rPr>
          <w:b/>
        </w:rPr>
        <w:t xml:space="preserve"> </w:t>
      </w:r>
      <w:r w:rsidR="00140B84">
        <w:rPr>
          <w:b/>
        </w:rPr>
        <w:t>GRVA</w:t>
      </w:r>
    </w:p>
    <w:p w14:paraId="085436E4" w14:textId="6F5C6F65" w:rsidR="00DA129C" w:rsidRDefault="00DA129C" w:rsidP="00DA129C">
      <w:pPr>
        <w:pStyle w:val="HChG"/>
      </w:pPr>
      <w:r>
        <w:tab/>
      </w:r>
      <w:r>
        <w:tab/>
      </w:r>
      <w:r w:rsidR="00CF1A9A" w:rsidRPr="00322E58">
        <w:rPr>
          <w:bCs/>
        </w:rPr>
        <w:t xml:space="preserve">Proposal for </w:t>
      </w:r>
      <w:r w:rsidR="00006346">
        <w:rPr>
          <w:bCs/>
        </w:rPr>
        <w:t>a new</w:t>
      </w:r>
      <w:r w:rsidR="007826BC">
        <w:rPr>
          <w:bCs/>
        </w:rPr>
        <w:t xml:space="preserve"> 04 series of amendments to UN Regulation No. 79 (Steering equipment)</w:t>
      </w:r>
    </w:p>
    <w:p w14:paraId="21CA8A18" w14:textId="17BA4138" w:rsidR="00DA129C" w:rsidRDefault="00A37F6F" w:rsidP="00DA129C">
      <w:pPr>
        <w:pStyle w:val="H1G"/>
        <w:rPr>
          <w:szCs w:val="24"/>
        </w:rPr>
      </w:pPr>
      <w:r>
        <w:tab/>
      </w:r>
      <w:r>
        <w:tab/>
      </w:r>
      <w:r w:rsidRPr="00A96F13">
        <w:rPr>
          <w:szCs w:val="24"/>
        </w:rPr>
        <w:t>Submitted</w:t>
      </w:r>
      <w:r w:rsidRPr="0036339F">
        <w:rPr>
          <w:szCs w:val="24"/>
        </w:rPr>
        <w:t xml:space="preserve"> by the </w:t>
      </w:r>
      <w:r>
        <w:rPr>
          <w:szCs w:val="24"/>
        </w:rPr>
        <w:t xml:space="preserve">Working Party on Automated/Autonomous and Connected Vehicles </w:t>
      </w:r>
      <w:r w:rsidR="00DA129C" w:rsidRPr="00DA129C">
        <w:rPr>
          <w:rStyle w:val="FootnoteReference"/>
          <w:b w:val="0"/>
          <w:bCs/>
          <w:sz w:val="20"/>
          <w:vertAlign w:val="baseline"/>
        </w:rPr>
        <w:footnoteReference w:customMarkFollows="1" w:id="2"/>
        <w:t>*</w:t>
      </w:r>
    </w:p>
    <w:p w14:paraId="7A3D0BDF" w14:textId="483AACA4" w:rsidR="003009B0" w:rsidRPr="002C5316" w:rsidRDefault="00CA39DB" w:rsidP="002C5316">
      <w:pPr>
        <w:pStyle w:val="SingleTxtG"/>
        <w:ind w:firstLine="567"/>
        <w:rPr>
          <w:spacing w:val="-2"/>
          <w:lang w:val="en-US"/>
        </w:rPr>
      </w:pPr>
      <w:r w:rsidRPr="00B64572">
        <w:rPr>
          <w:spacing w:val="-2"/>
          <w:lang w:val="en-US"/>
        </w:rPr>
        <w:t xml:space="preserve">The text reproduced below was adopted by the Working Party on </w:t>
      </w:r>
      <w:r w:rsidRPr="00B64572">
        <w:rPr>
          <w:spacing w:val="-2"/>
          <w:szCs w:val="24"/>
        </w:rPr>
        <w:t>Automated/Autonomous and Connected Vehicles (GRVA)</w:t>
      </w:r>
      <w:r w:rsidRPr="00B64572">
        <w:rPr>
          <w:spacing w:val="-2"/>
          <w:lang w:val="en-US"/>
        </w:rPr>
        <w:t xml:space="preserve"> at its eighth session (ECE/TRANS/WP.29/GRVA/</w:t>
      </w:r>
      <w:r w:rsidR="00CF1A9A" w:rsidRPr="00B64572">
        <w:rPr>
          <w:spacing w:val="-2"/>
          <w:lang w:val="en-US"/>
        </w:rPr>
        <w:t>9</w:t>
      </w:r>
      <w:r w:rsidRPr="00B64572">
        <w:rPr>
          <w:spacing w:val="-2"/>
          <w:lang w:val="en-US"/>
        </w:rPr>
        <w:t xml:space="preserve">, para. </w:t>
      </w:r>
      <w:r w:rsidR="002C5316">
        <w:rPr>
          <w:spacing w:val="-2"/>
          <w:lang w:val="en-US"/>
        </w:rPr>
        <w:t>83</w:t>
      </w:r>
      <w:r w:rsidRPr="00B64572">
        <w:rPr>
          <w:spacing w:val="-2"/>
          <w:lang w:val="en-US"/>
        </w:rPr>
        <w:t>)</w:t>
      </w:r>
      <w:r w:rsidR="002C5316">
        <w:rPr>
          <w:spacing w:val="-2"/>
          <w:lang w:val="en-US"/>
        </w:rPr>
        <w:t xml:space="preserve"> subject to reconfirmation and potential amendments by GRVA at its May 2021 session</w:t>
      </w:r>
      <w:r w:rsidRPr="00B64572">
        <w:rPr>
          <w:spacing w:val="-2"/>
          <w:lang w:val="en-US"/>
        </w:rPr>
        <w:t xml:space="preserve">. It is based on </w:t>
      </w:r>
      <w:r w:rsidR="003A1CFD" w:rsidRPr="00B64572">
        <w:t>ECE/TRANS/WP.29/GRVA/2021/</w:t>
      </w:r>
      <w:r w:rsidR="002C5316">
        <w:t>13</w:t>
      </w:r>
      <w:r w:rsidR="00B11D41" w:rsidRPr="00B64572">
        <w:t xml:space="preserve"> as amended in session</w:t>
      </w:r>
      <w:r w:rsidR="000F60A7" w:rsidRPr="00B64572">
        <w:t xml:space="preserve"> (GRVA-09-</w:t>
      </w:r>
      <w:r w:rsidR="007826BC">
        <w:t>43</w:t>
      </w:r>
      <w:r w:rsidR="00B64572" w:rsidRPr="00B64572">
        <w:t>)</w:t>
      </w:r>
      <w:r w:rsidRPr="00B64572">
        <w:rPr>
          <w:spacing w:val="-2"/>
          <w:lang w:val="en-US"/>
        </w:rPr>
        <w:t>. It is submitted to the World Forum for Harmonization of Vehicle Regulations (WP.29) and to the Administrative Committee (AC.1) for consideration at their June 2021 sessions</w:t>
      </w:r>
      <w:r w:rsidR="00724912" w:rsidRPr="00B64572">
        <w:rPr>
          <w:spacing w:val="-2"/>
          <w:lang w:val="en-US"/>
        </w:rPr>
        <w:t>.</w:t>
      </w:r>
    </w:p>
    <w:p w14:paraId="0EEA37BF" w14:textId="6C1ADD88" w:rsidR="00DA129C" w:rsidRDefault="00DA129C" w:rsidP="00595520">
      <w:r>
        <w:br w:type="page"/>
      </w:r>
    </w:p>
    <w:p w14:paraId="2710B56D" w14:textId="30283650" w:rsidR="002B6DA6" w:rsidRPr="002B6DA6" w:rsidRDefault="002B6DA6" w:rsidP="002B6DA6">
      <w:pPr>
        <w:pStyle w:val="SingleTxtG"/>
      </w:pPr>
      <w:r w:rsidRPr="00EE75E4">
        <w:rPr>
          <w:i/>
          <w:iCs/>
        </w:rPr>
        <w:lastRenderedPageBreak/>
        <w:t xml:space="preserve">Insert a new </w:t>
      </w:r>
      <w:r w:rsidR="00AB3C9D">
        <w:rPr>
          <w:i/>
          <w:iCs/>
        </w:rPr>
        <w:t>p</w:t>
      </w:r>
      <w:r w:rsidRPr="00EE75E4">
        <w:rPr>
          <w:i/>
          <w:iCs/>
        </w:rPr>
        <w:t>aragraph 2.3.4.4.</w:t>
      </w:r>
      <w:r w:rsidR="00EE75E4">
        <w:rPr>
          <w:i/>
          <w:iCs/>
        </w:rPr>
        <w:t>,</w:t>
      </w:r>
      <w:r w:rsidRPr="002B6DA6">
        <w:t xml:space="preserve"> to read:</w:t>
      </w:r>
    </w:p>
    <w:p w14:paraId="470CEF76" w14:textId="7B2D147A" w:rsidR="002B6DA6" w:rsidRPr="002B6DA6" w:rsidRDefault="00AB3C9D" w:rsidP="002B6DA6">
      <w:pPr>
        <w:pStyle w:val="SingleTxtG"/>
        <w:ind w:left="2268" w:hanging="1134"/>
      </w:pPr>
      <w:bookmarkStart w:id="0" w:name="_Hlk25058578"/>
      <w:r>
        <w:t>"</w:t>
      </w:r>
      <w:r w:rsidR="002B6DA6" w:rsidRPr="002B6DA6">
        <w:t>2.3.4.</w:t>
      </w:r>
      <w:bookmarkEnd w:id="0"/>
      <w:r w:rsidR="002B6DA6" w:rsidRPr="002B6DA6">
        <w:t>4.</w:t>
      </w:r>
      <w:r w:rsidR="002B6DA6" w:rsidRPr="002B6DA6">
        <w:tab/>
        <w:t>"</w:t>
      </w:r>
      <w:r w:rsidR="002B6DA6" w:rsidRPr="002B6DA6">
        <w:rPr>
          <w:i/>
          <w:iCs/>
        </w:rPr>
        <w:t>Risk Mitigation Function (RMF)</w:t>
      </w:r>
      <w:r w:rsidR="002B6DA6" w:rsidRPr="002B6DA6">
        <w:t>" means a function which can in case of confirmed driver unavailability automatically activate the vehicle steering system for a limited duration to steer the vehicle with the purpose of bringing the vehicle to a safe stop within a target stop area.</w:t>
      </w:r>
      <w:r>
        <w:t>"</w:t>
      </w:r>
    </w:p>
    <w:p w14:paraId="31A07393" w14:textId="77777777" w:rsidR="002B6DA6" w:rsidRPr="002B6DA6" w:rsidRDefault="002B6DA6" w:rsidP="002B6DA6">
      <w:pPr>
        <w:pStyle w:val="SingleTxtG"/>
        <w:adjustRightInd w:val="0"/>
        <w:spacing w:line="240" w:lineRule="auto"/>
        <w:rPr>
          <w:b/>
          <w:bCs/>
        </w:rPr>
      </w:pPr>
      <w:r w:rsidRPr="002B6DA6">
        <w:rPr>
          <w:i/>
        </w:rPr>
        <w:t>Insert a new paragraph 2.4.18</w:t>
      </w:r>
      <w:r w:rsidRPr="002B6DA6">
        <w:rPr>
          <w:iCs/>
        </w:rPr>
        <w:t>., to read:</w:t>
      </w:r>
      <w:r w:rsidRPr="002B6DA6">
        <w:rPr>
          <w:b/>
          <w:bCs/>
          <w:iCs/>
        </w:rPr>
        <w:t xml:space="preserve"> </w:t>
      </w:r>
    </w:p>
    <w:p w14:paraId="737E8EC3" w14:textId="6DFE1B63" w:rsidR="002B6DA6" w:rsidRPr="002B6DA6" w:rsidRDefault="00AB3C9D" w:rsidP="002B6DA6">
      <w:pPr>
        <w:pStyle w:val="SingleTxtG"/>
        <w:adjustRightInd w:val="0"/>
        <w:spacing w:line="240" w:lineRule="auto"/>
        <w:ind w:left="2268" w:hanging="1134"/>
      </w:pPr>
      <w:bookmarkStart w:id="1" w:name="_Hlk25058740"/>
      <w:r>
        <w:t>"</w:t>
      </w:r>
      <w:r w:rsidR="002B6DA6" w:rsidRPr="002B6DA6">
        <w:t>2.4.18.</w:t>
      </w:r>
      <w:r w:rsidR="002B6DA6" w:rsidRPr="002B6DA6">
        <w:tab/>
      </w:r>
      <w:bookmarkEnd w:id="1"/>
      <w:r>
        <w:t>"</w:t>
      </w:r>
      <w:r w:rsidR="002B6DA6" w:rsidRPr="002B6DA6">
        <w:rPr>
          <w:i/>
          <w:iCs/>
        </w:rPr>
        <w:t>Target stop area</w:t>
      </w:r>
      <w:r>
        <w:t>"</w:t>
      </w:r>
      <w:r w:rsidR="002B6DA6" w:rsidRPr="002B6DA6">
        <w:t xml:space="preserve"> means an area (e.g. emergency lane, hard shoulder, beside the road, slowest lane of traffic, own lane of travel) where an RMF aims to stop the vehicle.</w:t>
      </w:r>
      <w:r>
        <w:t>"</w:t>
      </w:r>
    </w:p>
    <w:p w14:paraId="08FD3078" w14:textId="76323803" w:rsidR="002B6DA6" w:rsidRDefault="002B6DA6" w:rsidP="002B6DA6">
      <w:pPr>
        <w:pStyle w:val="para"/>
      </w:pPr>
      <w:r>
        <w:rPr>
          <w:i/>
          <w:iCs/>
        </w:rPr>
        <w:t>Insert a new paragraph 5.1.6.3.</w:t>
      </w:r>
      <w:r w:rsidRPr="002B6DA6">
        <w:rPr>
          <w:i/>
          <w:iCs/>
          <w:lang w:val="en-GB"/>
        </w:rPr>
        <w:t xml:space="preserve"> </w:t>
      </w:r>
      <w:r>
        <w:rPr>
          <w:i/>
          <w:iCs/>
          <w:lang w:val="en-GB"/>
        </w:rPr>
        <w:t>(and subparagraphs)</w:t>
      </w:r>
      <w:r>
        <w:rPr>
          <w:i/>
          <w:iCs/>
        </w:rPr>
        <w:t>,</w:t>
      </w:r>
      <w:r>
        <w:t xml:space="preserve"> to read:</w:t>
      </w:r>
    </w:p>
    <w:p w14:paraId="74391327" w14:textId="327BA64C" w:rsidR="002B6DA6" w:rsidRPr="002B6DA6" w:rsidRDefault="00AB3C9D" w:rsidP="002B6DA6">
      <w:pPr>
        <w:pStyle w:val="para"/>
      </w:pPr>
      <w:r w:rsidRPr="00103024">
        <w:rPr>
          <w:lang w:val="en-GB"/>
        </w:rPr>
        <w:t>"</w:t>
      </w:r>
      <w:r w:rsidR="002B6DA6" w:rsidRPr="002B6DA6">
        <w:t>5.1.6.3.</w:t>
      </w:r>
      <w:r w:rsidR="002B6DA6" w:rsidRPr="002B6DA6">
        <w:tab/>
        <w:t>Vehicles equipped with an RMF shall fulfil the following requirements.</w:t>
      </w:r>
    </w:p>
    <w:p w14:paraId="4CA0BBC6" w14:textId="77777777" w:rsidR="002B6DA6" w:rsidRPr="002B6DA6" w:rsidRDefault="002B6DA6" w:rsidP="002B6DA6">
      <w:pPr>
        <w:pStyle w:val="para"/>
      </w:pPr>
      <w:r w:rsidRPr="002B6DA6">
        <w:tab/>
        <w:t>An RMF system shall be subject to the requirements of Annex 6.</w:t>
      </w:r>
    </w:p>
    <w:p w14:paraId="4D507777" w14:textId="77777777" w:rsidR="002B6DA6" w:rsidRPr="002B6DA6" w:rsidRDefault="002B6DA6" w:rsidP="002B6DA6">
      <w:pPr>
        <w:pStyle w:val="para"/>
      </w:pPr>
      <w:r w:rsidRPr="002B6DA6">
        <w:t>5.1.6.3.1.</w:t>
      </w:r>
      <w:r w:rsidRPr="002B6DA6">
        <w:tab/>
        <w:t xml:space="preserve">Any RMF shall only start an intervention in case the driver is confirmed to be unavailable to control the vehicle e.g. through driver monitoring, failed response to a request for action or warning or if it is manually activated by the driver. </w:t>
      </w:r>
    </w:p>
    <w:p w14:paraId="6346BC00" w14:textId="41BC2200" w:rsidR="002B6DA6" w:rsidRDefault="002B6DA6" w:rsidP="002B6DA6">
      <w:pPr>
        <w:pStyle w:val="SingleTxtG"/>
        <w:ind w:left="2268"/>
      </w:pPr>
      <w:r>
        <w:rPr>
          <w:b/>
          <w:bCs/>
        </w:rPr>
        <w:tab/>
      </w:r>
      <w:r w:rsidRPr="002B6DA6">
        <w:t>In case the system provides a means for manual activation, this means shall be protected against unintentional operation.</w:t>
      </w:r>
    </w:p>
    <w:p w14:paraId="1BE2EE1D" w14:textId="221F8481" w:rsidR="002B6DA6" w:rsidRDefault="002B6DA6" w:rsidP="002B6DA6">
      <w:pPr>
        <w:pStyle w:val="para"/>
      </w:pPr>
      <w:r w:rsidRPr="002B6DA6">
        <w:t>5.1.6.3.2.</w:t>
      </w:r>
      <w:r w:rsidRPr="002B6DA6">
        <w:tab/>
        <w:t>Unless a request for action was already given or the system was manually activated, there shall be an optical and acoustical warning signal upfront every RMF intervention in order to stimulate the driver to take back control.</w:t>
      </w:r>
    </w:p>
    <w:p w14:paraId="4E2B3297" w14:textId="56FAF61A" w:rsidR="002B6DA6" w:rsidRPr="002B6DA6" w:rsidRDefault="002B6DA6" w:rsidP="002B6DA6">
      <w:pPr>
        <w:pStyle w:val="para"/>
        <w:ind w:firstLine="0"/>
      </w:pPr>
      <w:r w:rsidRPr="002B6DA6">
        <w:t>Every RMF intervention shall be indicated to the driver at least by a</w:t>
      </w:r>
      <w:r w:rsidRPr="002B6DA6">
        <w:rPr>
          <w:lang w:val="en-GB"/>
        </w:rPr>
        <w:t xml:space="preserve"> clearly visible</w:t>
      </w:r>
      <w:r w:rsidRPr="002B6DA6">
        <w:t xml:space="preserve"> optical </w:t>
      </w:r>
      <w:r w:rsidRPr="002B6DA6">
        <w:rPr>
          <w:lang w:val="en-US"/>
        </w:rPr>
        <w:t xml:space="preserve">and an acoustic </w:t>
      </w:r>
      <w:r w:rsidRPr="002B6DA6">
        <w:t xml:space="preserve">warning signal </w:t>
      </w:r>
      <w:r w:rsidRPr="002B6DA6">
        <w:rPr>
          <w:lang w:val="en-GB"/>
        </w:rPr>
        <w:t xml:space="preserve">for </w:t>
      </w:r>
      <w:r w:rsidRPr="002B6DA6">
        <w:t>as long as the intervention exists.</w:t>
      </w:r>
    </w:p>
    <w:p w14:paraId="2E2B1405" w14:textId="3B6781F8" w:rsidR="002B6DA6" w:rsidRPr="002B6DA6" w:rsidRDefault="002B6DA6" w:rsidP="002B6DA6">
      <w:pPr>
        <w:pStyle w:val="para"/>
        <w:ind w:firstLine="0"/>
        <w:rPr>
          <w:lang w:val="en-US"/>
        </w:rPr>
      </w:pPr>
      <w:r w:rsidRPr="002B6DA6">
        <w:rPr>
          <w:lang w:val="en-US"/>
        </w:rPr>
        <w:t>These warning signals shall be distinct and of a great urgency.</w:t>
      </w:r>
    </w:p>
    <w:p w14:paraId="5DC5B871" w14:textId="77777777" w:rsidR="002B6DA6" w:rsidRPr="002B6DA6" w:rsidRDefault="002B6DA6" w:rsidP="002B6DA6">
      <w:pPr>
        <w:pStyle w:val="para"/>
      </w:pPr>
      <w:r w:rsidRPr="002B6DA6">
        <w:t>5.1.6.3.3.</w:t>
      </w:r>
      <w:r w:rsidRPr="002B6DA6">
        <w:tab/>
        <w:t>The RMF</w:t>
      </w:r>
      <w:r w:rsidRPr="002B6DA6">
        <w:rPr>
          <w:i/>
        </w:rPr>
        <w:t xml:space="preserve"> </w:t>
      </w:r>
      <w:r w:rsidRPr="002B6DA6">
        <w:t xml:space="preserve">shall aim to bring the vehicle to a safe stop within the target stop area. </w:t>
      </w:r>
    </w:p>
    <w:p w14:paraId="0541A551" w14:textId="77777777" w:rsidR="002B6DA6" w:rsidRPr="002B6DA6" w:rsidRDefault="002B6DA6" w:rsidP="002B6DA6">
      <w:pPr>
        <w:pStyle w:val="para"/>
        <w:rPr>
          <w:lang w:val="en-US"/>
        </w:rPr>
      </w:pPr>
      <w:r w:rsidRPr="002B6DA6">
        <w:rPr>
          <w:lang w:val="en-US"/>
        </w:rPr>
        <w:t>5.1.6.3.3.1.</w:t>
      </w:r>
      <w:r w:rsidRPr="002B6DA6">
        <w:rPr>
          <w:lang w:val="en-US"/>
        </w:rPr>
        <w:tab/>
        <w:t xml:space="preserve">RMF shall aim to avoid collisions or mitigate them at the least. </w:t>
      </w:r>
    </w:p>
    <w:p w14:paraId="426FB4DF" w14:textId="77777777" w:rsidR="002B6DA6" w:rsidRPr="002B6DA6" w:rsidRDefault="002B6DA6" w:rsidP="002B6DA6">
      <w:pPr>
        <w:pStyle w:val="para"/>
      </w:pPr>
      <w:r w:rsidRPr="002B6DA6">
        <w:t>5.1.6.3.4.</w:t>
      </w:r>
      <w:r w:rsidRPr="002B6DA6">
        <w:tab/>
        <w:t>The signal to activate the hazard warning lights shall be generated with the start of the intervention.</w:t>
      </w:r>
    </w:p>
    <w:p w14:paraId="527A9B70" w14:textId="77777777" w:rsidR="002B6DA6" w:rsidRPr="002B6DA6" w:rsidRDefault="002B6DA6" w:rsidP="002B6DA6">
      <w:pPr>
        <w:pStyle w:val="para"/>
      </w:pPr>
      <w:r w:rsidRPr="002B6DA6">
        <w:t>5.1.6.3.5.</w:t>
      </w:r>
      <w:r w:rsidRPr="002B6DA6">
        <w:tab/>
      </w:r>
      <w:r w:rsidRPr="002B6DA6">
        <w:tab/>
        <w:t>It shall be possible to override the function at any time by a distinct action of the driver.</w:t>
      </w:r>
    </w:p>
    <w:p w14:paraId="6971226A" w14:textId="614A3337" w:rsidR="002B6DA6" w:rsidRDefault="002B6DA6" w:rsidP="002B6DA6">
      <w:pPr>
        <w:pStyle w:val="SingleTxtG"/>
        <w:ind w:left="2268" w:hanging="1134"/>
        <w:rPr>
          <w:lang w:val="x-none"/>
        </w:rPr>
      </w:pPr>
      <w:r w:rsidRPr="002B6DA6">
        <w:rPr>
          <w:lang w:val="x-none"/>
        </w:rPr>
        <w:t>5.1.6.3.6.</w:t>
      </w:r>
      <w:r w:rsidRPr="002B6DA6">
        <w:rPr>
          <w:lang w:val="x-none"/>
        </w:rPr>
        <w:tab/>
        <w:t>Additional provisions for systems with the purpose of bringing the vehicle to a safe stop outside its own lane of travel.</w:t>
      </w:r>
    </w:p>
    <w:p w14:paraId="769BB811" w14:textId="6604F26C" w:rsidR="002B6DA6" w:rsidRDefault="002B6DA6" w:rsidP="002B6DA6">
      <w:pPr>
        <w:pStyle w:val="SingleTxtG"/>
        <w:ind w:left="2268"/>
        <w:rPr>
          <w:lang w:val="x-none"/>
        </w:rPr>
      </w:pPr>
      <w:r w:rsidRPr="002B6DA6">
        <w:rPr>
          <w:lang w:val="x-none"/>
        </w:rPr>
        <w:t>Leaving the original lane of travel shall only be possible on roads where pedestrians and cyclists are prohibited and which, by design, are equipped with a physical separation that divides the traffic moving in opposite directions.</w:t>
      </w:r>
    </w:p>
    <w:p w14:paraId="66D50B20" w14:textId="5AC85CA2" w:rsidR="002B6DA6" w:rsidRDefault="002B6DA6" w:rsidP="002B6DA6">
      <w:pPr>
        <w:pStyle w:val="SingleTxtG"/>
        <w:ind w:left="2268"/>
      </w:pPr>
      <w:r w:rsidRPr="002B6DA6">
        <w:rPr>
          <w:lang w:val="x-none"/>
        </w:rPr>
        <w:t xml:space="preserve">Until uniform provisions and test procedures have been agreed, the manufacturer shall provide to the satisfaction of the Technical Service as part of the assessment according to Annex 6 appropriate documentation and supporting evidence including physical tests to demonstrate a safe </w:t>
      </w:r>
      <w:proofErr w:type="spellStart"/>
      <w:r w:rsidRPr="002B6DA6">
        <w:rPr>
          <w:lang w:val="x-none"/>
        </w:rPr>
        <w:t>behaviour</w:t>
      </w:r>
      <w:proofErr w:type="spellEnd"/>
      <w:r w:rsidRPr="002B6DA6">
        <w:rPr>
          <w:lang w:val="x-none"/>
        </w:rPr>
        <w:t xml:space="preserve"> of the function when bringing the vehicle to a stop outside its lane of travel</w:t>
      </w:r>
      <w:r w:rsidRPr="002B6DA6">
        <w:t>.</w:t>
      </w:r>
    </w:p>
    <w:p w14:paraId="5BCFD581" w14:textId="4D3185AA" w:rsidR="002B6DA6" w:rsidRPr="00150139" w:rsidRDefault="002B6DA6" w:rsidP="002B6DA6">
      <w:pPr>
        <w:pStyle w:val="para"/>
        <w:rPr>
          <w:rFonts w:eastAsiaTheme="minorEastAsia"/>
          <w:lang w:val="en-GB"/>
        </w:rPr>
      </w:pPr>
      <w:r w:rsidRPr="002B6DA6">
        <w:rPr>
          <w:rFonts w:eastAsiaTheme="minorEastAsia"/>
        </w:rPr>
        <w:t xml:space="preserve">5.1.6.3.7. </w:t>
      </w:r>
      <w:r w:rsidRPr="002B6DA6">
        <w:rPr>
          <w:rFonts w:eastAsiaTheme="minorEastAsia"/>
        </w:rPr>
        <w:tab/>
        <w:t>System information data</w:t>
      </w:r>
    </w:p>
    <w:p w14:paraId="4F3EADAC" w14:textId="77777777" w:rsidR="002B6DA6" w:rsidRPr="002B6DA6" w:rsidRDefault="002B6DA6" w:rsidP="002B6DA6">
      <w:pPr>
        <w:pStyle w:val="SingleTxtG"/>
        <w:ind w:left="2268"/>
      </w:pPr>
      <w:r w:rsidRPr="002B6DA6">
        <w:t>The following data shall be provided, together with the documentation package required in Annex 6 of this Regulation, to the Technical Service at the time of type approval:</w:t>
      </w:r>
    </w:p>
    <w:p w14:paraId="32998A55" w14:textId="77777777" w:rsidR="002B6DA6" w:rsidRPr="002B6DA6" w:rsidRDefault="002B6DA6" w:rsidP="00AB3C9D">
      <w:pPr>
        <w:pStyle w:val="SingleTxtG"/>
        <w:numPr>
          <w:ilvl w:val="0"/>
          <w:numId w:val="20"/>
        </w:numPr>
        <w:ind w:left="2835" w:hanging="567"/>
      </w:pPr>
      <w:r w:rsidRPr="002B6DA6">
        <w:t>Information on how the system confirms that the driver is no longer available;</w:t>
      </w:r>
    </w:p>
    <w:p w14:paraId="475CB978" w14:textId="77777777" w:rsidR="002B6DA6" w:rsidRPr="002B6DA6" w:rsidRDefault="002B6DA6" w:rsidP="00AB3C9D">
      <w:pPr>
        <w:pStyle w:val="SingleTxtG"/>
        <w:numPr>
          <w:ilvl w:val="0"/>
          <w:numId w:val="20"/>
        </w:numPr>
        <w:ind w:left="2835" w:hanging="567"/>
      </w:pPr>
      <w:r w:rsidRPr="002B6DA6">
        <w:lastRenderedPageBreak/>
        <w:t>Description of the means to detect the driving environment (including other road users and obstacles and the target stop area);</w:t>
      </w:r>
    </w:p>
    <w:p w14:paraId="4B43FB39" w14:textId="77777777" w:rsidR="002B6DA6" w:rsidRPr="002B6DA6" w:rsidRDefault="002B6DA6" w:rsidP="00AB3C9D">
      <w:pPr>
        <w:pStyle w:val="SingleTxtG"/>
        <w:numPr>
          <w:ilvl w:val="0"/>
          <w:numId w:val="20"/>
        </w:numPr>
        <w:ind w:left="2835" w:hanging="567"/>
      </w:pPr>
      <w:r w:rsidRPr="002B6DA6">
        <w:t>Information/specification on which road types (e.g. motorway, country roads, urban areas, etc.) the system is designed to intervene and how this is ensured;</w:t>
      </w:r>
    </w:p>
    <w:p w14:paraId="0A099041" w14:textId="77777777" w:rsidR="002B6DA6" w:rsidRPr="002B6DA6" w:rsidRDefault="002B6DA6" w:rsidP="00AB3C9D">
      <w:pPr>
        <w:pStyle w:val="SingleTxtG"/>
        <w:numPr>
          <w:ilvl w:val="0"/>
          <w:numId w:val="20"/>
        </w:numPr>
        <w:ind w:left="2835" w:hanging="567"/>
      </w:pPr>
      <w:r w:rsidRPr="002B6DA6">
        <w:t>Means to override the function by a distinct action.</w:t>
      </w:r>
    </w:p>
    <w:p w14:paraId="2BEFB939" w14:textId="77777777" w:rsidR="002B6DA6" w:rsidRPr="002B6DA6" w:rsidRDefault="002B6DA6" w:rsidP="00AB3C9D">
      <w:pPr>
        <w:pStyle w:val="SingleTxtG"/>
        <w:numPr>
          <w:ilvl w:val="0"/>
          <w:numId w:val="20"/>
        </w:numPr>
        <w:ind w:left="2835" w:hanging="567"/>
      </w:pPr>
      <w:r w:rsidRPr="002B6DA6">
        <w:t>Description of the driver warning and information concept</w:t>
      </w:r>
    </w:p>
    <w:p w14:paraId="26A18E9C" w14:textId="77777777" w:rsidR="002B6DA6" w:rsidRPr="002B6DA6" w:rsidRDefault="002B6DA6" w:rsidP="00AB3C9D">
      <w:pPr>
        <w:pStyle w:val="SingleTxtG"/>
        <w:numPr>
          <w:ilvl w:val="0"/>
          <w:numId w:val="20"/>
        </w:numPr>
        <w:ind w:left="2835" w:hanging="567"/>
      </w:pPr>
      <w:r w:rsidRPr="002B6DA6">
        <w:t>In case of lane changing capability, a detailed description of the design provisions implemented to ensure safety of the manoeuvre and the means by which the vehicle detects it is in a permitted driving environment.</w:t>
      </w:r>
    </w:p>
    <w:p w14:paraId="1EE8B46A" w14:textId="2C0DAF82" w:rsidR="002B6DA6" w:rsidRPr="002B6DA6" w:rsidRDefault="002B6DA6" w:rsidP="00AB3C9D">
      <w:pPr>
        <w:pStyle w:val="SingleTxtG"/>
        <w:numPr>
          <w:ilvl w:val="0"/>
          <w:numId w:val="20"/>
        </w:numPr>
        <w:ind w:left="2835" w:hanging="567"/>
        <w:rPr>
          <w:i/>
        </w:rPr>
      </w:pPr>
      <w:r w:rsidRPr="002B6DA6">
        <w:t>Information/specification of the maximum speed the system operates (e.g. also in dependence of the traffic environment (highway, urban, etc.) as well as information/specification on how the speed is reduced (e.g. adapted to surrounding traffic; no harsh braking endangering other road users) in order to come to a safe stop.</w:t>
      </w:r>
      <w:r w:rsidR="00AB3C9D">
        <w:t>"</w:t>
      </w:r>
    </w:p>
    <w:p w14:paraId="19F47F45" w14:textId="110366A4" w:rsidR="007826BC" w:rsidRPr="007826BC" w:rsidRDefault="007826BC" w:rsidP="007826BC">
      <w:pPr>
        <w:pStyle w:val="SingleTxtG"/>
        <w:ind w:left="2268" w:hanging="1134"/>
        <w:rPr>
          <w:rFonts w:eastAsia="Yu Mincho"/>
        </w:rPr>
      </w:pPr>
      <w:r w:rsidRPr="00506E2B">
        <w:rPr>
          <w:rFonts w:eastAsia="Yu Mincho"/>
          <w:i/>
          <w:iCs/>
        </w:rPr>
        <w:t>Insert a new paragraph 12.3.</w:t>
      </w:r>
      <w:r w:rsidR="00EE75E4">
        <w:rPr>
          <w:rFonts w:eastAsia="Yu Mincho"/>
          <w:i/>
          <w:iCs/>
        </w:rPr>
        <w:t xml:space="preserve"> (and subparagraphs)</w:t>
      </w:r>
      <w:r w:rsidRPr="007826BC">
        <w:rPr>
          <w:rFonts w:eastAsia="Yu Mincho"/>
        </w:rPr>
        <w:t>, to read:</w:t>
      </w:r>
    </w:p>
    <w:p w14:paraId="53C3418C" w14:textId="13597A84" w:rsidR="007826BC" w:rsidRPr="00506E2B" w:rsidRDefault="00AB3C9D" w:rsidP="007826BC">
      <w:pPr>
        <w:pStyle w:val="SingleTxtG"/>
        <w:ind w:left="2268" w:hanging="1134"/>
        <w:rPr>
          <w:rFonts w:eastAsia="Yu Mincho"/>
        </w:rPr>
      </w:pPr>
      <w:r>
        <w:rPr>
          <w:rFonts w:eastAsia="Yu Mincho"/>
        </w:rPr>
        <w:t>"</w:t>
      </w:r>
      <w:r w:rsidR="007826BC" w:rsidRPr="00506E2B">
        <w:rPr>
          <w:rFonts w:eastAsia="Yu Mincho"/>
        </w:rPr>
        <w:t>12.3.</w:t>
      </w:r>
      <w:r w:rsidR="007826BC" w:rsidRPr="00506E2B">
        <w:rPr>
          <w:rFonts w:eastAsia="Yu Mincho"/>
        </w:rPr>
        <w:tab/>
        <w:t>Transitional Provisions applicable to the 04 series of amendments:</w:t>
      </w:r>
    </w:p>
    <w:p w14:paraId="04B67CA4" w14:textId="77777777" w:rsidR="007826BC" w:rsidRPr="00506E2B" w:rsidRDefault="007826BC" w:rsidP="007826BC">
      <w:pPr>
        <w:pStyle w:val="SingleTxtG"/>
        <w:ind w:left="2268" w:hanging="1134"/>
        <w:rPr>
          <w:rFonts w:eastAsia="Yu Mincho"/>
        </w:rPr>
      </w:pPr>
      <w:r w:rsidRPr="00506E2B">
        <w:rPr>
          <w:rFonts w:eastAsia="Yu Mincho"/>
        </w:rPr>
        <w:t>12.3.1.</w:t>
      </w:r>
      <w:r w:rsidRPr="00506E2B">
        <w:rPr>
          <w:rFonts w:eastAsia="Yu Mincho"/>
        </w:rPr>
        <w:tab/>
        <w:t>As from the official date of entry into force of the 04 series of amendments, no Contracting Party applying this Regulation shall refuse to grant or refuse to accept UN type approvals under this Regulation as amended by the 04 series of amendments.</w:t>
      </w:r>
    </w:p>
    <w:p w14:paraId="67D85ED1" w14:textId="77777777" w:rsidR="007826BC" w:rsidRPr="00506E2B" w:rsidRDefault="007826BC" w:rsidP="007826BC">
      <w:pPr>
        <w:pStyle w:val="SingleTxtG"/>
        <w:ind w:left="2268" w:hanging="1134"/>
        <w:rPr>
          <w:rFonts w:eastAsia="Yu Mincho"/>
        </w:rPr>
      </w:pPr>
      <w:r w:rsidRPr="00506E2B">
        <w:rPr>
          <w:rFonts w:eastAsia="Yu Mincho"/>
        </w:rPr>
        <w:t>12.3.2.</w:t>
      </w:r>
      <w:r w:rsidRPr="00506E2B">
        <w:rPr>
          <w:rFonts w:eastAsia="Yu Mincho"/>
        </w:rPr>
        <w:tab/>
        <w:t>As from 1 September [2023], Contracting Parties applying this Regulation shall not be obliged to accept UN type approvals to the preceding series of amendments, first issued after 1 September [2023].</w:t>
      </w:r>
    </w:p>
    <w:p w14:paraId="72BA5D73" w14:textId="77777777" w:rsidR="007826BC" w:rsidRPr="00506E2B" w:rsidRDefault="007826BC" w:rsidP="007826BC">
      <w:pPr>
        <w:pStyle w:val="SingleTxtG"/>
        <w:ind w:left="2268" w:hanging="1134"/>
        <w:rPr>
          <w:rFonts w:eastAsia="Yu Mincho"/>
        </w:rPr>
      </w:pPr>
      <w:r w:rsidRPr="00506E2B">
        <w:rPr>
          <w:rFonts w:eastAsia="Yu Mincho"/>
        </w:rPr>
        <w:t>12.3.3.</w:t>
      </w:r>
      <w:r w:rsidRPr="00506E2B">
        <w:rPr>
          <w:rFonts w:eastAsia="Yu Mincho"/>
        </w:rPr>
        <w:tab/>
        <w:t>Until 1 September [2025], Contracting Parties applying this Regulation shall continue to accept UN type approvals to the preceding series of amendments to this Regulation, first issued before 1 September [2023].</w:t>
      </w:r>
    </w:p>
    <w:p w14:paraId="72A009B3" w14:textId="77777777" w:rsidR="007826BC" w:rsidRPr="00506E2B" w:rsidRDefault="007826BC" w:rsidP="007826BC">
      <w:pPr>
        <w:pStyle w:val="SingleTxtG"/>
        <w:ind w:left="2268" w:hanging="1134"/>
        <w:rPr>
          <w:rFonts w:eastAsia="Yu Mincho"/>
        </w:rPr>
      </w:pPr>
      <w:r w:rsidRPr="00506E2B">
        <w:rPr>
          <w:rFonts w:eastAsia="Yu Mincho"/>
        </w:rPr>
        <w:t>12.3.4.</w:t>
      </w:r>
      <w:r w:rsidRPr="00506E2B">
        <w:rPr>
          <w:rFonts w:eastAsia="Yu Mincho"/>
        </w:rPr>
        <w:tab/>
        <w:t>As from 1 September [2025], Contracting Parties applying this Regulation shall not be obliged to accept type approvals issued to the preceding series of amendments to this Regulation.</w:t>
      </w:r>
    </w:p>
    <w:p w14:paraId="539691C9" w14:textId="0D793268" w:rsidR="002B6DA6" w:rsidRPr="00506E2B" w:rsidRDefault="007826BC" w:rsidP="00506E2B">
      <w:pPr>
        <w:pStyle w:val="SingleTxtG"/>
        <w:ind w:left="2268" w:hanging="1134"/>
        <w:rPr>
          <w:rFonts w:eastAsia="Yu Mincho"/>
        </w:rPr>
      </w:pPr>
      <w:r w:rsidRPr="00506E2B">
        <w:rPr>
          <w:rFonts w:eastAsia="Yu Mincho"/>
        </w:rPr>
        <w:t>12.3.5.</w:t>
      </w:r>
      <w:r w:rsidRPr="00506E2B">
        <w:rPr>
          <w:rFonts w:eastAsia="Yu Mincho"/>
        </w:rPr>
        <w:tab/>
        <w:t>Notwithstanding paragraph 12.3.2. and 12.3.4., Contracting Parties applying this Regulation shall continue to accept UN type approvals issued according to a preceding series of amendments to this Regulation, for vehicles which are not affected by the provisions of paragraph 5.1.6.3.6. introduced with the 04 series of amendments.</w:t>
      </w:r>
      <w:r w:rsidR="00AB3C9D">
        <w:rPr>
          <w:rFonts w:eastAsia="Yu Mincho"/>
        </w:rPr>
        <w:t>"</w:t>
      </w:r>
    </w:p>
    <w:p w14:paraId="1B75B4B8" w14:textId="391E87A6" w:rsidR="00DA129C" w:rsidRPr="00DA129C" w:rsidRDefault="00DA129C" w:rsidP="00DA129C">
      <w:pPr>
        <w:spacing w:before="240"/>
        <w:jc w:val="center"/>
        <w:rPr>
          <w:u w:val="single"/>
        </w:rPr>
      </w:pPr>
      <w:r>
        <w:rPr>
          <w:u w:val="single"/>
        </w:rPr>
        <w:tab/>
      </w:r>
      <w:r>
        <w:rPr>
          <w:u w:val="single"/>
        </w:rPr>
        <w:tab/>
      </w:r>
      <w:r>
        <w:rPr>
          <w:u w:val="single"/>
        </w:rPr>
        <w:tab/>
      </w:r>
    </w:p>
    <w:sectPr w:rsidR="00DA129C" w:rsidRPr="00DA129C" w:rsidSect="00DA129C">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2B28F" w14:textId="77777777" w:rsidR="00592BCE" w:rsidRDefault="00592BCE"/>
  </w:endnote>
  <w:endnote w:type="continuationSeparator" w:id="0">
    <w:p w14:paraId="79A3E118" w14:textId="77777777" w:rsidR="00592BCE" w:rsidRDefault="00592BCE"/>
  </w:endnote>
  <w:endnote w:type="continuationNotice" w:id="1">
    <w:p w14:paraId="42CFA4A8" w14:textId="77777777" w:rsidR="00592BCE" w:rsidRDefault="00592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A1A6B" w14:textId="77777777" w:rsidR="00DA129C" w:rsidRPr="00DA129C" w:rsidRDefault="00DA129C" w:rsidP="00DA129C">
    <w:pPr>
      <w:pStyle w:val="Footer"/>
      <w:tabs>
        <w:tab w:val="right" w:pos="9638"/>
      </w:tabs>
      <w:rPr>
        <w:sz w:val="18"/>
      </w:rPr>
    </w:pPr>
    <w:r w:rsidRPr="00DA129C">
      <w:rPr>
        <w:b/>
        <w:sz w:val="18"/>
      </w:rPr>
      <w:fldChar w:fldCharType="begin"/>
    </w:r>
    <w:r w:rsidRPr="00DA129C">
      <w:rPr>
        <w:b/>
        <w:sz w:val="18"/>
      </w:rPr>
      <w:instrText xml:space="preserve"> PAGE  \* MERGEFORMAT </w:instrText>
    </w:r>
    <w:r w:rsidRPr="00DA129C">
      <w:rPr>
        <w:b/>
        <w:sz w:val="18"/>
      </w:rPr>
      <w:fldChar w:fldCharType="separate"/>
    </w:r>
    <w:r w:rsidRPr="00DA129C">
      <w:rPr>
        <w:b/>
        <w:noProof/>
        <w:sz w:val="18"/>
      </w:rPr>
      <w:t>2</w:t>
    </w:r>
    <w:r w:rsidRPr="00DA129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CB70" w14:textId="77777777" w:rsidR="00DA129C" w:rsidRPr="00DA129C" w:rsidRDefault="00DA129C" w:rsidP="00DA129C">
    <w:pPr>
      <w:pStyle w:val="Footer"/>
      <w:tabs>
        <w:tab w:val="right" w:pos="9638"/>
      </w:tabs>
      <w:rPr>
        <w:b/>
        <w:sz w:val="18"/>
      </w:rPr>
    </w:pPr>
    <w:r>
      <w:tab/>
    </w:r>
    <w:r w:rsidRPr="00DA129C">
      <w:rPr>
        <w:b/>
        <w:sz w:val="18"/>
      </w:rPr>
      <w:fldChar w:fldCharType="begin"/>
    </w:r>
    <w:r w:rsidRPr="00DA129C">
      <w:rPr>
        <w:b/>
        <w:sz w:val="18"/>
      </w:rPr>
      <w:instrText xml:space="preserve"> PAGE  \* MERGEFORMAT </w:instrText>
    </w:r>
    <w:r w:rsidRPr="00DA129C">
      <w:rPr>
        <w:b/>
        <w:sz w:val="18"/>
      </w:rPr>
      <w:fldChar w:fldCharType="separate"/>
    </w:r>
    <w:r w:rsidRPr="00DA129C">
      <w:rPr>
        <w:b/>
        <w:noProof/>
        <w:sz w:val="18"/>
      </w:rPr>
      <w:t>3</w:t>
    </w:r>
    <w:r w:rsidRPr="00DA129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159C" w14:textId="56D86346" w:rsidR="00CC03E5" w:rsidRDefault="00CC03E5" w:rsidP="00CC03E5">
    <w:pPr>
      <w:pStyle w:val="Footer"/>
    </w:pPr>
    <w:r w:rsidRPr="0027112F">
      <w:rPr>
        <w:noProof/>
        <w:lang w:val="en-US"/>
      </w:rPr>
      <w:drawing>
        <wp:anchor distT="0" distB="0" distL="114300" distR="114300" simplePos="0" relativeHeight="251659264" behindDoc="0" locked="1" layoutInCell="1" allowOverlap="1" wp14:anchorId="6AC3EAC5" wp14:editId="7912872B">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6654893" w14:textId="4378B6FD" w:rsidR="00CC03E5" w:rsidRPr="00CC03E5" w:rsidRDefault="00CC03E5" w:rsidP="00CC03E5">
    <w:pPr>
      <w:pStyle w:val="Footer"/>
      <w:ind w:right="1134"/>
      <w:rPr>
        <w:sz w:val="20"/>
      </w:rPr>
    </w:pPr>
    <w:r>
      <w:rPr>
        <w:sz w:val="20"/>
      </w:rPr>
      <w:t>GE.21-04669(E)</w:t>
    </w:r>
    <w:r>
      <w:rPr>
        <w:noProof/>
        <w:sz w:val="20"/>
      </w:rPr>
      <w:drawing>
        <wp:anchor distT="0" distB="0" distL="114300" distR="114300" simplePos="0" relativeHeight="251660288" behindDoc="0" locked="0" layoutInCell="1" allowOverlap="1" wp14:anchorId="7C84D03C" wp14:editId="1331F211">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FC70A" w14:textId="77777777" w:rsidR="00592BCE" w:rsidRPr="000B175B" w:rsidRDefault="00592BCE" w:rsidP="000B175B">
      <w:pPr>
        <w:tabs>
          <w:tab w:val="right" w:pos="2155"/>
        </w:tabs>
        <w:spacing w:after="80"/>
        <w:ind w:left="680"/>
        <w:rPr>
          <w:u w:val="single"/>
        </w:rPr>
      </w:pPr>
      <w:r>
        <w:rPr>
          <w:u w:val="single"/>
        </w:rPr>
        <w:tab/>
      </w:r>
    </w:p>
  </w:footnote>
  <w:footnote w:type="continuationSeparator" w:id="0">
    <w:p w14:paraId="2FBC5D19" w14:textId="77777777" w:rsidR="00592BCE" w:rsidRPr="00FC68B7" w:rsidRDefault="00592BCE" w:rsidP="00FC68B7">
      <w:pPr>
        <w:tabs>
          <w:tab w:val="left" w:pos="2155"/>
        </w:tabs>
        <w:spacing w:after="80"/>
        <w:ind w:left="680"/>
        <w:rPr>
          <w:u w:val="single"/>
        </w:rPr>
      </w:pPr>
      <w:r>
        <w:rPr>
          <w:u w:val="single"/>
        </w:rPr>
        <w:tab/>
      </w:r>
    </w:p>
  </w:footnote>
  <w:footnote w:type="continuationNotice" w:id="1">
    <w:p w14:paraId="544CF84E" w14:textId="77777777" w:rsidR="00592BCE" w:rsidRDefault="00592BCE"/>
  </w:footnote>
  <w:footnote w:id="2">
    <w:p w14:paraId="2B623E82" w14:textId="5B65DB2F" w:rsidR="00DA129C" w:rsidRPr="00DC2C16" w:rsidRDefault="00DA129C" w:rsidP="00DA129C">
      <w:pPr>
        <w:pStyle w:val="FootnoteText"/>
      </w:pPr>
      <w:r>
        <w:rPr>
          <w:sz w:val="20"/>
        </w:rPr>
        <w:tab/>
      </w:r>
      <w:r w:rsidRPr="00DA129C">
        <w:rPr>
          <w:rStyle w:val="FootnoteReference"/>
          <w:sz w:val="20"/>
          <w:vertAlign w:val="baseline"/>
        </w:rPr>
        <w:t>*</w:t>
      </w:r>
      <w:r w:rsidRPr="002232AF">
        <w:tab/>
      </w:r>
      <w:r>
        <w:rPr>
          <w:szCs w:val="18"/>
        </w:rPr>
        <w:t xml:space="preserve">In accordance with the programme of work of the Inland Transport Committee for </w:t>
      </w:r>
      <w:r>
        <w:t>2021 as outlined in proposed programme budget for 2021</w:t>
      </w:r>
      <w:r w:rsidRPr="001D00B0">
        <w:t xml:space="preserve"> (</w:t>
      </w:r>
      <w:r w:rsidRPr="00DA129C">
        <w:t xml:space="preserve">A/75/6 </w:t>
      </w:r>
      <w:r>
        <w:t>(part V sect. 20) para 20.51</w:t>
      </w:r>
      <w:r w:rsidRPr="00F70621">
        <w:t>)</w:t>
      </w:r>
      <w:r>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7F7B" w14:textId="4CD5422E" w:rsidR="00DA129C" w:rsidRPr="00DA129C" w:rsidRDefault="00DA129C">
    <w:pPr>
      <w:pStyle w:val="Header"/>
    </w:pPr>
    <w:r>
      <w:t>ECE/TRANS/WP.29/2021/</w:t>
    </w:r>
    <w:r w:rsidR="00C46FFF">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8E377" w14:textId="78452751" w:rsidR="00DA129C" w:rsidRPr="00DA129C" w:rsidRDefault="00DA129C" w:rsidP="00DA129C">
    <w:pPr>
      <w:pStyle w:val="Header"/>
      <w:jc w:val="right"/>
    </w:pPr>
    <w:r>
      <w:t>ECE/TRANS/WP.29/2021/</w:t>
    </w:r>
    <w:r w:rsidR="00C46FFF">
      <w:t>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47993"/>
    <w:multiLevelType w:val="hybridMultilevel"/>
    <w:tmpl w:val="F77634E2"/>
    <w:lvl w:ilvl="0" w:tplc="1D0485AE">
      <w:start w:val="1"/>
      <w:numFmt w:val="lowerLetter"/>
      <w:lvlText w:val="(%1)"/>
      <w:lvlJc w:val="left"/>
      <w:pPr>
        <w:ind w:left="2771" w:hanging="360"/>
      </w:pPr>
      <w:rPr>
        <w:i w:val="0"/>
        <w:iCs/>
      </w:rPr>
    </w:lvl>
    <w:lvl w:ilvl="1" w:tplc="04070019">
      <w:start w:val="1"/>
      <w:numFmt w:val="lowerLetter"/>
      <w:lvlText w:val="%2."/>
      <w:lvlJc w:val="left"/>
      <w:pPr>
        <w:ind w:left="3348" w:hanging="360"/>
      </w:pPr>
    </w:lvl>
    <w:lvl w:ilvl="2" w:tplc="0407001B">
      <w:start w:val="1"/>
      <w:numFmt w:val="lowerRoman"/>
      <w:lvlText w:val="%3."/>
      <w:lvlJc w:val="right"/>
      <w:pPr>
        <w:ind w:left="4068" w:hanging="180"/>
      </w:pPr>
    </w:lvl>
    <w:lvl w:ilvl="3" w:tplc="0407000F">
      <w:start w:val="1"/>
      <w:numFmt w:val="decimal"/>
      <w:lvlText w:val="%4."/>
      <w:lvlJc w:val="left"/>
      <w:pPr>
        <w:ind w:left="4788" w:hanging="360"/>
      </w:pPr>
    </w:lvl>
    <w:lvl w:ilvl="4" w:tplc="04070019">
      <w:start w:val="1"/>
      <w:numFmt w:val="lowerLetter"/>
      <w:lvlText w:val="%5."/>
      <w:lvlJc w:val="left"/>
      <w:pPr>
        <w:ind w:left="5508" w:hanging="360"/>
      </w:pPr>
    </w:lvl>
    <w:lvl w:ilvl="5" w:tplc="0407001B">
      <w:start w:val="1"/>
      <w:numFmt w:val="lowerRoman"/>
      <w:lvlText w:val="%6."/>
      <w:lvlJc w:val="right"/>
      <w:pPr>
        <w:ind w:left="6228" w:hanging="180"/>
      </w:pPr>
    </w:lvl>
    <w:lvl w:ilvl="6" w:tplc="0407000F">
      <w:start w:val="1"/>
      <w:numFmt w:val="decimal"/>
      <w:lvlText w:val="%7."/>
      <w:lvlJc w:val="left"/>
      <w:pPr>
        <w:ind w:left="6948" w:hanging="360"/>
      </w:pPr>
    </w:lvl>
    <w:lvl w:ilvl="7" w:tplc="04070019">
      <w:start w:val="1"/>
      <w:numFmt w:val="lowerLetter"/>
      <w:lvlText w:val="%8."/>
      <w:lvlJc w:val="left"/>
      <w:pPr>
        <w:ind w:left="7668" w:hanging="360"/>
      </w:pPr>
    </w:lvl>
    <w:lvl w:ilvl="8" w:tplc="0407001B">
      <w:start w:val="1"/>
      <w:numFmt w:val="lowerRoman"/>
      <w:lvlText w:val="%9."/>
      <w:lvlJc w:val="right"/>
      <w:pPr>
        <w:ind w:left="8388"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8"/>
  </w:num>
  <w:num w:numId="18">
    <w:abstractNumId w:val="19"/>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9C"/>
    <w:rsid w:val="00002A7D"/>
    <w:rsid w:val="000038A8"/>
    <w:rsid w:val="00005DF3"/>
    <w:rsid w:val="00006346"/>
    <w:rsid w:val="00006790"/>
    <w:rsid w:val="00027624"/>
    <w:rsid w:val="00050F6B"/>
    <w:rsid w:val="000538DA"/>
    <w:rsid w:val="000678CD"/>
    <w:rsid w:val="00072C8C"/>
    <w:rsid w:val="00081CE0"/>
    <w:rsid w:val="00084D30"/>
    <w:rsid w:val="00090320"/>
    <w:rsid w:val="000913AA"/>
    <w:rsid w:val="000931C0"/>
    <w:rsid w:val="00097003"/>
    <w:rsid w:val="000A2E09"/>
    <w:rsid w:val="000B175B"/>
    <w:rsid w:val="000B3A0F"/>
    <w:rsid w:val="000E0415"/>
    <w:rsid w:val="000F60A7"/>
    <w:rsid w:val="000F7715"/>
    <w:rsid w:val="00103024"/>
    <w:rsid w:val="00140B84"/>
    <w:rsid w:val="00150139"/>
    <w:rsid w:val="00156B99"/>
    <w:rsid w:val="00166124"/>
    <w:rsid w:val="0017668E"/>
    <w:rsid w:val="00183CDA"/>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57CAC"/>
    <w:rsid w:val="0027237A"/>
    <w:rsid w:val="002724CD"/>
    <w:rsid w:val="002974E9"/>
    <w:rsid w:val="002A306B"/>
    <w:rsid w:val="002A606E"/>
    <w:rsid w:val="002A7F94"/>
    <w:rsid w:val="002B109A"/>
    <w:rsid w:val="002B6DA6"/>
    <w:rsid w:val="002C5316"/>
    <w:rsid w:val="002C6D45"/>
    <w:rsid w:val="002D6E53"/>
    <w:rsid w:val="002F046D"/>
    <w:rsid w:val="002F3023"/>
    <w:rsid w:val="003009B0"/>
    <w:rsid w:val="00301764"/>
    <w:rsid w:val="003229D8"/>
    <w:rsid w:val="00333312"/>
    <w:rsid w:val="00336C97"/>
    <w:rsid w:val="00337F88"/>
    <w:rsid w:val="00342432"/>
    <w:rsid w:val="0035223F"/>
    <w:rsid w:val="00352D4B"/>
    <w:rsid w:val="0035638C"/>
    <w:rsid w:val="003A1CFD"/>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F6BA0"/>
    <w:rsid w:val="00503BEA"/>
    <w:rsid w:val="00505B15"/>
    <w:rsid w:val="00506E2B"/>
    <w:rsid w:val="00533616"/>
    <w:rsid w:val="00535ABA"/>
    <w:rsid w:val="0053768B"/>
    <w:rsid w:val="005420F2"/>
    <w:rsid w:val="0054285C"/>
    <w:rsid w:val="005554FC"/>
    <w:rsid w:val="00584173"/>
    <w:rsid w:val="00592BCE"/>
    <w:rsid w:val="00595520"/>
    <w:rsid w:val="005A44B9"/>
    <w:rsid w:val="005B1BA0"/>
    <w:rsid w:val="005B3DB3"/>
    <w:rsid w:val="005C0268"/>
    <w:rsid w:val="005D15CA"/>
    <w:rsid w:val="005F08DF"/>
    <w:rsid w:val="005F3066"/>
    <w:rsid w:val="005F3E61"/>
    <w:rsid w:val="00604DDD"/>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4912"/>
    <w:rsid w:val="0072632A"/>
    <w:rsid w:val="007358E8"/>
    <w:rsid w:val="00736ECE"/>
    <w:rsid w:val="0074533B"/>
    <w:rsid w:val="007643BC"/>
    <w:rsid w:val="00780C68"/>
    <w:rsid w:val="007826BC"/>
    <w:rsid w:val="007913AF"/>
    <w:rsid w:val="007959FE"/>
    <w:rsid w:val="007A0CF1"/>
    <w:rsid w:val="007B6BA5"/>
    <w:rsid w:val="007C1A43"/>
    <w:rsid w:val="007C32D1"/>
    <w:rsid w:val="007C3390"/>
    <w:rsid w:val="007C42D8"/>
    <w:rsid w:val="007C4F4B"/>
    <w:rsid w:val="007D6F65"/>
    <w:rsid w:val="007D7362"/>
    <w:rsid w:val="007F5CE2"/>
    <w:rsid w:val="007F6611"/>
    <w:rsid w:val="00810BAC"/>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6E47"/>
    <w:rsid w:val="00947162"/>
    <w:rsid w:val="009610D0"/>
    <w:rsid w:val="0096375C"/>
    <w:rsid w:val="009662E6"/>
    <w:rsid w:val="0097095E"/>
    <w:rsid w:val="0098592B"/>
    <w:rsid w:val="00985FC4"/>
    <w:rsid w:val="00990766"/>
    <w:rsid w:val="00991261"/>
    <w:rsid w:val="009964C4"/>
    <w:rsid w:val="009A7B81"/>
    <w:rsid w:val="009B7EB7"/>
    <w:rsid w:val="009D01C0"/>
    <w:rsid w:val="009D6A08"/>
    <w:rsid w:val="009E0A16"/>
    <w:rsid w:val="009E6CB7"/>
    <w:rsid w:val="009E7970"/>
    <w:rsid w:val="009F2EAC"/>
    <w:rsid w:val="009F57E3"/>
    <w:rsid w:val="00A10F4F"/>
    <w:rsid w:val="00A11067"/>
    <w:rsid w:val="00A1704A"/>
    <w:rsid w:val="00A327ED"/>
    <w:rsid w:val="00A36AC2"/>
    <w:rsid w:val="00A37F6F"/>
    <w:rsid w:val="00A425EB"/>
    <w:rsid w:val="00A72F22"/>
    <w:rsid w:val="00A733BC"/>
    <w:rsid w:val="00A748A6"/>
    <w:rsid w:val="00A76A69"/>
    <w:rsid w:val="00A879A4"/>
    <w:rsid w:val="00A976A6"/>
    <w:rsid w:val="00AA0FF8"/>
    <w:rsid w:val="00AB3C9D"/>
    <w:rsid w:val="00AC0F2C"/>
    <w:rsid w:val="00AC502A"/>
    <w:rsid w:val="00AE1E26"/>
    <w:rsid w:val="00AF58C1"/>
    <w:rsid w:val="00B04A3F"/>
    <w:rsid w:val="00B06643"/>
    <w:rsid w:val="00B11D41"/>
    <w:rsid w:val="00B15055"/>
    <w:rsid w:val="00B20551"/>
    <w:rsid w:val="00B30179"/>
    <w:rsid w:val="00B31E0B"/>
    <w:rsid w:val="00B33FC7"/>
    <w:rsid w:val="00B37B15"/>
    <w:rsid w:val="00B4162A"/>
    <w:rsid w:val="00B45C02"/>
    <w:rsid w:val="00B46ED7"/>
    <w:rsid w:val="00B6457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46FFF"/>
    <w:rsid w:val="00C745C3"/>
    <w:rsid w:val="00C978F5"/>
    <w:rsid w:val="00CA24A4"/>
    <w:rsid w:val="00CA39DB"/>
    <w:rsid w:val="00CB348D"/>
    <w:rsid w:val="00CC03E5"/>
    <w:rsid w:val="00CC542C"/>
    <w:rsid w:val="00CD46F5"/>
    <w:rsid w:val="00CE4A8F"/>
    <w:rsid w:val="00CF071D"/>
    <w:rsid w:val="00CF1A9A"/>
    <w:rsid w:val="00D0123D"/>
    <w:rsid w:val="00D15B04"/>
    <w:rsid w:val="00D2031B"/>
    <w:rsid w:val="00D25FE2"/>
    <w:rsid w:val="00D37DA9"/>
    <w:rsid w:val="00D406A7"/>
    <w:rsid w:val="00D43252"/>
    <w:rsid w:val="00D44D86"/>
    <w:rsid w:val="00D50B7D"/>
    <w:rsid w:val="00D52012"/>
    <w:rsid w:val="00D704E5"/>
    <w:rsid w:val="00D72727"/>
    <w:rsid w:val="00D978C6"/>
    <w:rsid w:val="00DA0956"/>
    <w:rsid w:val="00DA129C"/>
    <w:rsid w:val="00DA357F"/>
    <w:rsid w:val="00DA3E12"/>
    <w:rsid w:val="00DC18AD"/>
    <w:rsid w:val="00DF7CAE"/>
    <w:rsid w:val="00E423C0"/>
    <w:rsid w:val="00E6414C"/>
    <w:rsid w:val="00E7260F"/>
    <w:rsid w:val="00E8702D"/>
    <w:rsid w:val="00E905F4"/>
    <w:rsid w:val="00E916A9"/>
    <w:rsid w:val="00E916DE"/>
    <w:rsid w:val="00E925AD"/>
    <w:rsid w:val="00E9600A"/>
    <w:rsid w:val="00E96630"/>
    <w:rsid w:val="00EA1883"/>
    <w:rsid w:val="00EB0686"/>
    <w:rsid w:val="00ED18DC"/>
    <w:rsid w:val="00ED6201"/>
    <w:rsid w:val="00ED7A2A"/>
    <w:rsid w:val="00EE75E4"/>
    <w:rsid w:val="00EF1D7F"/>
    <w:rsid w:val="00EF35DC"/>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15E4ACA"/>
  <w15:docId w15:val="{EBC14DB4-ADDE-4440-BA3E-169644A0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qFormat/>
    <w:rsid w:val="00E925AD"/>
    <w:rPr>
      <w:rFonts w:ascii="Times New Roman" w:hAnsi="Times New Roman"/>
      <w:sz w:val="18"/>
      <w:vertAlign w:val="superscript"/>
    </w:rPr>
  </w:style>
  <w:style w:type="paragraph" w:styleId="FootnoteText">
    <w:name w:val="footnote text"/>
    <w:aliases w:val="5_G,PP,5_G_6"/>
    <w:basedOn w:val="Normal"/>
    <w:link w:val="FootnoteTextChar"/>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
    <w:name w:val="Footnote Text Char"/>
    <w:aliases w:val="5_G Char,PP Char,5_G_6 Char"/>
    <w:link w:val="FootnoteText"/>
    <w:rsid w:val="00097003"/>
    <w:rPr>
      <w:sz w:val="18"/>
      <w:lang w:val="en-GB" w:eastAsia="en-US"/>
    </w:rPr>
  </w:style>
  <w:style w:type="paragraph" w:customStyle="1" w:styleId="para">
    <w:name w:val="para"/>
    <w:basedOn w:val="SingleTxtG"/>
    <w:link w:val="paraChar"/>
    <w:qFormat/>
    <w:rsid w:val="00EA1883"/>
    <w:pPr>
      <w:ind w:left="2268" w:hanging="1134"/>
    </w:pPr>
    <w:rPr>
      <w:rFonts w:eastAsia="Yu Mincho"/>
      <w:lang w:val="x-none" w:eastAsia="en-US"/>
    </w:rPr>
  </w:style>
  <w:style w:type="character" w:customStyle="1" w:styleId="paraChar">
    <w:name w:val="para Char"/>
    <w:link w:val="para"/>
    <w:locked/>
    <w:rsid w:val="00EA1883"/>
    <w:rPr>
      <w:rFonts w:eastAsia="Yu Mincho"/>
      <w:lang w:val="x-none" w:eastAsia="en-US"/>
    </w:rPr>
  </w:style>
  <w:style w:type="character" w:customStyle="1" w:styleId="SingleTxtGChar">
    <w:name w:val="_ Single Txt_G Char"/>
    <w:link w:val="SingleTxtG"/>
    <w:qFormat/>
    <w:rsid w:val="002B6DA6"/>
    <w:rPr>
      <w:lang w:val="en-GB"/>
    </w:rPr>
  </w:style>
  <w:style w:type="paragraph" w:styleId="ListParagraph">
    <w:name w:val="List Paragraph"/>
    <w:basedOn w:val="Normal"/>
    <w:uiPriority w:val="34"/>
    <w:semiHidden/>
    <w:qFormat/>
    <w:rsid w:val="00782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3" ma:contentTypeDescription="Create a new document." ma:contentTypeScope="" ma:versionID="89c13dde5d7aa6b1840a64c3c61e7101">
  <xsd:schema xmlns:xsd="http://www.w3.org/2001/XMLSchema" xmlns:xs="http://www.w3.org/2001/XMLSchema" xmlns:p="http://schemas.microsoft.com/office/2006/metadata/properties" xmlns:ns2="4b4a1c0d-4a69-4996-a84a-fc699b9f49de" xmlns:ns3="acccb6d4-dbe5-46d2-b4d3-5733603d8cc6" targetNamespace="http://schemas.microsoft.com/office/2006/metadata/properties" ma:root="true" ma:fieldsID="49ff99f9a570207563b6136515cf8a36" ns2:_="" ns3:_="">
    <xsd:import namespace="4b4a1c0d-4a69-4996-a84a-fc699b9f49de"/>
    <xsd:import namespace="acccb6d4-dbe5-46d2-b4d3-5733603d8c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9C7E8-071C-4AD9-A8B6-74CE79153EC2}">
  <ds:schemaRefs>
    <ds:schemaRef ds:uri="http://schemas.openxmlformats.org/officeDocument/2006/bibliography"/>
  </ds:schemaRefs>
</ds:datastoreItem>
</file>

<file path=customXml/itemProps2.xml><?xml version="1.0" encoding="utf-8"?>
<ds:datastoreItem xmlns:ds="http://schemas.openxmlformats.org/officeDocument/2006/customXml" ds:itemID="{59A65CD1-7A14-4974-AACB-60A0B899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A3181-F3EC-4785-98EE-FCFC06917B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FE7D7F-4979-45C5-8B3F-82DDC51C4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5413</Characters>
  <Application>Microsoft Office Word</Application>
  <DocSecurity>0</DocSecurity>
  <Lines>115</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ECE/TRANS/WP.29/2021/</vt:lpstr>
      <vt:lpstr/>
    </vt:vector>
  </TitlesOfParts>
  <Company>CSD</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ECE/TRANS/WP.29/2021/82</dc:title>
  <dc:subject>2104669</dc:subject>
  <dc:creator>Secretariat</dc:creator>
  <cp:keywords/>
  <dc:description/>
  <cp:lastModifiedBy>Maria Rosario Corazon Gatmaytan</cp:lastModifiedBy>
  <cp:revision>2</cp:revision>
  <cp:lastPrinted>2009-02-18T00:36:00Z</cp:lastPrinted>
  <dcterms:created xsi:type="dcterms:W3CDTF">2021-04-09T08:25:00Z</dcterms:created>
  <dcterms:modified xsi:type="dcterms:W3CDTF">2021-04-09T08:25:00Z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ies>
</file>