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263F23BF" w14:textId="77777777" w:rsidTr="00B20551">
        <w:trPr>
          <w:cantSplit/>
          <w:trHeight w:hRule="exact" w:val="851"/>
        </w:trPr>
        <w:tc>
          <w:tcPr>
            <w:tcW w:w="1276" w:type="dxa"/>
            <w:tcBorders>
              <w:bottom w:val="single" w:sz="4" w:space="0" w:color="auto"/>
            </w:tcBorders>
            <w:vAlign w:val="bottom"/>
          </w:tcPr>
          <w:p w14:paraId="7791E0A9" w14:textId="77777777" w:rsidR="009E6CB7" w:rsidRDefault="009E6CB7" w:rsidP="00B20551">
            <w:pPr>
              <w:spacing w:after="80"/>
            </w:pPr>
          </w:p>
        </w:tc>
        <w:tc>
          <w:tcPr>
            <w:tcW w:w="2268" w:type="dxa"/>
            <w:tcBorders>
              <w:bottom w:val="single" w:sz="4" w:space="0" w:color="auto"/>
            </w:tcBorders>
            <w:vAlign w:val="bottom"/>
          </w:tcPr>
          <w:p w14:paraId="3264A968"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5AC3D7EA" w14:textId="0AA071B2" w:rsidR="009E6CB7" w:rsidRPr="00D47EEA" w:rsidRDefault="00FD2695" w:rsidP="00FD2695">
            <w:pPr>
              <w:jc w:val="right"/>
            </w:pPr>
            <w:r w:rsidRPr="00FD2695">
              <w:rPr>
                <w:sz w:val="40"/>
              </w:rPr>
              <w:t>ECE</w:t>
            </w:r>
            <w:r>
              <w:t>/TRANS/WP.29/GRSP/2025/29</w:t>
            </w:r>
          </w:p>
        </w:tc>
      </w:tr>
      <w:tr w:rsidR="009E6CB7" w14:paraId="09721017" w14:textId="77777777" w:rsidTr="00B20551">
        <w:trPr>
          <w:cantSplit/>
          <w:trHeight w:hRule="exact" w:val="2835"/>
        </w:trPr>
        <w:tc>
          <w:tcPr>
            <w:tcW w:w="1276" w:type="dxa"/>
            <w:tcBorders>
              <w:top w:val="single" w:sz="4" w:space="0" w:color="auto"/>
              <w:bottom w:val="single" w:sz="12" w:space="0" w:color="auto"/>
            </w:tcBorders>
          </w:tcPr>
          <w:p w14:paraId="5F4B13E7" w14:textId="77777777" w:rsidR="009E6CB7" w:rsidRDefault="00686A48" w:rsidP="00B20551">
            <w:pPr>
              <w:spacing w:before="120"/>
            </w:pPr>
            <w:r>
              <w:rPr>
                <w:noProof/>
                <w:lang w:val="fr-CH" w:eastAsia="fr-CH"/>
              </w:rPr>
              <w:drawing>
                <wp:inline distT="0" distB="0" distL="0" distR="0" wp14:anchorId="67D527CE" wp14:editId="7764F774">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5E4763A0"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34AB124" w14:textId="77777777" w:rsidR="009E6CB7" w:rsidRDefault="00FD2695" w:rsidP="00FD2695">
            <w:pPr>
              <w:spacing w:before="240" w:line="240" w:lineRule="exact"/>
            </w:pPr>
            <w:r>
              <w:t>Distr.: General</w:t>
            </w:r>
          </w:p>
          <w:p w14:paraId="7E6123A4" w14:textId="416D4820" w:rsidR="00FD2695" w:rsidRDefault="00440F11" w:rsidP="00FD2695">
            <w:pPr>
              <w:spacing w:line="240" w:lineRule="exact"/>
            </w:pPr>
            <w:r>
              <w:t>19 September 2025</w:t>
            </w:r>
          </w:p>
          <w:p w14:paraId="165C035C" w14:textId="77777777" w:rsidR="00FD2695" w:rsidRDefault="00FD2695" w:rsidP="00FD2695">
            <w:pPr>
              <w:spacing w:line="240" w:lineRule="exact"/>
            </w:pPr>
          </w:p>
          <w:p w14:paraId="73C5E1BD" w14:textId="62F9A5E1" w:rsidR="00FD2695" w:rsidRDefault="00FD2695" w:rsidP="00FD2695">
            <w:pPr>
              <w:spacing w:line="240" w:lineRule="exact"/>
            </w:pPr>
            <w:r>
              <w:t>Original: English</w:t>
            </w:r>
          </w:p>
        </w:tc>
      </w:tr>
    </w:tbl>
    <w:p w14:paraId="1776B16A" w14:textId="77777777" w:rsidR="00FF5750" w:rsidRPr="00371D53" w:rsidRDefault="00FF5750" w:rsidP="00FF5750">
      <w:pPr>
        <w:spacing w:before="120"/>
        <w:rPr>
          <w:b/>
          <w:sz w:val="28"/>
          <w:szCs w:val="28"/>
        </w:rPr>
      </w:pPr>
      <w:r w:rsidRPr="00371D53">
        <w:rPr>
          <w:b/>
          <w:sz w:val="28"/>
          <w:szCs w:val="28"/>
        </w:rPr>
        <w:t>Economic Commission for Europe</w:t>
      </w:r>
    </w:p>
    <w:p w14:paraId="3F80F6FD" w14:textId="77777777" w:rsidR="00FF5750" w:rsidRPr="00371D53" w:rsidRDefault="00FF5750" w:rsidP="00FF5750">
      <w:pPr>
        <w:spacing w:before="120"/>
        <w:rPr>
          <w:sz w:val="28"/>
          <w:szCs w:val="28"/>
        </w:rPr>
      </w:pPr>
      <w:r w:rsidRPr="00371D53">
        <w:rPr>
          <w:sz w:val="28"/>
          <w:szCs w:val="28"/>
        </w:rPr>
        <w:t>Inland Transport Committee</w:t>
      </w:r>
    </w:p>
    <w:p w14:paraId="51902CB0" w14:textId="77777777" w:rsidR="00FF5750" w:rsidRPr="00371D53" w:rsidRDefault="00FF5750" w:rsidP="00FF5750">
      <w:pPr>
        <w:spacing w:before="120"/>
        <w:rPr>
          <w:b/>
          <w:sz w:val="24"/>
          <w:szCs w:val="24"/>
        </w:rPr>
      </w:pPr>
      <w:r w:rsidRPr="00371D53">
        <w:rPr>
          <w:b/>
          <w:sz w:val="24"/>
          <w:szCs w:val="24"/>
        </w:rPr>
        <w:t>World Forum for Harmonization of Vehicle Regulations</w:t>
      </w:r>
    </w:p>
    <w:p w14:paraId="230F418B" w14:textId="77777777" w:rsidR="00FF5750" w:rsidRPr="00371D53" w:rsidRDefault="00FF5750" w:rsidP="00FF5750">
      <w:pPr>
        <w:spacing w:before="120" w:after="120"/>
        <w:rPr>
          <w:b/>
          <w:bCs/>
        </w:rPr>
      </w:pPr>
      <w:r w:rsidRPr="00371D53">
        <w:rPr>
          <w:b/>
          <w:bCs/>
        </w:rPr>
        <w:t>Working Party on Passive Safety</w:t>
      </w:r>
    </w:p>
    <w:p w14:paraId="1B5230AA" w14:textId="77777777" w:rsidR="00FF5750" w:rsidRPr="00371D53" w:rsidRDefault="00FF5750" w:rsidP="00FF5750">
      <w:pPr>
        <w:rPr>
          <w:b/>
        </w:rPr>
      </w:pPr>
      <w:r w:rsidRPr="00371D53">
        <w:rPr>
          <w:b/>
        </w:rPr>
        <w:t>Seventy-</w:t>
      </w:r>
      <w:r>
        <w:rPr>
          <w:b/>
        </w:rPr>
        <w:t>eighth</w:t>
      </w:r>
      <w:r w:rsidRPr="00371D53">
        <w:rPr>
          <w:b/>
        </w:rPr>
        <w:t xml:space="preserve"> session </w:t>
      </w:r>
    </w:p>
    <w:p w14:paraId="3B21A1F4" w14:textId="77777777" w:rsidR="00FF5750" w:rsidRPr="00003BAC" w:rsidRDefault="00FF5750" w:rsidP="00FF5750">
      <w:pPr>
        <w:spacing w:line="240" w:lineRule="auto"/>
      </w:pPr>
      <w:r w:rsidRPr="00003BAC">
        <w:t xml:space="preserve">Geneva, </w:t>
      </w:r>
      <w:r>
        <w:t>1</w:t>
      </w:r>
      <w:r w:rsidRPr="00003BAC">
        <w:t>–</w:t>
      </w:r>
      <w:r>
        <w:t>4</w:t>
      </w:r>
      <w:r w:rsidRPr="00003BAC">
        <w:t xml:space="preserve"> </w:t>
      </w:r>
      <w:r>
        <w:t xml:space="preserve">December </w:t>
      </w:r>
      <w:r w:rsidRPr="00003BAC">
        <w:t>2025</w:t>
      </w:r>
    </w:p>
    <w:p w14:paraId="363220B7" w14:textId="77777777" w:rsidR="00891D90" w:rsidRPr="00B16B68" w:rsidRDefault="00891D90" w:rsidP="00891D90">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13</w:t>
      </w:r>
      <w:r w:rsidRPr="00B16B68">
        <w:rPr>
          <w:rFonts w:asciiTheme="majorBidi" w:hAnsiTheme="majorBidi" w:cstheme="majorBidi"/>
        </w:rPr>
        <w:t xml:space="preserve"> of the provisional agenda</w:t>
      </w:r>
    </w:p>
    <w:p w14:paraId="3C1DD8C2" w14:textId="77777777" w:rsidR="00891D90" w:rsidRPr="00B16B68" w:rsidRDefault="00891D90" w:rsidP="00891D90">
      <w:r w:rsidRPr="00984A57">
        <w:rPr>
          <w:b/>
        </w:rPr>
        <w:t>UN Regulation No. 127 (Pedestrian safety)</w:t>
      </w:r>
    </w:p>
    <w:p w14:paraId="78E7EA8B" w14:textId="6C47F849" w:rsidR="00FF5750" w:rsidRDefault="00FF5750" w:rsidP="00FF5750">
      <w:pPr>
        <w:pStyle w:val="HChG"/>
      </w:pPr>
      <w:r>
        <w:tab/>
      </w:r>
      <w:r>
        <w:tab/>
      </w:r>
      <w:r w:rsidRPr="0079666C">
        <w:t xml:space="preserve">Proposal for </w:t>
      </w:r>
      <w:r w:rsidR="00900E88">
        <w:t>supplement 3 to the 04</w:t>
      </w:r>
      <w:r w:rsidR="00900E88" w:rsidRPr="0079666C">
        <w:t xml:space="preserve"> </w:t>
      </w:r>
      <w:r w:rsidR="00DD2298">
        <w:t>s</w:t>
      </w:r>
      <w:r w:rsidR="00900E88" w:rsidRPr="0079666C">
        <w:t xml:space="preserve">eries of </w:t>
      </w:r>
      <w:r w:rsidR="00DD2298">
        <w:t>a</w:t>
      </w:r>
      <w:r w:rsidR="00900E88" w:rsidRPr="0079666C">
        <w:t xml:space="preserve">mendments to UN Regulation No. </w:t>
      </w:r>
      <w:r w:rsidR="00900E88">
        <w:t>127</w:t>
      </w:r>
      <w:r w:rsidR="00900E88" w:rsidRPr="0079666C">
        <w:t xml:space="preserve"> (</w:t>
      </w:r>
      <w:r w:rsidR="00900E88">
        <w:t>Pedestrian safety</w:t>
      </w:r>
      <w:r w:rsidR="00900E88" w:rsidRPr="0079666C">
        <w:t>)</w:t>
      </w:r>
    </w:p>
    <w:p w14:paraId="741DD0ED" w14:textId="341EB4B4" w:rsidR="00FF5750" w:rsidRDefault="00FF5750" w:rsidP="00FF5750">
      <w:pPr>
        <w:pStyle w:val="H1G"/>
        <w:rPr>
          <w:sz w:val="20"/>
        </w:rPr>
      </w:pPr>
      <w:r>
        <w:tab/>
      </w:r>
      <w:r>
        <w:tab/>
        <w:t xml:space="preserve">Submitted by the </w:t>
      </w:r>
      <w:r w:rsidR="002D3394">
        <w:rPr>
          <w:spacing w:val="-4"/>
        </w:rPr>
        <w:t>experts from Germany and the Kingdom of the Netherlands</w:t>
      </w:r>
      <w:r>
        <w:rPr>
          <w:spacing w:val="-4"/>
        </w:rPr>
        <w:t xml:space="preserve"> </w:t>
      </w:r>
      <w:r w:rsidRPr="00122355">
        <w:rPr>
          <w:rStyle w:val="FootnoteReference"/>
          <w:sz w:val="20"/>
          <w:vertAlign w:val="baseline"/>
        </w:rPr>
        <w:footnoteReference w:customMarkFollows="1" w:id="2"/>
        <w:t>*</w:t>
      </w:r>
    </w:p>
    <w:p w14:paraId="36E50CCF" w14:textId="419817C4" w:rsidR="00FF5750" w:rsidRDefault="00FF5750" w:rsidP="00FF5750">
      <w:pPr>
        <w:pStyle w:val="SingleTxtG"/>
      </w:pPr>
      <w:r>
        <w:rPr>
          <w:rStyle w:val="FootnoteReference"/>
          <w:sz w:val="20"/>
          <w:vertAlign w:val="baseline"/>
        </w:rPr>
        <w:tab/>
      </w:r>
      <w:r w:rsidRPr="004E3F12">
        <w:rPr>
          <w:rStyle w:val="FootnoteReference"/>
          <w:sz w:val="20"/>
          <w:vertAlign w:val="baseline"/>
        </w:rPr>
        <w:t xml:space="preserve">The text reproduced below </w:t>
      </w:r>
      <w:r w:rsidR="009F204F" w:rsidRPr="002D1F75">
        <w:t>was prepared by the expert</w:t>
      </w:r>
      <w:r w:rsidR="009F204F">
        <w:t>s</w:t>
      </w:r>
      <w:r w:rsidR="009F204F" w:rsidRPr="002D1F75">
        <w:t xml:space="preserve"> from </w:t>
      </w:r>
      <w:r w:rsidR="009F204F">
        <w:t xml:space="preserve">Germany and </w:t>
      </w:r>
      <w:r w:rsidR="009F204F" w:rsidRPr="002D1F75">
        <w:t>the</w:t>
      </w:r>
      <w:r w:rsidR="009F204F">
        <w:t xml:space="preserve"> Kingdom of the</w:t>
      </w:r>
      <w:r w:rsidR="009F204F" w:rsidRPr="002D1F75">
        <w:t xml:space="preserve"> Netherlands</w:t>
      </w:r>
      <w:r w:rsidR="009F204F" w:rsidRPr="0000751F">
        <w:t xml:space="preserve"> to clarify the scope of data from tests to the windscreen that must be provided for the purpose of type approval. </w:t>
      </w:r>
      <w:r w:rsidR="009F204F">
        <w:t xml:space="preserve">It is based upon informal document GRSP-77-38. </w:t>
      </w:r>
      <w:r w:rsidR="009F204F" w:rsidRPr="0000751F">
        <w:t xml:space="preserve">The modifications to the current text of UN Regulation No. 127 are marked in </w:t>
      </w:r>
      <w:r w:rsidR="009F204F" w:rsidRPr="00BF67B7">
        <w:t>bold</w:t>
      </w:r>
      <w:r w:rsidR="009F204F" w:rsidRPr="0000751F">
        <w:t xml:space="preserve"> for new and </w:t>
      </w:r>
      <w:r w:rsidR="009F204F" w:rsidRPr="00A359E1">
        <w:t xml:space="preserve">strikethrough </w:t>
      </w:r>
      <w:r w:rsidR="009F204F" w:rsidRPr="0000751F">
        <w:t>for deleted characters</w:t>
      </w:r>
      <w:r w:rsidR="009F204F">
        <w:t>.</w:t>
      </w:r>
    </w:p>
    <w:p w14:paraId="0C292CA8" w14:textId="77777777" w:rsidR="00FF5750" w:rsidRDefault="00FF5750" w:rsidP="00FF5750">
      <w:r>
        <w:br w:type="page"/>
      </w:r>
    </w:p>
    <w:p w14:paraId="22A2D923" w14:textId="77777777" w:rsidR="00FF5750" w:rsidRPr="004E3F12" w:rsidRDefault="00FF5750" w:rsidP="00FF5750">
      <w:pPr>
        <w:pStyle w:val="HChG"/>
      </w:pPr>
      <w:r>
        <w:lastRenderedPageBreak/>
        <w:tab/>
        <w:t>I.</w:t>
      </w:r>
      <w:r>
        <w:tab/>
      </w:r>
      <w:r w:rsidRPr="004E3F12">
        <w:t>Proposal</w:t>
      </w:r>
    </w:p>
    <w:p w14:paraId="469A4C82" w14:textId="77777777" w:rsidR="00861929" w:rsidRDefault="00861929" w:rsidP="004F325F">
      <w:pPr>
        <w:pStyle w:val="SingleTxtG"/>
        <w:tabs>
          <w:tab w:val="clear" w:pos="1701"/>
          <w:tab w:val="clear" w:pos="2268"/>
          <w:tab w:val="clear" w:pos="2835"/>
        </w:tabs>
        <w:ind w:left="2268" w:hanging="1134"/>
        <w:rPr>
          <w:rFonts w:eastAsia="MS Mincho"/>
          <w:iCs/>
        </w:rPr>
      </w:pPr>
      <w:r>
        <w:rPr>
          <w:rFonts w:eastAsia="MS Mincho"/>
          <w:i/>
        </w:rPr>
        <w:t>Paragraph 2.43., footnote 5,</w:t>
      </w:r>
      <w:r w:rsidRPr="00B87CA1">
        <w:rPr>
          <w:rFonts w:eastAsia="MS Mincho"/>
          <w:iCs/>
        </w:rPr>
        <w:t xml:space="preserve"> amend to read:</w:t>
      </w:r>
    </w:p>
    <w:p w14:paraId="2875FEDB" w14:textId="6C850695" w:rsidR="00861929" w:rsidRPr="007A658F" w:rsidRDefault="00861929" w:rsidP="004F325F">
      <w:pPr>
        <w:pStyle w:val="SingleTxtG"/>
        <w:tabs>
          <w:tab w:val="clear" w:pos="1701"/>
          <w:tab w:val="clear" w:pos="2268"/>
          <w:tab w:val="clear" w:pos="2835"/>
        </w:tabs>
        <w:ind w:left="2268" w:hanging="1134"/>
        <w:rPr>
          <w:sz w:val="18"/>
          <w:szCs w:val="18"/>
        </w:rPr>
      </w:pPr>
      <w:r w:rsidRPr="00B530DC">
        <w:rPr>
          <w:rStyle w:val="FootnoteReference"/>
          <w:szCs w:val="18"/>
        </w:rPr>
        <w:t>“5</w:t>
      </w:r>
      <w:r w:rsidR="007A658F">
        <w:rPr>
          <w:sz w:val="18"/>
          <w:szCs w:val="18"/>
        </w:rPr>
        <w:tab/>
      </w:r>
      <w:r w:rsidRPr="00B530DC">
        <w:rPr>
          <w:sz w:val="18"/>
          <w:szCs w:val="18"/>
        </w:rPr>
        <w:t xml:space="preserve">or WAD 2,100 in accordance with paragraphs </w:t>
      </w:r>
      <w:r w:rsidRPr="008704EA">
        <w:rPr>
          <w:strike/>
          <w:sz w:val="18"/>
          <w:szCs w:val="18"/>
        </w:rPr>
        <w:t>11.9 to 11.11</w:t>
      </w:r>
      <w:r>
        <w:rPr>
          <w:sz w:val="18"/>
          <w:szCs w:val="18"/>
        </w:rPr>
        <w:t xml:space="preserve"> </w:t>
      </w:r>
      <w:r w:rsidRPr="00B530DC">
        <w:rPr>
          <w:b/>
          <w:bCs/>
          <w:sz w:val="18"/>
          <w:szCs w:val="18"/>
        </w:rPr>
        <w:t>11.19. to 11.2</w:t>
      </w:r>
      <w:r>
        <w:rPr>
          <w:b/>
          <w:bCs/>
          <w:sz w:val="18"/>
          <w:szCs w:val="18"/>
        </w:rPr>
        <w:t>1</w:t>
      </w:r>
      <w:r w:rsidR="004C3E7F">
        <w:rPr>
          <w:b/>
          <w:bCs/>
          <w:sz w:val="18"/>
          <w:szCs w:val="18"/>
        </w:rPr>
        <w:t>.</w:t>
      </w:r>
      <w:r w:rsidR="007A658F">
        <w:rPr>
          <w:sz w:val="18"/>
          <w:szCs w:val="18"/>
        </w:rPr>
        <w:t>”</w:t>
      </w:r>
    </w:p>
    <w:p w14:paraId="72F6B5BB" w14:textId="3EAB4ED0" w:rsidR="004F325F" w:rsidRPr="00D93849" w:rsidRDefault="004F325F" w:rsidP="004F325F">
      <w:pPr>
        <w:pStyle w:val="SingleTxtG"/>
        <w:tabs>
          <w:tab w:val="clear" w:pos="1701"/>
          <w:tab w:val="clear" w:pos="2268"/>
          <w:tab w:val="clear" w:pos="2835"/>
        </w:tabs>
        <w:ind w:left="2268" w:hanging="1134"/>
        <w:rPr>
          <w:rFonts w:eastAsia="MS Mincho"/>
        </w:rPr>
      </w:pPr>
      <w:r w:rsidRPr="0041155B">
        <w:rPr>
          <w:rFonts w:eastAsia="MS Mincho"/>
          <w:i/>
          <w:iCs/>
        </w:rPr>
        <w:t>Paragraph 2.48.</w:t>
      </w:r>
      <w:r>
        <w:rPr>
          <w:rFonts w:eastAsia="MS Mincho"/>
          <w:i/>
          <w:iCs/>
        </w:rPr>
        <w:t xml:space="preserve"> (a)</w:t>
      </w:r>
      <w:r>
        <w:rPr>
          <w:rFonts w:eastAsia="MS Mincho"/>
          <w:i/>
        </w:rPr>
        <w:t xml:space="preserve">, </w:t>
      </w:r>
      <w:r w:rsidRPr="00F12E43">
        <w:rPr>
          <w:rFonts w:eastAsia="MS Mincho"/>
        </w:rPr>
        <w:t xml:space="preserve">amend </w:t>
      </w:r>
      <w:r w:rsidR="00347CAD">
        <w:rPr>
          <w:rFonts w:eastAsia="MS Mincho"/>
        </w:rPr>
        <w:t xml:space="preserve">the </w:t>
      </w:r>
      <w:r w:rsidR="00347CAD" w:rsidRPr="00347CAD">
        <w:rPr>
          <w:rFonts w:eastAsia="MS Mincho"/>
        </w:rPr>
        <w:t xml:space="preserve">first paragraph </w:t>
      </w:r>
      <w:r w:rsidRPr="00F12E43">
        <w:rPr>
          <w:rFonts w:eastAsia="MS Mincho"/>
        </w:rPr>
        <w:t>to read:</w:t>
      </w:r>
    </w:p>
    <w:p w14:paraId="7DA6C0C3" w14:textId="77777777" w:rsidR="004F325F" w:rsidRPr="00F12E43" w:rsidRDefault="004F325F" w:rsidP="004F325F">
      <w:pPr>
        <w:pStyle w:val="SingleTxtG"/>
        <w:tabs>
          <w:tab w:val="clear" w:pos="1701"/>
          <w:tab w:val="clear" w:pos="2268"/>
          <w:tab w:val="clear" w:pos="2835"/>
        </w:tabs>
        <w:ind w:left="2268" w:hanging="1134"/>
        <w:rPr>
          <w:rFonts w:eastAsia="MS Mincho"/>
          <w:color w:val="000000"/>
        </w:rPr>
      </w:pPr>
      <w:r>
        <w:rPr>
          <w:rFonts w:eastAsia="MS Mincho"/>
          <w:color w:val="000000"/>
        </w:rPr>
        <w:t>“(a)</w:t>
      </w:r>
      <w:r>
        <w:rPr>
          <w:rFonts w:eastAsia="MS Mincho"/>
          <w:color w:val="000000"/>
        </w:rPr>
        <w:tab/>
      </w:r>
      <w:r w:rsidRPr="00F12E43">
        <w:rPr>
          <w:rFonts w:eastAsia="MS Mincho"/>
          <w:color w:val="000000"/>
        </w:rPr>
        <w:t xml:space="preserve">The absolute value of the minimum value of the derivation of the </w:t>
      </w:r>
      <w:r w:rsidRPr="00F12E43">
        <w:rPr>
          <w:rFonts w:eastAsia="MS Mincho"/>
          <w:b/>
          <w:color w:val="000000"/>
        </w:rPr>
        <w:t>resultant</w:t>
      </w:r>
      <w:r w:rsidRPr="00F12E43">
        <w:rPr>
          <w:rFonts w:eastAsia="MS Mincho"/>
          <w:color w:val="000000"/>
        </w:rPr>
        <w:t xml:space="preserve"> headform acceleration versus time is less than 180 g/ms within the first 4 ms after the initial contact of the headform to the windscreen as shown in figure 16; </w:t>
      </w:r>
      <w:r w:rsidRPr="00F12E43">
        <w:rPr>
          <w:rFonts w:eastAsia="MS Mincho"/>
          <w:b/>
          <w:color w:val="000000"/>
        </w:rPr>
        <w:t>and/</w:t>
      </w:r>
      <w:r w:rsidRPr="00F12E43">
        <w:rPr>
          <w:rFonts w:eastAsia="MS Mincho"/>
          <w:color w:val="000000"/>
        </w:rPr>
        <w:t>or</w:t>
      </w:r>
      <w:r>
        <w:rPr>
          <w:rFonts w:eastAsia="MS Mincho"/>
          <w:color w:val="000000"/>
        </w:rPr>
        <w:t>”</w:t>
      </w:r>
    </w:p>
    <w:p w14:paraId="013E0689" w14:textId="77777777" w:rsidR="004F325F" w:rsidRPr="00D93849" w:rsidRDefault="004F325F" w:rsidP="004F325F">
      <w:pPr>
        <w:pStyle w:val="SingleTxtG"/>
        <w:tabs>
          <w:tab w:val="clear" w:pos="1701"/>
          <w:tab w:val="clear" w:pos="2268"/>
          <w:tab w:val="clear" w:pos="2835"/>
        </w:tabs>
        <w:ind w:left="2268" w:hanging="1134"/>
        <w:rPr>
          <w:rFonts w:eastAsia="MS Mincho"/>
        </w:rPr>
      </w:pPr>
      <w:r w:rsidRPr="0041155B">
        <w:rPr>
          <w:rFonts w:eastAsia="MS Mincho"/>
          <w:i/>
          <w:iCs/>
        </w:rPr>
        <w:t>Paragraph 2.48.</w:t>
      </w:r>
      <w:r>
        <w:rPr>
          <w:rFonts w:eastAsia="MS Mincho"/>
          <w:i/>
          <w:iCs/>
        </w:rPr>
        <w:t xml:space="preserve"> (b)</w:t>
      </w:r>
      <w:r w:rsidRPr="00347CAD">
        <w:rPr>
          <w:rFonts w:eastAsia="MS Mincho"/>
          <w:i/>
        </w:rPr>
        <w:t>,</w:t>
      </w:r>
      <w:r w:rsidRPr="00F12E43">
        <w:rPr>
          <w:rFonts w:eastAsia="MS Mincho"/>
          <w:iCs/>
        </w:rPr>
        <w:t xml:space="preserve"> </w:t>
      </w:r>
      <w:r w:rsidRPr="00F12E43">
        <w:rPr>
          <w:rFonts w:eastAsia="MS Mincho"/>
        </w:rPr>
        <w:t>amend to read:</w:t>
      </w:r>
    </w:p>
    <w:p w14:paraId="438D5577" w14:textId="77777777" w:rsidR="004F325F" w:rsidRPr="00F12E43" w:rsidRDefault="004F325F" w:rsidP="004F325F">
      <w:pPr>
        <w:pStyle w:val="SingleTxtG"/>
        <w:tabs>
          <w:tab w:val="clear" w:pos="1701"/>
          <w:tab w:val="clear" w:pos="2268"/>
          <w:tab w:val="clear" w:pos="2835"/>
        </w:tabs>
        <w:ind w:left="2268" w:hanging="1134"/>
        <w:rPr>
          <w:rFonts w:eastAsia="MS Mincho"/>
        </w:rPr>
      </w:pPr>
      <w:r>
        <w:rPr>
          <w:rFonts w:eastAsia="MS Mincho"/>
        </w:rPr>
        <w:t>“</w:t>
      </w:r>
      <w:r w:rsidRPr="00F12E43">
        <w:rPr>
          <w:rFonts w:eastAsia="MS Mincho"/>
        </w:rPr>
        <w:t xml:space="preserve">(b) </w:t>
      </w:r>
      <w:r w:rsidRPr="00F12E43">
        <w:rPr>
          <w:rFonts w:eastAsia="MS Mincho"/>
        </w:rPr>
        <w:tab/>
        <w:t xml:space="preserve">The minimum value of the </w:t>
      </w:r>
      <w:r w:rsidRPr="00F12E43">
        <w:rPr>
          <w:rFonts w:eastAsia="MS Mincho"/>
          <w:b/>
        </w:rPr>
        <w:t xml:space="preserve">resultant </w:t>
      </w:r>
      <w:r w:rsidRPr="00523455">
        <w:rPr>
          <w:rFonts w:eastAsia="MS Mincho"/>
          <w:b/>
          <w:bCs/>
        </w:rPr>
        <w:t>headform</w:t>
      </w:r>
      <w:r w:rsidRPr="00F12E43">
        <w:rPr>
          <w:rFonts w:eastAsia="MS Mincho"/>
        </w:rPr>
        <w:t xml:space="preserve"> acceleration below 300 m/s</w:t>
      </w:r>
      <w:r w:rsidRPr="00F12E43">
        <w:rPr>
          <w:rFonts w:eastAsia="MS Mincho"/>
          <w:vertAlign w:val="superscript"/>
        </w:rPr>
        <w:t>2</w:t>
      </w:r>
      <w:r w:rsidRPr="00F12E43">
        <w:rPr>
          <w:rFonts w:eastAsia="MS Mincho"/>
          <w:sz w:val="13"/>
          <w:szCs w:val="13"/>
        </w:rPr>
        <w:t xml:space="preserve"> </w:t>
      </w:r>
      <w:r w:rsidRPr="00F12E43">
        <w:rPr>
          <w:rFonts w:eastAsia="MS Mincho"/>
        </w:rPr>
        <w:t xml:space="preserve">between the initial peak and 10 </w:t>
      </w:r>
      <w:r w:rsidRPr="00F12E43">
        <w:rPr>
          <w:rFonts w:eastAsia="MS Mincho"/>
          <w:strike/>
        </w:rPr>
        <w:t>milliseconds</w:t>
      </w:r>
      <w:r w:rsidRPr="00F12E43">
        <w:rPr>
          <w:rFonts w:eastAsia="MS Mincho"/>
        </w:rPr>
        <w:t xml:space="preserve"> </w:t>
      </w:r>
      <w:r w:rsidRPr="00F12E43">
        <w:rPr>
          <w:rFonts w:eastAsia="MS Mincho"/>
          <w:b/>
          <w:bCs/>
        </w:rPr>
        <w:t>ms</w:t>
      </w:r>
      <w:r w:rsidRPr="00F12E43">
        <w:rPr>
          <w:rFonts w:eastAsia="MS Mincho"/>
        </w:rPr>
        <w:t xml:space="preserve"> is reached later than 4 ms in the time/acceleration plot, or glass breaking which expands to </w:t>
      </w:r>
      <w:r w:rsidRPr="00F12E43">
        <w:rPr>
          <w:rFonts w:eastAsia="MS Mincho"/>
          <w:b/>
          <w:bCs/>
        </w:rPr>
        <w:t xml:space="preserve">the </w:t>
      </w:r>
      <w:r w:rsidRPr="00F12E43">
        <w:rPr>
          <w:rFonts w:eastAsia="MS Mincho"/>
        </w:rPr>
        <w:t>whole windshield is not visibly observed.</w:t>
      </w:r>
      <w:r>
        <w:rPr>
          <w:rFonts w:eastAsia="MS Mincho"/>
        </w:rPr>
        <w:t>”</w:t>
      </w:r>
    </w:p>
    <w:p w14:paraId="494ECD33" w14:textId="77777777" w:rsidR="00861929" w:rsidRDefault="00861929" w:rsidP="004F325F">
      <w:pPr>
        <w:pStyle w:val="SingleTxtG"/>
        <w:tabs>
          <w:tab w:val="clear" w:pos="1701"/>
          <w:tab w:val="clear" w:pos="2268"/>
          <w:tab w:val="clear" w:pos="2835"/>
        </w:tabs>
        <w:ind w:left="2268" w:hanging="1134"/>
      </w:pPr>
      <w:r w:rsidRPr="00E454A5">
        <w:rPr>
          <w:i/>
          <w:iCs/>
        </w:rPr>
        <w:t>Insert new paragraph 4.4</w:t>
      </w:r>
      <w:r>
        <w:rPr>
          <w:i/>
          <w:iCs/>
        </w:rPr>
        <w:t>.</w:t>
      </w:r>
      <w:r w:rsidRPr="00E454A5">
        <w:rPr>
          <w:i/>
          <w:iCs/>
        </w:rPr>
        <w:t>3.,</w:t>
      </w:r>
      <w:r w:rsidRPr="000346ED">
        <w:t xml:space="preserve"> to read:</w:t>
      </w:r>
    </w:p>
    <w:p w14:paraId="6F22FBA2" w14:textId="77777777" w:rsidR="00861929" w:rsidRDefault="00861929" w:rsidP="004F325F">
      <w:pPr>
        <w:pStyle w:val="SingleTxtG"/>
        <w:tabs>
          <w:tab w:val="clear" w:pos="1701"/>
          <w:tab w:val="clear" w:pos="2268"/>
          <w:tab w:val="clear" w:pos="2835"/>
        </w:tabs>
        <w:ind w:left="2268" w:hanging="1134"/>
        <w:rPr>
          <w:rFonts w:eastAsia="MS Mincho"/>
          <w:i/>
          <w:iCs/>
        </w:rPr>
      </w:pPr>
      <w:r>
        <w:t>“4.4.3.</w:t>
      </w:r>
      <w:r>
        <w:tab/>
        <w:t xml:space="preserve">The approval mark shall contain an additional character after the </w:t>
      </w:r>
      <w:proofErr w:type="gramStart"/>
      <w:r>
        <w:t>type</w:t>
      </w:r>
      <w:proofErr w:type="gramEnd"/>
      <w:r>
        <w:t xml:space="preserve"> approval number, the purpose of which is to distinguish vehicles for which the approval has been granted based upon the specific provisions related to WAD 2,100 boundary versus vehicles approved with the extended WAD 2,500 boundary. This letter should be chosen according to paragraph 4.2.”</w:t>
      </w:r>
    </w:p>
    <w:p w14:paraId="5BB8BF85" w14:textId="396FE646" w:rsidR="00861929" w:rsidRPr="00F12E43" w:rsidRDefault="00861929" w:rsidP="004F325F">
      <w:pPr>
        <w:pStyle w:val="SingleTxtG"/>
        <w:tabs>
          <w:tab w:val="clear" w:pos="1701"/>
          <w:tab w:val="clear" w:pos="2268"/>
          <w:tab w:val="clear" w:pos="2835"/>
        </w:tabs>
        <w:ind w:left="2268" w:hanging="1134"/>
        <w:rPr>
          <w:rFonts w:eastAsia="MS Mincho"/>
        </w:rPr>
      </w:pPr>
      <w:r w:rsidRPr="00F12E43">
        <w:rPr>
          <w:rFonts w:eastAsia="MS Mincho"/>
          <w:i/>
          <w:iCs/>
        </w:rPr>
        <w:t>Insert new paragraphs 4.8</w:t>
      </w:r>
      <w:r w:rsidR="005D4358">
        <w:rPr>
          <w:rFonts w:eastAsia="MS Mincho"/>
          <w:i/>
          <w:iCs/>
        </w:rPr>
        <w:t>.</w:t>
      </w:r>
      <w:r w:rsidRPr="00F12E43">
        <w:rPr>
          <w:rFonts w:eastAsia="MS Mincho"/>
          <w:i/>
          <w:iCs/>
        </w:rPr>
        <w:t xml:space="preserve"> to 4.10.,</w:t>
      </w:r>
      <w:r w:rsidRPr="00F12E43">
        <w:rPr>
          <w:rFonts w:eastAsia="MS Mincho"/>
        </w:rPr>
        <w:t xml:space="preserve"> to read:</w:t>
      </w:r>
    </w:p>
    <w:p w14:paraId="403D725D" w14:textId="77777777" w:rsidR="00861929" w:rsidRPr="0048506F" w:rsidRDefault="00861929" w:rsidP="004F325F">
      <w:pPr>
        <w:pStyle w:val="SingleTxtG"/>
        <w:tabs>
          <w:tab w:val="clear" w:pos="1701"/>
          <w:tab w:val="clear" w:pos="2268"/>
          <w:tab w:val="clear" w:pos="2835"/>
        </w:tabs>
        <w:ind w:left="2268" w:hanging="1134"/>
        <w:rPr>
          <w:rFonts w:eastAsia="MS Mincho"/>
          <w:iCs/>
        </w:rPr>
      </w:pPr>
      <w:r w:rsidRPr="0048506F">
        <w:rPr>
          <w:rFonts w:eastAsia="MS Mincho"/>
          <w:iCs/>
        </w:rPr>
        <w:t>“4.8.</w:t>
      </w:r>
      <w:r w:rsidRPr="0048506F">
        <w:rPr>
          <w:rFonts w:eastAsia="MS Mincho"/>
          <w:iCs/>
        </w:rPr>
        <w:tab/>
        <w:t xml:space="preserve">Each Contracting Party applying this Regulation shall notify and inform by its Approval Authority other Approval Authorities of the Contracting Parties applying this UN Regulation about the test results of the cowl monitoring </w:t>
      </w:r>
      <w:proofErr w:type="gramStart"/>
      <w:r w:rsidRPr="0048506F">
        <w:rPr>
          <w:rFonts w:eastAsia="MS Mincho"/>
          <w:iCs/>
        </w:rPr>
        <w:t>area  and</w:t>
      </w:r>
      <w:proofErr w:type="gramEnd"/>
      <w:r w:rsidRPr="0048506F">
        <w:rPr>
          <w:rFonts w:eastAsia="MS Mincho"/>
          <w:iCs/>
        </w:rPr>
        <w:t xml:space="preserve"> the windscreen.</w:t>
      </w:r>
    </w:p>
    <w:p w14:paraId="105934E7" w14:textId="4FC76D24" w:rsidR="00861929" w:rsidRPr="0048506F" w:rsidRDefault="004F325F" w:rsidP="004F325F">
      <w:pPr>
        <w:pStyle w:val="SingleTxtG"/>
        <w:tabs>
          <w:tab w:val="clear" w:pos="1701"/>
          <w:tab w:val="clear" w:pos="2268"/>
          <w:tab w:val="clear" w:pos="2835"/>
        </w:tabs>
        <w:ind w:left="2268" w:hanging="1134"/>
        <w:rPr>
          <w:rFonts w:eastAsia="MS Mincho"/>
          <w:iCs/>
        </w:rPr>
      </w:pPr>
      <w:r>
        <w:rPr>
          <w:rFonts w:eastAsia="MS Mincho"/>
          <w:iCs/>
        </w:rPr>
        <w:tab/>
      </w:r>
      <w:r w:rsidR="00861929" w:rsidRPr="0048506F">
        <w:rPr>
          <w:rFonts w:eastAsia="MS Mincho"/>
          <w:iCs/>
        </w:rPr>
        <w:t>This information shall be shared (a) when granting an approval according to this Regulation for the first time and (b) with each extension when new tests in these areas have been performed.</w:t>
      </w:r>
    </w:p>
    <w:p w14:paraId="494F3099" w14:textId="30B2DCB7" w:rsidR="00861929" w:rsidRPr="0048506F" w:rsidRDefault="004F325F" w:rsidP="004F325F">
      <w:pPr>
        <w:pStyle w:val="SingleTxtG"/>
        <w:tabs>
          <w:tab w:val="clear" w:pos="1701"/>
          <w:tab w:val="clear" w:pos="2268"/>
          <w:tab w:val="clear" w:pos="2835"/>
        </w:tabs>
        <w:ind w:left="2268" w:hanging="1134"/>
        <w:rPr>
          <w:rFonts w:eastAsia="MS Mincho"/>
          <w:iCs/>
        </w:rPr>
      </w:pPr>
      <w:r>
        <w:rPr>
          <w:rFonts w:eastAsia="MS Mincho"/>
          <w:iCs/>
        </w:rPr>
        <w:tab/>
      </w:r>
      <w:r w:rsidR="00861929" w:rsidRPr="0048506F">
        <w:rPr>
          <w:rFonts w:eastAsia="MS Mincho"/>
          <w:iCs/>
        </w:rPr>
        <w:t xml:space="preserve">This information is intended to be shared for the purposes of collection and analysis of the cowl area and atypical windscreen fracture behaviour </w:t>
      </w:r>
      <w:proofErr w:type="gramStart"/>
      <w:r w:rsidR="00861929" w:rsidRPr="0048506F">
        <w:rPr>
          <w:rFonts w:eastAsia="MS Mincho"/>
          <w:iCs/>
        </w:rPr>
        <w:t>in order to</w:t>
      </w:r>
      <w:proofErr w:type="gramEnd"/>
      <w:r w:rsidR="00861929" w:rsidRPr="0048506F">
        <w:rPr>
          <w:rFonts w:eastAsia="MS Mincho"/>
          <w:iCs/>
        </w:rPr>
        <w:t xml:space="preserve"> be able to further develop future amendments of the Regulation.</w:t>
      </w:r>
    </w:p>
    <w:p w14:paraId="7E083DA3" w14:textId="49D85EE0" w:rsidR="00861929" w:rsidRPr="0048506F" w:rsidRDefault="00861929" w:rsidP="004F325F">
      <w:pPr>
        <w:pStyle w:val="SingleTxtG"/>
        <w:tabs>
          <w:tab w:val="clear" w:pos="1701"/>
          <w:tab w:val="clear" w:pos="2268"/>
          <w:tab w:val="clear" w:pos="2835"/>
        </w:tabs>
        <w:ind w:left="2268" w:hanging="1134"/>
        <w:rPr>
          <w:rFonts w:eastAsia="MS Mincho"/>
          <w:iCs/>
          <w:vertAlign w:val="superscript"/>
        </w:rPr>
      </w:pPr>
      <w:r w:rsidRPr="0048506F">
        <w:rPr>
          <w:rFonts w:eastAsia="MS Mincho"/>
          <w:iCs/>
        </w:rPr>
        <w:t>4.9.</w:t>
      </w:r>
      <w:r w:rsidRPr="0048506F">
        <w:rPr>
          <w:rFonts w:eastAsia="MS Mincho"/>
          <w:iCs/>
        </w:rPr>
        <w:tab/>
        <w:t>The information referred to in paragraph 4.8. shall be uploaded in English language to the secure internet database "DETA"</w:t>
      </w:r>
      <w:r w:rsidR="00E72BA9" w:rsidRPr="00E72BA9">
        <w:rPr>
          <w:rFonts w:eastAsia="MS Mincho"/>
          <w:iCs/>
          <w:vertAlign w:val="superscript"/>
          <w:lang w:val="en-US"/>
        </w:rPr>
        <w:t>[</w:t>
      </w:r>
      <w:r w:rsidRPr="00E72BA9">
        <w:rPr>
          <w:rFonts w:eastAsia="MS Mincho"/>
          <w:iCs/>
          <w:sz w:val="18"/>
          <w:vertAlign w:val="superscript"/>
        </w:rPr>
        <w:t>x</w:t>
      </w:r>
      <w:r w:rsidR="00E72BA9" w:rsidRPr="00E72BA9">
        <w:rPr>
          <w:rFonts w:eastAsia="MS Mincho"/>
          <w:iCs/>
          <w:sz w:val="18"/>
          <w:vertAlign w:val="superscript"/>
        </w:rPr>
        <w:t>]</w:t>
      </w:r>
      <w:r w:rsidRPr="0048506F">
        <w:rPr>
          <w:rFonts w:eastAsia="MS Mincho"/>
          <w:iCs/>
        </w:rPr>
        <w:t xml:space="preserve">, established by the United Nations Economic Commission for Europe. </w:t>
      </w:r>
    </w:p>
    <w:p w14:paraId="1D31912D" w14:textId="77777777" w:rsidR="00861929" w:rsidRPr="0048506F" w:rsidRDefault="00861929" w:rsidP="004F325F">
      <w:pPr>
        <w:pStyle w:val="SingleTxtG"/>
        <w:tabs>
          <w:tab w:val="clear" w:pos="1701"/>
          <w:tab w:val="clear" w:pos="2268"/>
          <w:tab w:val="clear" w:pos="2835"/>
        </w:tabs>
        <w:ind w:left="2268" w:hanging="1134"/>
        <w:rPr>
          <w:rFonts w:eastAsia="MS Mincho"/>
          <w:iCs/>
        </w:rPr>
      </w:pPr>
      <w:r w:rsidRPr="0048506F">
        <w:rPr>
          <w:rFonts w:eastAsia="MS Mincho"/>
          <w:iCs/>
        </w:rPr>
        <w:t>4.10.</w:t>
      </w:r>
      <w:r w:rsidRPr="0048506F">
        <w:rPr>
          <w:rFonts w:eastAsia="MS Mincho"/>
          <w:iCs/>
        </w:rPr>
        <w:tab/>
        <w:t xml:space="preserve">Each Approval Authority granting a </w:t>
      </w:r>
      <w:proofErr w:type="gramStart"/>
      <w:r w:rsidRPr="0048506F">
        <w:rPr>
          <w:rFonts w:eastAsia="MS Mincho"/>
          <w:iCs/>
        </w:rPr>
        <w:t>type</w:t>
      </w:r>
      <w:proofErr w:type="gramEnd"/>
      <w:r w:rsidRPr="0048506F">
        <w:rPr>
          <w:rFonts w:eastAsia="MS Mincho"/>
          <w:iCs/>
        </w:rPr>
        <w:t xml:space="preserve"> approval or extension thereto pursuant to this Regulation shall notify other Approval Authorities of the approval granted. The </w:t>
      </w:r>
      <w:proofErr w:type="gramStart"/>
      <w:r w:rsidRPr="0048506F">
        <w:rPr>
          <w:rFonts w:eastAsia="MS Mincho"/>
          <w:iCs/>
        </w:rPr>
        <w:t>type</w:t>
      </w:r>
      <w:proofErr w:type="gramEnd"/>
      <w:r w:rsidRPr="0048506F">
        <w:rPr>
          <w:rFonts w:eastAsia="MS Mincho"/>
          <w:iCs/>
        </w:rPr>
        <w:t xml:space="preserve"> approval together with the test results of the cowl monitoring area and the windscreen shall be uploaded in English language by the Approval Authority within 14 days after the day of granting the approval, to DETA.”</w:t>
      </w:r>
      <w:r w:rsidRPr="0048506F">
        <w:rPr>
          <w:rFonts w:eastAsia="MS Mincho"/>
          <w:iCs/>
          <w:vertAlign w:val="superscript"/>
        </w:rPr>
        <w:t xml:space="preserve"> </w:t>
      </w:r>
    </w:p>
    <w:p w14:paraId="119B21AD" w14:textId="083E513B" w:rsidR="00861929" w:rsidRPr="00F12E43" w:rsidRDefault="00861929" w:rsidP="004F325F">
      <w:pPr>
        <w:pStyle w:val="SingleTxtG"/>
        <w:tabs>
          <w:tab w:val="clear" w:pos="1701"/>
          <w:tab w:val="clear" w:pos="2268"/>
          <w:tab w:val="clear" w:pos="2835"/>
        </w:tabs>
        <w:ind w:left="2268" w:hanging="1134"/>
        <w:rPr>
          <w:rFonts w:eastAsia="MS Mincho"/>
          <w:i/>
        </w:rPr>
      </w:pPr>
      <w:r w:rsidRPr="00F12E43">
        <w:rPr>
          <w:rFonts w:eastAsia="MS Mincho"/>
          <w:i/>
        </w:rPr>
        <w:t xml:space="preserve">Insert new footnote </w:t>
      </w:r>
      <w:r w:rsidR="00E72BA9" w:rsidRPr="00E72BA9">
        <w:rPr>
          <w:rFonts w:eastAsia="MS Mincho"/>
          <w:i/>
        </w:rPr>
        <w:t>[</w:t>
      </w:r>
      <w:r w:rsidRPr="00E72BA9">
        <w:rPr>
          <w:rFonts w:eastAsia="MS Mincho"/>
          <w:i/>
        </w:rPr>
        <w:t>x</w:t>
      </w:r>
      <w:r w:rsidR="00E72BA9" w:rsidRPr="00E72BA9">
        <w:rPr>
          <w:rFonts w:eastAsia="MS Mincho"/>
          <w:i/>
        </w:rPr>
        <w:t>]</w:t>
      </w:r>
      <w:r w:rsidRPr="00F12E43">
        <w:rPr>
          <w:rFonts w:eastAsia="MS Mincho"/>
          <w:i/>
        </w:rPr>
        <w:t>,</w:t>
      </w:r>
      <w:r w:rsidRPr="00F12E43">
        <w:rPr>
          <w:rFonts w:eastAsia="MS Mincho"/>
          <w:iCs/>
        </w:rPr>
        <w:t xml:space="preserve"> to read:</w:t>
      </w:r>
    </w:p>
    <w:p w14:paraId="0767916A" w14:textId="374A119B" w:rsidR="00861929" w:rsidRPr="0048506F" w:rsidRDefault="00861929" w:rsidP="004F325F">
      <w:pPr>
        <w:pStyle w:val="SingleTxtG"/>
        <w:tabs>
          <w:tab w:val="clear" w:pos="1701"/>
          <w:tab w:val="clear" w:pos="2268"/>
          <w:tab w:val="clear" w:pos="2835"/>
        </w:tabs>
        <w:ind w:left="2268" w:hanging="1134"/>
        <w:rPr>
          <w:rFonts w:eastAsia="MS Mincho"/>
          <w:i/>
          <w:sz w:val="18"/>
          <w:szCs w:val="18"/>
        </w:rPr>
      </w:pPr>
      <w:r w:rsidRPr="00E72BA9">
        <w:rPr>
          <w:rFonts w:eastAsia="MS Mincho"/>
          <w:iCs/>
          <w:sz w:val="18"/>
          <w:szCs w:val="18"/>
        </w:rPr>
        <w:t>“</w:t>
      </w:r>
      <w:r w:rsidR="00E72BA9" w:rsidRPr="00E72BA9">
        <w:rPr>
          <w:rFonts w:eastAsia="MS Mincho"/>
          <w:iCs/>
          <w:sz w:val="18"/>
          <w:szCs w:val="18"/>
          <w:vertAlign w:val="superscript"/>
        </w:rPr>
        <w:t>[</w:t>
      </w:r>
      <w:r w:rsidRPr="00E72BA9">
        <w:rPr>
          <w:rFonts w:eastAsia="MS Mincho"/>
          <w:iCs/>
          <w:sz w:val="18"/>
          <w:szCs w:val="18"/>
          <w:vertAlign w:val="superscript"/>
        </w:rPr>
        <w:t>x</w:t>
      </w:r>
      <w:bookmarkStart w:id="0" w:name="P5fn2"/>
      <w:r w:rsidR="00E72BA9" w:rsidRPr="00E72BA9">
        <w:rPr>
          <w:rFonts w:eastAsia="MS Mincho"/>
          <w:iCs/>
          <w:sz w:val="18"/>
          <w:szCs w:val="18"/>
          <w:vertAlign w:val="superscript"/>
        </w:rPr>
        <w:t>]</w:t>
      </w:r>
      <w:r w:rsidRPr="0048506F">
        <w:rPr>
          <w:rFonts w:eastAsia="MS Mincho"/>
          <w:sz w:val="18"/>
          <w:szCs w:val="18"/>
        </w:rPr>
        <w:tab/>
      </w:r>
      <w:hyperlink r:id="rId12" w:history="1">
        <w:r w:rsidRPr="00D62F13">
          <w:rPr>
            <w:rStyle w:val="Hyperlink"/>
            <w:rFonts w:eastAsia="MS Mincho"/>
            <w:sz w:val="18"/>
            <w:szCs w:val="18"/>
          </w:rPr>
          <w:t>https://www.unece.org/trans/main/wp29/datasharing.html</w:t>
        </w:r>
      </w:hyperlink>
      <w:bookmarkEnd w:id="0"/>
      <w:r w:rsidRPr="0048506F">
        <w:rPr>
          <w:rFonts w:eastAsia="MS Mincho"/>
          <w:sz w:val="18"/>
          <w:szCs w:val="18"/>
        </w:rPr>
        <w:t>”</w:t>
      </w:r>
    </w:p>
    <w:p w14:paraId="14351177" w14:textId="37DF5B18" w:rsidR="00221FBC" w:rsidRPr="00DD4C47" w:rsidRDefault="00221FBC" w:rsidP="00221FBC">
      <w:pPr>
        <w:pStyle w:val="SingleTxtG"/>
        <w:tabs>
          <w:tab w:val="clear" w:pos="1701"/>
          <w:tab w:val="clear" w:pos="2268"/>
          <w:tab w:val="clear" w:pos="2835"/>
        </w:tabs>
        <w:ind w:left="2268" w:hanging="1134"/>
        <w:rPr>
          <w:bCs/>
        </w:rPr>
      </w:pPr>
      <w:r w:rsidRPr="00EB70D2">
        <w:rPr>
          <w:rFonts w:eastAsia="MS Mincho"/>
          <w:i/>
        </w:rPr>
        <w:t>Paragraphs</w:t>
      </w:r>
      <w:r w:rsidRPr="00DD4C47">
        <w:rPr>
          <w:i/>
          <w:iCs/>
        </w:rPr>
        <w:t xml:space="preserve"> 11.1. to 11.</w:t>
      </w:r>
      <w:r w:rsidR="00517EE8">
        <w:rPr>
          <w:i/>
          <w:iCs/>
        </w:rPr>
        <w:t>1</w:t>
      </w:r>
      <w:r>
        <w:rPr>
          <w:i/>
          <w:iCs/>
        </w:rPr>
        <w:t>5</w:t>
      </w:r>
      <w:r w:rsidRPr="00DD4C47">
        <w:rPr>
          <w:i/>
          <w:iCs/>
        </w:rPr>
        <w:t xml:space="preserve">., </w:t>
      </w:r>
      <w:r>
        <w:t>replace by</w:t>
      </w:r>
      <w:r w:rsidRPr="00DD4C47">
        <w:rPr>
          <w:bCs/>
        </w:rPr>
        <w:t>:</w:t>
      </w:r>
    </w:p>
    <w:p w14:paraId="52EBC298" w14:textId="1A52E343" w:rsidR="00221FBC" w:rsidRPr="00944A70" w:rsidRDefault="00221FBC" w:rsidP="00221FBC">
      <w:pPr>
        <w:pStyle w:val="SingleTxtG"/>
        <w:tabs>
          <w:tab w:val="clear" w:pos="1701"/>
          <w:tab w:val="clear" w:pos="2268"/>
          <w:tab w:val="clear" w:pos="2835"/>
        </w:tabs>
        <w:ind w:left="2268" w:hanging="1134"/>
        <w:rPr>
          <w:bCs/>
        </w:rPr>
      </w:pPr>
      <w:r>
        <w:rPr>
          <w:bCs/>
        </w:rPr>
        <w:t>“</w:t>
      </w:r>
      <w:r w:rsidRPr="00944A70">
        <w:rPr>
          <w:bCs/>
        </w:rPr>
        <w:t>11.1. to 11.</w:t>
      </w:r>
      <w:r>
        <w:rPr>
          <w:bCs/>
        </w:rPr>
        <w:t>15</w:t>
      </w:r>
      <w:r w:rsidRPr="00944A70">
        <w:rPr>
          <w:bCs/>
        </w:rPr>
        <w:t>.</w:t>
      </w:r>
      <w:r w:rsidRPr="00944A70">
        <w:rPr>
          <w:bCs/>
        </w:rPr>
        <w:tab/>
      </w:r>
      <w:r w:rsidRPr="009B3D1E">
        <w:rPr>
          <w:bCs/>
          <w:i/>
          <w:iCs/>
        </w:rPr>
        <w:t>(deleted)</w:t>
      </w:r>
      <w:r w:rsidRPr="00944A70">
        <w:rPr>
          <w:bCs/>
        </w:rPr>
        <w:t>”</w:t>
      </w:r>
    </w:p>
    <w:p w14:paraId="5B12DF0F" w14:textId="56E5B5D2" w:rsidR="00517EE8" w:rsidRPr="00F12E43" w:rsidRDefault="00517EE8" w:rsidP="00517EE8">
      <w:pPr>
        <w:pStyle w:val="SingleTxtG"/>
        <w:tabs>
          <w:tab w:val="clear" w:pos="1701"/>
          <w:tab w:val="clear" w:pos="2268"/>
          <w:tab w:val="clear" w:pos="2835"/>
        </w:tabs>
        <w:ind w:left="2268" w:hanging="1134"/>
        <w:rPr>
          <w:rFonts w:eastAsia="MS Mincho"/>
        </w:rPr>
      </w:pPr>
      <w:r w:rsidRPr="00F12E43">
        <w:rPr>
          <w:rFonts w:eastAsia="MS Mincho"/>
          <w:i/>
          <w:iCs/>
        </w:rPr>
        <w:t xml:space="preserve">Insert new paragraphs </w:t>
      </w:r>
      <w:r>
        <w:rPr>
          <w:rFonts w:eastAsia="MS Mincho"/>
          <w:i/>
          <w:iCs/>
        </w:rPr>
        <w:t>11.16. to 11.25</w:t>
      </w:r>
      <w:r w:rsidRPr="00F12E43">
        <w:rPr>
          <w:rFonts w:eastAsia="MS Mincho"/>
          <w:i/>
          <w:iCs/>
        </w:rPr>
        <w:t>.,</w:t>
      </w:r>
      <w:r w:rsidRPr="00F12E43">
        <w:rPr>
          <w:rFonts w:eastAsia="MS Mincho"/>
        </w:rPr>
        <w:t xml:space="preserve"> to read:</w:t>
      </w:r>
    </w:p>
    <w:p w14:paraId="201B03C6" w14:textId="09278BDE" w:rsidR="00861929" w:rsidRPr="004E7CDE" w:rsidRDefault="00517EE8" w:rsidP="00221FBC">
      <w:pPr>
        <w:pStyle w:val="SingleTxtG"/>
        <w:tabs>
          <w:tab w:val="clear" w:pos="1701"/>
          <w:tab w:val="clear" w:pos="2268"/>
          <w:tab w:val="clear" w:pos="2835"/>
        </w:tabs>
        <w:ind w:left="2268" w:hanging="1134"/>
      </w:pPr>
      <w:r>
        <w:t>“</w:t>
      </w:r>
      <w:r w:rsidR="00861929" w:rsidRPr="004E7CDE">
        <w:t>11.16.</w:t>
      </w:r>
      <w:r w:rsidR="00861929" w:rsidRPr="004E7CDE">
        <w:tab/>
        <w:t>As from the official date of entry into force of the 04 series of amendments, no Contracting Party applying this UN Regulation shall refuse to grant or refuse to accept type-approvals under this UN Regulation as amended by the 04 series of amendments.</w:t>
      </w:r>
    </w:p>
    <w:p w14:paraId="476C859E" w14:textId="77777777" w:rsidR="00861929" w:rsidRPr="004E7CDE" w:rsidRDefault="00861929" w:rsidP="00221FBC">
      <w:pPr>
        <w:pStyle w:val="SingleTxtG"/>
        <w:tabs>
          <w:tab w:val="clear" w:pos="1701"/>
          <w:tab w:val="clear" w:pos="2268"/>
          <w:tab w:val="clear" w:pos="2835"/>
        </w:tabs>
        <w:ind w:left="2268" w:hanging="1134"/>
      </w:pPr>
      <w:r w:rsidRPr="004E7CDE">
        <w:lastRenderedPageBreak/>
        <w:t>11.17.</w:t>
      </w:r>
      <w:r w:rsidRPr="004E7CDE">
        <w:tab/>
      </w:r>
      <w:r w:rsidRPr="004E7CDE">
        <w:tab/>
        <w:t>As from 1 September 2026, Contracting Parties applying this UN Regulation shall not be obliged to accept type-approvals to the preceding series of amendments first issued after 1 September 2026.</w:t>
      </w:r>
    </w:p>
    <w:p w14:paraId="294ECB34" w14:textId="77777777" w:rsidR="00861929" w:rsidRPr="00221FBC" w:rsidRDefault="00861929" w:rsidP="00221FBC">
      <w:pPr>
        <w:pStyle w:val="SingleTxtG"/>
        <w:tabs>
          <w:tab w:val="clear" w:pos="1701"/>
          <w:tab w:val="clear" w:pos="2268"/>
          <w:tab w:val="clear" w:pos="2835"/>
        </w:tabs>
        <w:ind w:left="2268" w:hanging="1134"/>
        <w:rPr>
          <w:bCs/>
        </w:rPr>
      </w:pPr>
      <w:r w:rsidRPr="00221FBC">
        <w:rPr>
          <w:bCs/>
        </w:rPr>
        <w:t>11.18.</w:t>
      </w:r>
      <w:r w:rsidRPr="00221FBC">
        <w:rPr>
          <w:bCs/>
        </w:rPr>
        <w:tab/>
      </w:r>
      <w:r w:rsidRPr="00221FBC">
        <w:rPr>
          <w:bCs/>
        </w:rPr>
        <w:tab/>
        <w:t>Contracting Parties applying this UN Regulation shall continue to accept type approvals issued according to the preceding series of amendments to this UN Regulation first issued before 1 September 2026.</w:t>
      </w:r>
    </w:p>
    <w:p w14:paraId="4ED64456" w14:textId="77777777" w:rsidR="00861929" w:rsidRPr="00221FBC" w:rsidRDefault="00861929" w:rsidP="00221FBC">
      <w:pPr>
        <w:pStyle w:val="SingleTxtG"/>
        <w:tabs>
          <w:tab w:val="clear" w:pos="1701"/>
          <w:tab w:val="clear" w:pos="2268"/>
          <w:tab w:val="clear" w:pos="2835"/>
        </w:tabs>
        <w:ind w:left="2268" w:hanging="1134"/>
        <w:rPr>
          <w:bCs/>
        </w:rPr>
      </w:pPr>
      <w:r w:rsidRPr="00221FBC">
        <w:rPr>
          <w:bCs/>
        </w:rPr>
        <w:t>11.19.</w:t>
      </w:r>
      <w:r w:rsidRPr="00221FBC">
        <w:rPr>
          <w:bCs/>
        </w:rPr>
        <w:tab/>
      </w:r>
      <w:r w:rsidRPr="00221FBC">
        <w:rPr>
          <w:bCs/>
        </w:rPr>
        <w:tab/>
        <w:t>Contracting Parties applying this Regulation shall continue to grant type approvals using the test proceedings related to atypical windscreen fracture behaviour (see Annex 5 paragraphs 4.8. and 5.8.) until 1 September [2033] and specific provisions related to WAD 2,100 boundary (see paragraphs 2.1. and 2.45.) until 1 September 2028.”</w:t>
      </w:r>
    </w:p>
    <w:p w14:paraId="0D0864CC" w14:textId="49D3E477" w:rsidR="00861929" w:rsidRPr="00221FBC" w:rsidRDefault="00861929" w:rsidP="00221FBC">
      <w:pPr>
        <w:pStyle w:val="SingleTxtG"/>
        <w:tabs>
          <w:tab w:val="clear" w:pos="1701"/>
          <w:tab w:val="clear" w:pos="2268"/>
          <w:tab w:val="clear" w:pos="2835"/>
        </w:tabs>
        <w:ind w:left="2268" w:hanging="1134"/>
        <w:rPr>
          <w:bCs/>
        </w:rPr>
      </w:pPr>
      <w:r w:rsidRPr="00221FBC">
        <w:rPr>
          <w:bCs/>
        </w:rPr>
        <w:t>11.20.</w:t>
      </w:r>
      <w:r w:rsidRPr="00221FBC">
        <w:rPr>
          <w:bCs/>
        </w:rPr>
        <w:tab/>
      </w:r>
      <w:r w:rsidRPr="00221FBC">
        <w:rPr>
          <w:bCs/>
        </w:rPr>
        <w:tab/>
        <w:t xml:space="preserve">Until 1 September 2029, Contracting Parties applying this UN Regulation shall continue to accept type approvals issued using the specific provisions related to WAD 2,100 </w:t>
      </w:r>
      <w:proofErr w:type="gramStart"/>
      <w:r w:rsidRPr="00221FBC">
        <w:rPr>
          <w:bCs/>
        </w:rPr>
        <w:t>boundary</w:t>
      </w:r>
      <w:proofErr w:type="gramEnd"/>
      <w:r w:rsidRPr="00221FBC">
        <w:rPr>
          <w:bCs/>
        </w:rPr>
        <w:t xml:space="preserve"> (see paragraphs 2.1. and 2.45.)</w:t>
      </w:r>
      <w:r w:rsidR="00B6115D">
        <w:rPr>
          <w:bCs/>
        </w:rPr>
        <w:t>.</w:t>
      </w:r>
    </w:p>
    <w:p w14:paraId="160F9983" w14:textId="77777777" w:rsidR="00861929" w:rsidRPr="00221FBC" w:rsidRDefault="00861929" w:rsidP="00221FBC">
      <w:pPr>
        <w:pStyle w:val="SingleTxtG"/>
        <w:tabs>
          <w:tab w:val="clear" w:pos="1701"/>
          <w:tab w:val="clear" w:pos="2268"/>
          <w:tab w:val="clear" w:pos="2835"/>
        </w:tabs>
        <w:ind w:left="2268" w:hanging="1134"/>
        <w:rPr>
          <w:bCs/>
        </w:rPr>
      </w:pPr>
      <w:r w:rsidRPr="00221FBC">
        <w:rPr>
          <w:bCs/>
        </w:rPr>
        <w:t>11.21.</w:t>
      </w:r>
      <w:r w:rsidRPr="00221FBC">
        <w:rPr>
          <w:bCs/>
        </w:rPr>
        <w:tab/>
      </w:r>
      <w:r w:rsidRPr="00221FBC">
        <w:rPr>
          <w:bCs/>
        </w:rPr>
        <w:tab/>
        <w:t>As from 1 September 2029, Contracting Parties applying this UN Regulation shall not be obliged to accept type approvals issued for a vehicle with a WAD 2,100 boundary on the bonnet top (see paragraphs 2.1. and 2.45.).</w:t>
      </w:r>
    </w:p>
    <w:p w14:paraId="6F81014A" w14:textId="60F07D39" w:rsidR="00861929" w:rsidRPr="00221FBC" w:rsidRDefault="00861929" w:rsidP="00221FBC">
      <w:pPr>
        <w:pStyle w:val="SingleTxtG"/>
        <w:tabs>
          <w:tab w:val="clear" w:pos="1701"/>
          <w:tab w:val="clear" w:pos="2268"/>
          <w:tab w:val="clear" w:pos="2835"/>
        </w:tabs>
        <w:ind w:left="2268" w:hanging="1134"/>
        <w:rPr>
          <w:bCs/>
        </w:rPr>
      </w:pPr>
      <w:r w:rsidRPr="00221FBC">
        <w:rPr>
          <w:bCs/>
        </w:rPr>
        <w:t>11.22.</w:t>
      </w:r>
      <w:r w:rsidRPr="00221FBC">
        <w:rPr>
          <w:bCs/>
        </w:rPr>
        <w:tab/>
      </w:r>
      <w:r w:rsidRPr="00221FBC">
        <w:rPr>
          <w:bCs/>
        </w:rPr>
        <w:tab/>
        <w:t>Notwithstanding paragraph</w:t>
      </w:r>
      <w:r w:rsidRPr="00221FBC" w:rsidDel="00DF2558">
        <w:rPr>
          <w:bCs/>
        </w:rPr>
        <w:t xml:space="preserve"> </w:t>
      </w:r>
      <w:r w:rsidRPr="00221FBC">
        <w:rPr>
          <w:bCs/>
        </w:rPr>
        <w:t>11.19., until 1 September 2030, Contracting Parties applying this Regulation shall continue to grant type approvals using the specific provisions related to BRRL (see paragraph 2.1</w:t>
      </w:r>
      <w:r w:rsidR="00B6115D">
        <w:rPr>
          <w:bCs/>
        </w:rPr>
        <w:t>.</w:t>
      </w:r>
      <w:r w:rsidRPr="00221FBC">
        <w:rPr>
          <w:bCs/>
        </w:rPr>
        <w:t>).</w:t>
      </w:r>
    </w:p>
    <w:p w14:paraId="431B77C2" w14:textId="7BA59D94" w:rsidR="00861929" w:rsidRPr="00221FBC" w:rsidRDefault="00861929" w:rsidP="00221FBC">
      <w:pPr>
        <w:pStyle w:val="SingleTxtG"/>
        <w:tabs>
          <w:tab w:val="clear" w:pos="1701"/>
          <w:tab w:val="clear" w:pos="2268"/>
          <w:tab w:val="clear" w:pos="2835"/>
        </w:tabs>
        <w:ind w:left="2268" w:hanging="1134"/>
        <w:rPr>
          <w:bCs/>
        </w:rPr>
      </w:pPr>
      <w:r w:rsidRPr="00221FBC">
        <w:rPr>
          <w:bCs/>
        </w:rPr>
        <w:t xml:space="preserve">11.23. </w:t>
      </w:r>
      <w:r w:rsidRPr="00221FBC">
        <w:rPr>
          <w:bCs/>
        </w:rPr>
        <w:tab/>
      </w:r>
      <w:r w:rsidRPr="00221FBC">
        <w:rPr>
          <w:bCs/>
        </w:rPr>
        <w:tab/>
        <w:t>Notwithstanding paragraphs</w:t>
      </w:r>
      <w:r w:rsidRPr="00221FBC" w:rsidDel="00DF2558">
        <w:rPr>
          <w:bCs/>
        </w:rPr>
        <w:t xml:space="preserve"> </w:t>
      </w:r>
      <w:r w:rsidRPr="00221FBC">
        <w:rPr>
          <w:bCs/>
        </w:rPr>
        <w:t>11.20. and 11.21., until 1 September 2031, Contracting Parties applying this UN Regulation shall continue to accept type approvals issued using the specific provisions related to BRRL (see paragraph 2.1.).</w:t>
      </w:r>
    </w:p>
    <w:p w14:paraId="0FCE1B55" w14:textId="77777777" w:rsidR="00861929" w:rsidRPr="00221FBC" w:rsidRDefault="00861929" w:rsidP="00221FBC">
      <w:pPr>
        <w:pStyle w:val="SingleTxtG"/>
        <w:tabs>
          <w:tab w:val="clear" w:pos="1701"/>
          <w:tab w:val="clear" w:pos="2268"/>
          <w:tab w:val="clear" w:pos="2835"/>
        </w:tabs>
        <w:ind w:left="2268" w:hanging="1134"/>
        <w:rPr>
          <w:bCs/>
        </w:rPr>
      </w:pPr>
      <w:r w:rsidRPr="00221FBC">
        <w:rPr>
          <w:bCs/>
        </w:rPr>
        <w:t>11.24.</w:t>
      </w:r>
      <w:r w:rsidRPr="00221FBC">
        <w:rPr>
          <w:bCs/>
        </w:rPr>
        <w:tab/>
      </w:r>
      <w:r w:rsidRPr="00221FBC">
        <w:rPr>
          <w:bCs/>
        </w:rPr>
        <w:tab/>
        <w:t>Contracting Parties applying this UN Regulation may grant type approvals according to any preceding series of amendments to this UN Regulation.</w:t>
      </w:r>
    </w:p>
    <w:p w14:paraId="70FB34C9" w14:textId="6C3B3A80" w:rsidR="00861929" w:rsidRPr="00605DDC" w:rsidRDefault="00861929" w:rsidP="00221FBC">
      <w:pPr>
        <w:pStyle w:val="SingleTxtG"/>
        <w:tabs>
          <w:tab w:val="clear" w:pos="1701"/>
          <w:tab w:val="clear" w:pos="2268"/>
          <w:tab w:val="clear" w:pos="2835"/>
        </w:tabs>
        <w:ind w:left="2268" w:hanging="1134"/>
        <w:rPr>
          <w:bCs/>
          <w:lang w:val="en-US"/>
        </w:rPr>
      </w:pPr>
      <w:r w:rsidRPr="00221FBC">
        <w:rPr>
          <w:bCs/>
        </w:rPr>
        <w:t>11.25.</w:t>
      </w:r>
      <w:r w:rsidRPr="00221FBC">
        <w:rPr>
          <w:bCs/>
        </w:rPr>
        <w:tab/>
      </w:r>
      <w:r w:rsidRPr="00221FBC">
        <w:rPr>
          <w:bCs/>
        </w:rPr>
        <w:tab/>
        <w:t>Contracting Parties applying this UN Regulation shall continue to grant extensions of existing approvals to any preceding series of amendments to this UN Regulation.</w:t>
      </w:r>
      <w:r w:rsidR="00605DDC">
        <w:rPr>
          <w:bCs/>
        </w:rPr>
        <w:t>”</w:t>
      </w:r>
    </w:p>
    <w:p w14:paraId="14566543" w14:textId="14559D25" w:rsidR="00512948" w:rsidRPr="00DD4C47" w:rsidRDefault="00512948" w:rsidP="00512948">
      <w:pPr>
        <w:pStyle w:val="SingleTxtG"/>
        <w:tabs>
          <w:tab w:val="clear" w:pos="1701"/>
          <w:tab w:val="clear" w:pos="2268"/>
          <w:tab w:val="clear" w:pos="2835"/>
        </w:tabs>
        <w:ind w:left="2268" w:hanging="1134"/>
      </w:pPr>
      <w:r w:rsidRPr="00DD4C47">
        <w:rPr>
          <w:i/>
        </w:rPr>
        <w:t>Annex 1, Part 2,</w:t>
      </w:r>
      <w:r>
        <w:rPr>
          <w:i/>
        </w:rPr>
        <w:t xml:space="preserve"> p</w:t>
      </w:r>
      <w:r w:rsidRPr="00DD4C47">
        <w:rPr>
          <w:i/>
        </w:rPr>
        <w:t>aragraph 16.1.</w:t>
      </w:r>
      <w:r>
        <w:rPr>
          <w:i/>
        </w:rPr>
        <w:t xml:space="preserve">, </w:t>
      </w:r>
      <w:r w:rsidRPr="00DD4C47">
        <w:t xml:space="preserve">amend </w:t>
      </w:r>
      <w:r w:rsidR="00BA61D3">
        <w:t xml:space="preserve">the </w:t>
      </w:r>
      <w:r w:rsidR="00BA61D3" w:rsidRPr="00BA61D3">
        <w:t xml:space="preserve">text under the table </w:t>
      </w:r>
      <w:r w:rsidRPr="00DD4C47">
        <w:t>to read:</w:t>
      </w:r>
    </w:p>
    <w:p w14:paraId="517768F8" w14:textId="5DDD3920" w:rsidR="00512948" w:rsidRPr="00DD4C47" w:rsidRDefault="00512948" w:rsidP="00512948">
      <w:pPr>
        <w:pStyle w:val="SingleTxtG"/>
        <w:tabs>
          <w:tab w:val="clear" w:pos="1701"/>
          <w:tab w:val="clear" w:pos="2268"/>
          <w:tab w:val="clear" w:pos="2835"/>
        </w:tabs>
      </w:pPr>
      <w:r>
        <w:t>“</w:t>
      </w:r>
      <w:r w:rsidRPr="00DD4C47">
        <w:t>WAD 2,100 boundary in accordance with paragraphs 11.</w:t>
      </w:r>
      <w:r w:rsidRPr="007F0B9A">
        <w:t>9</w:t>
      </w:r>
      <w:r w:rsidR="008D7313">
        <w:t>.</w:t>
      </w:r>
      <w:r w:rsidRPr="00DD4C47">
        <w:t xml:space="preserve">  to 11.</w:t>
      </w:r>
      <w:r w:rsidRPr="00DD4C47">
        <w:rPr>
          <w:strike/>
        </w:rPr>
        <w:t>11.</w:t>
      </w:r>
      <w:r>
        <w:rPr>
          <w:b/>
          <w:bCs/>
        </w:rPr>
        <w:t>13</w:t>
      </w:r>
      <w:r w:rsidRPr="00DD4C47">
        <w:rPr>
          <w:b/>
          <w:bCs/>
        </w:rPr>
        <w:t>.</w:t>
      </w:r>
      <w:r w:rsidRPr="00DD4C47">
        <w:t>: applicable / not applicable.</w:t>
      </w:r>
      <w:r>
        <w:t>”</w:t>
      </w:r>
    </w:p>
    <w:p w14:paraId="6D02E3AF" w14:textId="77777777" w:rsidR="00512948" w:rsidRPr="00DD4C47" w:rsidRDefault="00512948" w:rsidP="00512948">
      <w:pPr>
        <w:pStyle w:val="SingleTxtG"/>
        <w:tabs>
          <w:tab w:val="clear" w:pos="1701"/>
          <w:tab w:val="clear" w:pos="2268"/>
          <w:tab w:val="clear" w:pos="2835"/>
        </w:tabs>
        <w:ind w:left="2268" w:hanging="1134"/>
      </w:pPr>
      <w:r w:rsidRPr="00DD4C47">
        <w:rPr>
          <w:i/>
        </w:rPr>
        <w:t>Annex 1, Part 2,</w:t>
      </w:r>
      <w:r>
        <w:rPr>
          <w:i/>
        </w:rPr>
        <w:t xml:space="preserve"> p</w:t>
      </w:r>
      <w:r w:rsidRPr="00DD4C47">
        <w:rPr>
          <w:i/>
        </w:rPr>
        <w:t>aragraph 16.1.</w:t>
      </w:r>
      <w:r w:rsidRPr="00DD4C47">
        <w:t>,</w:t>
      </w:r>
      <w:r w:rsidRPr="00887C3C">
        <w:rPr>
          <w:i/>
          <w:iCs/>
        </w:rPr>
        <w:t xml:space="preserve"> footnote </w:t>
      </w:r>
      <w:r>
        <w:rPr>
          <w:i/>
          <w:iCs/>
        </w:rPr>
        <w:t>3</w:t>
      </w:r>
      <w:r>
        <w:t>,</w:t>
      </w:r>
      <w:r w:rsidRPr="00DD4C47">
        <w:rPr>
          <w:i/>
        </w:rPr>
        <w:t xml:space="preserve"> </w:t>
      </w:r>
      <w:r w:rsidRPr="00DD4C47">
        <w:t>amend to read:</w:t>
      </w:r>
    </w:p>
    <w:p w14:paraId="22E59880" w14:textId="64BEA6F2" w:rsidR="00512948" w:rsidRPr="001D3F4B" w:rsidRDefault="00512948" w:rsidP="001D3F4B">
      <w:pPr>
        <w:pStyle w:val="SingleTxtG"/>
        <w:tabs>
          <w:tab w:val="clear" w:pos="1701"/>
          <w:tab w:val="clear" w:pos="2268"/>
          <w:tab w:val="clear" w:pos="2835"/>
        </w:tabs>
        <w:ind w:left="2268" w:hanging="1134"/>
      </w:pPr>
      <w:r w:rsidRPr="001D3F4B">
        <w:t>“</w:t>
      </w:r>
      <w:r>
        <w:rPr>
          <w:vertAlign w:val="superscript"/>
        </w:rPr>
        <w:t>3</w:t>
      </w:r>
      <w:r>
        <w:tab/>
      </w:r>
      <w:r w:rsidRPr="00402390">
        <w:t xml:space="preserve">Coordinate system as defined by </w:t>
      </w:r>
      <w:r w:rsidRPr="00043168">
        <w:rPr>
          <w:strike/>
        </w:rPr>
        <w:t xml:space="preserve">appendix 2 to Annex 1 of the Consolidated Resolution on the Construction of Vehicles (R.E.3), document ECE/TRANS/WP.29/78/Rev.6 - </w:t>
      </w:r>
      <w:hyperlink r:id="rId13" w:history="1">
        <w:r w:rsidRPr="002F13C8">
          <w:rPr>
            <w:rStyle w:val="Hyperlink"/>
            <w:strike/>
          </w:rPr>
          <w:t>https://unece.org/transport/standards/transport/vehicle-regulations-wp29/resolutions</w:t>
        </w:r>
      </w:hyperlink>
      <w:r w:rsidRPr="00832EEA">
        <w:rPr>
          <w:b/>
          <w:bCs/>
        </w:rPr>
        <w:t xml:space="preserve"> Annex B of Addendum 6 of Mutual Resolution No. 1 (M.R.1) (document ECE/TRANS/WP.29/1101/Amend.5); see </w:t>
      </w:r>
      <w:hyperlink r:id="rId14" w:history="1">
        <w:r w:rsidRPr="002F13C8">
          <w:rPr>
            <w:rStyle w:val="Hyperlink"/>
            <w:b/>
            <w:bCs/>
          </w:rPr>
          <w:t>https://unece.org/transport/vehicle-regulations/wp29/resolutions</w:t>
        </w:r>
      </w:hyperlink>
      <w:r w:rsidR="001D3F4B">
        <w:t>”</w:t>
      </w:r>
    </w:p>
    <w:p w14:paraId="060D1F6B" w14:textId="77777777" w:rsidR="00512948" w:rsidRPr="00DD4C47" w:rsidRDefault="00512948" w:rsidP="00512948">
      <w:pPr>
        <w:pStyle w:val="SingleTxtG"/>
        <w:tabs>
          <w:tab w:val="clear" w:pos="1701"/>
          <w:tab w:val="clear" w:pos="2268"/>
          <w:tab w:val="clear" w:pos="2835"/>
        </w:tabs>
        <w:ind w:left="2268" w:hanging="1134"/>
      </w:pPr>
      <w:r w:rsidRPr="00DD4C47">
        <w:rPr>
          <w:i/>
        </w:rPr>
        <w:t xml:space="preserve">Annex </w:t>
      </w:r>
      <w:r>
        <w:rPr>
          <w:i/>
        </w:rPr>
        <w:t>2, text under the heading</w:t>
      </w:r>
      <w:r w:rsidRPr="00DD4C47">
        <w:rPr>
          <w:i/>
        </w:rPr>
        <w:t xml:space="preserve">, </w:t>
      </w:r>
      <w:r w:rsidRPr="00DD4C47">
        <w:t>amend to read:</w:t>
      </w:r>
    </w:p>
    <w:p w14:paraId="55BDE0F9" w14:textId="77777777" w:rsidR="00861929" w:rsidRDefault="00861929" w:rsidP="00861929">
      <w:pPr>
        <w:spacing w:after="240"/>
        <w:ind w:left="2268" w:right="1134" w:hanging="1134"/>
        <w:jc w:val="both"/>
      </w:pPr>
      <w:r>
        <w:t>(See paragraphs 4.4. to 4.4.</w:t>
      </w:r>
      <w:r w:rsidRPr="006139A1">
        <w:rPr>
          <w:strike/>
        </w:rPr>
        <w:t>2</w:t>
      </w:r>
      <w:r w:rsidRPr="006139A1">
        <w:rPr>
          <w:b/>
          <w:bCs/>
        </w:rPr>
        <w:t>3</w:t>
      </w:r>
      <w:r>
        <w:t>. of this Regulation)</w:t>
      </w:r>
    </w:p>
    <w:p w14:paraId="706C88CC" w14:textId="77777777" w:rsidR="00861929" w:rsidRDefault="00861929" w:rsidP="00861929">
      <w:pPr>
        <w:jc w:val="center"/>
        <w:rPr>
          <w:b/>
        </w:rPr>
      </w:pPr>
      <w:r>
        <w:rPr>
          <w:noProof/>
          <w:lang w:val="en-US"/>
        </w:rPr>
        <mc:AlternateContent>
          <mc:Choice Requires="wps">
            <w:drawing>
              <wp:anchor distT="0" distB="0" distL="114300" distR="114300" simplePos="0" relativeHeight="251658240" behindDoc="0" locked="0" layoutInCell="1" allowOverlap="1" wp14:anchorId="20630523" wp14:editId="11C8C717">
                <wp:simplePos x="0" y="0"/>
                <wp:positionH relativeFrom="column">
                  <wp:posOffset>2762250</wp:posOffset>
                </wp:positionH>
                <wp:positionV relativeFrom="paragraph">
                  <wp:posOffset>314325</wp:posOffset>
                </wp:positionV>
                <wp:extent cx="1737360" cy="419100"/>
                <wp:effectExtent l="0" t="0" r="0" b="0"/>
                <wp:wrapNone/>
                <wp:docPr id="8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CBEAC" w14:textId="77777777" w:rsidR="00861929" w:rsidRPr="001834B0" w:rsidRDefault="00861929" w:rsidP="00861929">
                            <w:pPr>
                              <w:ind w:left="-142" w:right="-154"/>
                              <w:rPr>
                                <w:b/>
                                <w:bCs/>
                                <w:sz w:val="32"/>
                              </w:rPr>
                            </w:pPr>
                            <w:r>
                              <w:rPr>
                                <w:sz w:val="32"/>
                              </w:rPr>
                              <w:t>127R – 04185</w:t>
                            </w:r>
                            <w:r w:rsidRPr="00E57773">
                              <w:rPr>
                                <w:sz w:val="32"/>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30523" id="_x0000_t202" coordsize="21600,21600" o:spt="202" path="m,l,21600r21600,l21600,xe">
                <v:stroke joinstyle="miter"/>
                <v:path gradientshapeok="t" o:connecttype="rect"/>
              </v:shapetype>
              <v:shape id="Text Box 62" o:spid="_x0000_s1026" type="#_x0000_t202" style="position:absolute;left:0;text-align:left;margin-left:217.5pt;margin-top:24.75pt;width:136.8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" stroked="f">
                <v:textbox>
                  <w:txbxContent>
                    <w:p w14:paraId="2B4CBEAC" w14:textId="77777777" w:rsidR="00861929" w:rsidRPr="001834B0" w:rsidRDefault="00861929" w:rsidP="00861929">
                      <w:pPr>
                        <w:ind w:left="-142" w:right="-154"/>
                        <w:rPr>
                          <w:b/>
                          <w:bCs/>
                          <w:sz w:val="32"/>
                        </w:rPr>
                      </w:pPr>
                      <w:r>
                        <w:rPr>
                          <w:sz w:val="32"/>
                        </w:rPr>
                        <w:t>127R – 04185</w:t>
                      </w:r>
                      <w:r w:rsidRPr="00E57773">
                        <w:rPr>
                          <w:sz w:val="32"/>
                        </w:rPr>
                        <w:t>-T</w:t>
                      </w:r>
                    </w:p>
                  </w:txbxContent>
                </v:textbox>
              </v:shape>
            </w:pict>
          </mc:Fallback>
        </mc:AlternateContent>
      </w:r>
      <w:r>
        <w:rPr>
          <w:b/>
          <w:noProof/>
          <w:lang w:val="en-US"/>
        </w:rPr>
        <w:drawing>
          <wp:inline distT="0" distB="0" distL="0" distR="0" wp14:anchorId="5E8A79BF" wp14:editId="016D7DAA">
            <wp:extent cx="3924935" cy="923290"/>
            <wp:effectExtent l="0" t="0" r="0" b="0"/>
            <wp:docPr id="19" name="Picture 19" descr="Afbeelding met tekst, Lettertype, wit,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fbeelding met tekst, Lettertype, wit, diagram&#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24935" cy="923290"/>
                    </a:xfrm>
                    <a:prstGeom prst="rect">
                      <a:avLst/>
                    </a:prstGeom>
                    <a:noFill/>
                    <a:ln>
                      <a:noFill/>
                    </a:ln>
                  </pic:spPr>
                </pic:pic>
              </a:graphicData>
            </a:graphic>
          </wp:inline>
        </w:drawing>
      </w:r>
    </w:p>
    <w:p w14:paraId="0EC8F0E0" w14:textId="77777777" w:rsidR="00861929" w:rsidRDefault="00861929" w:rsidP="00861929">
      <w:pPr>
        <w:spacing w:after="120"/>
        <w:ind w:left="1134" w:right="2268"/>
        <w:jc w:val="right"/>
      </w:pPr>
      <w:r>
        <w:t>a = 8 mm min</w:t>
      </w:r>
    </w:p>
    <w:p w14:paraId="4DCD711B" w14:textId="77777777" w:rsidR="00861929" w:rsidRPr="00B42A97" w:rsidRDefault="00861929" w:rsidP="00861929">
      <w:pPr>
        <w:spacing w:after="120"/>
        <w:ind w:left="1134" w:right="1134" w:firstLine="567"/>
        <w:jc w:val="both"/>
      </w:pPr>
      <w:r>
        <w:lastRenderedPageBreak/>
        <w:t xml:space="preserve">The above approval mark affixed to a vehicle shows that the vehicle type concerned has been approved in Belgium (E 6) </w:t>
      </w:r>
      <w:proofErr w:type="gramStart"/>
      <w:r>
        <w:t>with regard to</w:t>
      </w:r>
      <w:proofErr w:type="gramEnd"/>
      <w:r>
        <w:t xml:space="preserve"> its pedestrian safety performance pursuant to UN Regulation No. 127. The first two digits of the approval number indicate that the approval was granted in accordance with the requirements of UN Regulation No. 127 </w:t>
      </w:r>
      <w:r w:rsidRPr="00B42A97">
        <w:t>as amended by the 0</w:t>
      </w:r>
      <w:r>
        <w:t>4</w:t>
      </w:r>
      <w:r w:rsidRPr="00B42A97">
        <w:t xml:space="preserve"> series of amendments</w:t>
      </w:r>
      <w:r w:rsidRPr="00B36A87">
        <w:rPr>
          <w:b/>
          <w:bCs/>
        </w:rPr>
        <w:t xml:space="preserve">; the </w:t>
      </w:r>
      <w:r w:rsidRPr="00B36A87">
        <w:rPr>
          <w:rFonts w:hint="eastAsia"/>
          <w:b/>
          <w:bCs/>
          <w:lang w:eastAsia="ja-JP"/>
        </w:rPr>
        <w:t>l</w:t>
      </w:r>
      <w:r w:rsidRPr="00B36A87">
        <w:rPr>
          <w:b/>
          <w:bCs/>
          <w:lang w:eastAsia="ja-JP"/>
        </w:rPr>
        <w:t xml:space="preserve">etter </w:t>
      </w:r>
      <w:r w:rsidRPr="00B36A87">
        <w:rPr>
          <w:b/>
          <w:bCs/>
        </w:rPr>
        <w:t>"</w:t>
      </w:r>
      <w:r w:rsidRPr="00B36A87">
        <w:rPr>
          <w:b/>
          <w:bCs/>
          <w:lang w:eastAsia="ja-JP"/>
        </w:rPr>
        <w:t>T</w:t>
      </w:r>
      <w:r w:rsidRPr="00B36A87">
        <w:rPr>
          <w:b/>
          <w:bCs/>
        </w:rPr>
        <w:t>"</w:t>
      </w:r>
      <w:r w:rsidRPr="00B36A87">
        <w:rPr>
          <w:b/>
          <w:bCs/>
          <w:lang w:eastAsia="ja-JP"/>
        </w:rPr>
        <w:t xml:space="preserve"> indicates the </w:t>
      </w:r>
      <w:r>
        <w:rPr>
          <w:b/>
          <w:bCs/>
          <w:lang w:eastAsia="ja-JP"/>
        </w:rPr>
        <w:t>approval was granted</w:t>
      </w:r>
      <w:r w:rsidRPr="00B36A87">
        <w:rPr>
          <w:b/>
          <w:bCs/>
          <w:lang w:eastAsia="ja-JP"/>
        </w:rPr>
        <w:t xml:space="preserve"> using </w:t>
      </w:r>
      <w:r w:rsidRPr="00B36A87">
        <w:rPr>
          <w:b/>
          <w:bCs/>
        </w:rPr>
        <w:t>the specific provisions on WAD 2,100 boundary in accordance with paragraph 11.19.</w:t>
      </w:r>
      <w:r>
        <w:t>”</w:t>
      </w:r>
    </w:p>
    <w:p w14:paraId="024F8F82" w14:textId="29C261CF" w:rsidR="00861929" w:rsidRPr="00F12E43" w:rsidRDefault="00861929" w:rsidP="00512948">
      <w:pPr>
        <w:pStyle w:val="SingleTxtG"/>
        <w:tabs>
          <w:tab w:val="clear" w:pos="1701"/>
          <w:tab w:val="clear" w:pos="2268"/>
          <w:tab w:val="clear" w:pos="2835"/>
        </w:tabs>
        <w:ind w:left="2268" w:hanging="1134"/>
        <w:rPr>
          <w:rFonts w:eastAsia="MS Mincho"/>
        </w:rPr>
      </w:pPr>
      <w:r w:rsidRPr="00F12E43">
        <w:rPr>
          <w:rFonts w:eastAsia="MS Mincho"/>
          <w:i/>
        </w:rPr>
        <w:t xml:space="preserve">Annex 5, </w:t>
      </w:r>
      <w:r w:rsidR="00121F50">
        <w:rPr>
          <w:rFonts w:eastAsia="MS Mincho"/>
          <w:i/>
        </w:rPr>
        <w:t>p</w:t>
      </w:r>
      <w:r w:rsidRPr="00F12E43">
        <w:rPr>
          <w:rFonts w:eastAsia="MS Mincho"/>
          <w:i/>
        </w:rPr>
        <w:t>aragraph 4.1.</w:t>
      </w:r>
      <w:r w:rsidRPr="00F12E43">
        <w:rPr>
          <w:rFonts w:eastAsia="MS Mincho"/>
          <w:i/>
          <w:iCs/>
        </w:rPr>
        <w:t xml:space="preserve">, </w:t>
      </w:r>
      <w:r w:rsidRPr="00F12E43">
        <w:rPr>
          <w:rFonts w:eastAsia="MS Mincho"/>
        </w:rPr>
        <w:t>amend to read:</w:t>
      </w:r>
    </w:p>
    <w:p w14:paraId="414129B8" w14:textId="7AFD76AC" w:rsidR="00861929" w:rsidRPr="00F12E43" w:rsidRDefault="00861929" w:rsidP="00512948">
      <w:pPr>
        <w:pStyle w:val="SingleTxtG"/>
        <w:tabs>
          <w:tab w:val="clear" w:pos="1701"/>
          <w:tab w:val="clear" w:pos="2268"/>
          <w:tab w:val="clear" w:pos="2835"/>
        </w:tabs>
        <w:ind w:left="2268" w:hanging="1134"/>
        <w:rPr>
          <w:rFonts w:eastAsia="MS Mincho"/>
        </w:rPr>
      </w:pPr>
      <w:r w:rsidRPr="00F12E43">
        <w:rPr>
          <w:rFonts w:eastAsia="MS Mincho"/>
        </w:rPr>
        <w:t xml:space="preserve">“4.1. </w:t>
      </w:r>
      <w:r w:rsidRPr="00F12E43">
        <w:rPr>
          <w:rFonts w:eastAsia="MS Mincho"/>
        </w:rPr>
        <w:tab/>
        <w:t xml:space="preserve">Tests shall be made to the front structure within the boundaries as defined in paragraph 2.16. of this Regulation. Test shall also be made to the windscreen within the boundaries as defined in paragraph 2.44. </w:t>
      </w:r>
      <w:r w:rsidRPr="00F12E43">
        <w:rPr>
          <w:rFonts w:eastAsia="MS Mincho"/>
          <w:b/>
        </w:rPr>
        <w:t>For all tests to the windscreen, resultant acceleration versus time and jerk (derivation of the resultant acceleration) versus time histories must be provided and evaluated against the atypical fracture criteria according to paragraph 2.48</w:t>
      </w:r>
      <w:r w:rsidR="00F86405">
        <w:rPr>
          <w:rFonts w:eastAsia="MS Mincho"/>
          <w:b/>
        </w:rPr>
        <w:t>.</w:t>
      </w:r>
      <w:r w:rsidRPr="00F12E43">
        <w:rPr>
          <w:rFonts w:eastAsia="MS Mincho"/>
          <w:b/>
        </w:rPr>
        <w:t xml:space="preserve"> (see Figure 6) and reported for monitoring purpose according to paragraphs 4.8</w:t>
      </w:r>
      <w:r w:rsidR="00F86405">
        <w:rPr>
          <w:rFonts w:eastAsia="MS Mincho"/>
          <w:b/>
        </w:rPr>
        <w:t>.</w:t>
      </w:r>
      <w:r w:rsidRPr="00F12E43">
        <w:rPr>
          <w:rFonts w:eastAsia="MS Mincho"/>
          <w:b/>
        </w:rPr>
        <w:t xml:space="preserve"> to 4.10.</w:t>
      </w:r>
      <w:r w:rsidRPr="00F12E43">
        <w:rPr>
          <w:rFonts w:eastAsia="MS Mincho"/>
        </w:rPr>
        <w:t xml:space="preserve"> For tests on the rear area of the bonnet top, the headform impactor shall not contact the windscreen or A-pillar before impacting the bonnet top. For tests on the windscreen, the headform impactor shall not directly contact the A-pillars, windscreen header and cowl, except in the case of monitoring testing.</w:t>
      </w:r>
    </w:p>
    <w:p w14:paraId="4C63BC2C" w14:textId="77777777" w:rsidR="00E64E10" w:rsidRPr="00F12E43" w:rsidRDefault="00E64E10" w:rsidP="00E64E10">
      <w:pPr>
        <w:keepNext/>
        <w:spacing w:line="240" w:lineRule="auto"/>
        <w:ind w:left="1134" w:right="1134"/>
        <w:jc w:val="both"/>
        <w:rPr>
          <w:rFonts w:eastAsia="MS Mincho"/>
          <w:b/>
        </w:rPr>
      </w:pPr>
      <w:r w:rsidRPr="00F12E43">
        <w:rPr>
          <w:rFonts w:eastAsia="MS Mincho"/>
          <w:b/>
        </w:rPr>
        <w:t>Figure 6</w:t>
      </w:r>
    </w:p>
    <w:p w14:paraId="2936B73B" w14:textId="77777777" w:rsidR="00E64E10" w:rsidRPr="00F12E43" w:rsidRDefault="00E64E10" w:rsidP="00E64E10">
      <w:pPr>
        <w:keepNext/>
        <w:spacing w:after="240" w:line="240" w:lineRule="auto"/>
        <w:ind w:left="1134" w:right="1134"/>
        <w:jc w:val="both"/>
        <w:rPr>
          <w:rFonts w:eastAsia="MS Mincho"/>
          <w:b/>
        </w:rPr>
      </w:pPr>
      <w:r w:rsidRPr="00F12E43">
        <w:rPr>
          <w:rFonts w:eastAsia="MS Mincho"/>
          <w:b/>
        </w:rPr>
        <w:t>Evaluation of resultant acceleration and jerk for tests to the windscreen.</w:t>
      </w:r>
    </w:p>
    <w:p w14:paraId="6ACAA8E5" w14:textId="77777777" w:rsidR="006411CE" w:rsidRPr="00F12E43" w:rsidRDefault="006411CE" w:rsidP="006411CE">
      <w:pPr>
        <w:spacing w:line="240" w:lineRule="auto"/>
        <w:ind w:left="1134" w:right="1134"/>
        <w:jc w:val="both"/>
        <w:rPr>
          <w:rFonts w:eastAsia="MS Mincho"/>
        </w:rPr>
      </w:pPr>
      <w:r>
        <w:rPr>
          <w:rFonts w:eastAsia="MS Mincho"/>
          <w:b/>
          <w:noProof/>
        </w:rPr>
        <mc:AlternateContent>
          <mc:Choice Requires="wps">
            <w:drawing>
              <wp:anchor distT="0" distB="0" distL="114300" distR="114300" simplePos="0" relativeHeight="251658244" behindDoc="0" locked="0" layoutInCell="1" allowOverlap="1" wp14:anchorId="4CA6F569" wp14:editId="3C218B4C">
                <wp:simplePos x="0" y="0"/>
                <wp:positionH relativeFrom="column">
                  <wp:posOffset>3296285</wp:posOffset>
                </wp:positionH>
                <wp:positionV relativeFrom="paragraph">
                  <wp:posOffset>2778760</wp:posOffset>
                </wp:positionV>
                <wp:extent cx="639445" cy="207010"/>
                <wp:effectExtent l="0" t="0" r="8255" b="2540"/>
                <wp:wrapNone/>
                <wp:docPr id="2061138434" name="Text Box 1"/>
                <wp:cNvGraphicFramePr/>
                <a:graphic xmlns:a="http://schemas.openxmlformats.org/drawingml/2006/main">
                  <a:graphicData uri="http://schemas.microsoft.com/office/word/2010/wordprocessingShape">
                    <wps:wsp>
                      <wps:cNvSpPr txBox="1"/>
                      <wps:spPr>
                        <a:xfrm>
                          <a:off x="0" y="0"/>
                          <a:ext cx="639445" cy="207010"/>
                        </a:xfrm>
                        <a:prstGeom prst="rect">
                          <a:avLst/>
                        </a:prstGeom>
                        <a:solidFill>
                          <a:schemeClr val="lt1"/>
                        </a:solidFill>
                        <a:ln w="6350">
                          <a:noFill/>
                        </a:ln>
                      </wps:spPr>
                      <wps:txbx>
                        <w:txbxContent>
                          <w:p w14:paraId="46C40735" w14:textId="77777777" w:rsidR="006411CE" w:rsidRPr="002F577A" w:rsidRDefault="006411CE" w:rsidP="006411CE">
                            <w:pPr>
                              <w:rPr>
                                <w:lang w:val="en-US"/>
                              </w:rPr>
                            </w:pPr>
                            <w:r>
                              <w:rPr>
                                <w:lang w:val="en-US"/>
                              </w:rPr>
                              <w:t>Jerk (g/ms)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6F569" id="Text Box 1" o:spid="_x0000_s1027" type="#_x0000_t202" style="position:absolute;left:0;text-align:left;margin-left:259.55pt;margin-top:218.8pt;width:50.35pt;height:16.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" fillcolor="white [3201]" stroked="f" strokeweight=".5pt">
                <v:textbox inset="0,0,0,0">
                  <w:txbxContent>
                    <w:p w14:paraId="46C40735" w14:textId="77777777" w:rsidR="006411CE" w:rsidRPr="002F577A" w:rsidRDefault="006411CE" w:rsidP="006411CE">
                      <w:pPr>
                        <w:rPr>
                          <w:lang w:val="en-US"/>
                        </w:rPr>
                      </w:pPr>
                      <w:r>
                        <w:rPr>
                          <w:lang w:val="en-US"/>
                        </w:rPr>
                        <w:t>Jerk (g/ms)</w:t>
                      </w:r>
                    </w:p>
                  </w:txbxContent>
                </v:textbox>
              </v:shape>
            </w:pict>
          </mc:Fallback>
        </mc:AlternateContent>
      </w:r>
      <w:r>
        <w:rPr>
          <w:rFonts w:eastAsia="MS Mincho"/>
          <w:b/>
          <w:noProof/>
        </w:rPr>
        <mc:AlternateContent>
          <mc:Choice Requires="wps">
            <w:drawing>
              <wp:anchor distT="0" distB="0" distL="114300" distR="114300" simplePos="0" relativeHeight="251658243" behindDoc="0" locked="0" layoutInCell="1" allowOverlap="1" wp14:anchorId="6DE9A764" wp14:editId="37C79DCA">
                <wp:simplePos x="0" y="0"/>
                <wp:positionH relativeFrom="column">
                  <wp:posOffset>2426335</wp:posOffset>
                </wp:positionH>
                <wp:positionV relativeFrom="paragraph">
                  <wp:posOffset>2777490</wp:posOffset>
                </wp:positionV>
                <wp:extent cx="639445" cy="207010"/>
                <wp:effectExtent l="0" t="0" r="8255" b="2540"/>
                <wp:wrapNone/>
                <wp:docPr id="447897933" name="Text Box 1"/>
                <wp:cNvGraphicFramePr/>
                <a:graphic xmlns:a="http://schemas.openxmlformats.org/drawingml/2006/main">
                  <a:graphicData uri="http://schemas.microsoft.com/office/word/2010/wordprocessingShape">
                    <wps:wsp>
                      <wps:cNvSpPr txBox="1"/>
                      <wps:spPr>
                        <a:xfrm>
                          <a:off x="0" y="0"/>
                          <a:ext cx="639445" cy="207010"/>
                        </a:xfrm>
                        <a:prstGeom prst="rect">
                          <a:avLst/>
                        </a:prstGeom>
                        <a:solidFill>
                          <a:schemeClr val="lt1"/>
                        </a:solidFill>
                        <a:ln w="6350">
                          <a:noFill/>
                        </a:ln>
                      </wps:spPr>
                      <wps:txbx>
                        <w:txbxContent>
                          <w:p w14:paraId="69555FD5" w14:textId="77777777" w:rsidR="006411CE" w:rsidRPr="002F577A" w:rsidRDefault="006411CE" w:rsidP="006411CE">
                            <w:pPr>
                              <w:rPr>
                                <w:lang w:val="en-US"/>
                              </w:rPr>
                            </w:pPr>
                            <w:r>
                              <w:rPr>
                                <w:lang w:val="en-US"/>
                              </w:rPr>
                              <w:t>res. acc. (g)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9A764" id="_x0000_s1028" type="#_x0000_t202" style="position:absolute;left:0;text-align:left;margin-left:191.05pt;margin-top:218.7pt;width:50.35pt;height:16.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" fillcolor="white [3201]" stroked="f" strokeweight=".5pt">
                <v:textbox inset="0,0,0,0">
                  <w:txbxContent>
                    <w:p w14:paraId="69555FD5" w14:textId="77777777" w:rsidR="006411CE" w:rsidRPr="002F577A" w:rsidRDefault="006411CE" w:rsidP="006411CE">
                      <w:pPr>
                        <w:rPr>
                          <w:lang w:val="en-US"/>
                        </w:rPr>
                      </w:pPr>
                      <w:r>
                        <w:rPr>
                          <w:lang w:val="en-US"/>
                        </w:rPr>
                        <w:t>res. acc. (g)</w:t>
                      </w:r>
                    </w:p>
                  </w:txbxContent>
                </v:textbox>
              </v:shape>
            </w:pict>
          </mc:Fallback>
        </mc:AlternateContent>
      </w:r>
      <w:r>
        <w:rPr>
          <w:rFonts w:eastAsia="MS Mincho"/>
          <w:b/>
          <w:noProof/>
        </w:rPr>
        <mc:AlternateContent>
          <mc:Choice Requires="wps">
            <w:drawing>
              <wp:anchor distT="0" distB="0" distL="114300" distR="114300" simplePos="0" relativeHeight="251658246" behindDoc="0" locked="0" layoutInCell="1" allowOverlap="1" wp14:anchorId="7FFD2EF6" wp14:editId="2EFF98BE">
                <wp:simplePos x="0" y="0"/>
                <wp:positionH relativeFrom="column">
                  <wp:posOffset>598604</wp:posOffset>
                </wp:positionH>
                <wp:positionV relativeFrom="paragraph">
                  <wp:posOffset>473081</wp:posOffset>
                </wp:positionV>
                <wp:extent cx="560982" cy="207564"/>
                <wp:effectExtent l="5398" t="0" r="0" b="0"/>
                <wp:wrapNone/>
                <wp:docPr id="1036795019" name="Text Box 1"/>
                <wp:cNvGraphicFramePr/>
                <a:graphic xmlns:a="http://schemas.openxmlformats.org/drawingml/2006/main">
                  <a:graphicData uri="http://schemas.microsoft.com/office/word/2010/wordprocessingShape">
                    <wps:wsp>
                      <wps:cNvSpPr txBox="1"/>
                      <wps:spPr>
                        <a:xfrm rot="16200000">
                          <a:off x="0" y="0"/>
                          <a:ext cx="560982" cy="207564"/>
                        </a:xfrm>
                        <a:prstGeom prst="rect">
                          <a:avLst/>
                        </a:prstGeom>
                        <a:solidFill>
                          <a:schemeClr val="lt1"/>
                        </a:solidFill>
                        <a:ln w="6350">
                          <a:noFill/>
                        </a:ln>
                      </wps:spPr>
                      <wps:txbx>
                        <w:txbxContent>
                          <w:p w14:paraId="3E0EA381" w14:textId="77777777" w:rsidR="006411CE" w:rsidRPr="00C05029" w:rsidRDefault="006411CE" w:rsidP="006411CE">
                            <w:pPr>
                              <w:rPr>
                                <w:b/>
                                <w:bCs/>
                                <w:lang w:val="en-US"/>
                              </w:rPr>
                            </w:pPr>
                            <w:r>
                              <w:rPr>
                                <w:b/>
                                <w:bCs/>
                                <w:lang w:val="en-US"/>
                              </w:rPr>
                              <w:t>(g)/</w:t>
                            </w:r>
                            <w:r w:rsidRPr="00C05029">
                              <w:rPr>
                                <w:b/>
                                <w:bCs/>
                                <w:lang w:val="en-US"/>
                              </w:rPr>
                              <w:t>(</w:t>
                            </w:r>
                            <w:r>
                              <w:rPr>
                                <w:b/>
                                <w:bCs/>
                                <w:lang w:val="en-US"/>
                              </w:rPr>
                              <w:t>g/</w:t>
                            </w:r>
                            <w:r w:rsidRPr="00C05029">
                              <w:rPr>
                                <w:b/>
                                <w:bCs/>
                                <w:lang w:val="en-US"/>
                              </w:rPr>
                              <w:t>ms)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D2EF6" id="_x0000_s1029" type="#_x0000_t202" style="position:absolute;left:0;text-align:left;margin-left:47.15pt;margin-top:37.25pt;width:44.15pt;height:16.35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" fillcolor="white [3201]" stroked="f" strokeweight=".5pt">
                <v:textbox inset="0,0,0,0">
                  <w:txbxContent>
                    <w:p w14:paraId="3E0EA381" w14:textId="77777777" w:rsidR="006411CE" w:rsidRPr="00C05029" w:rsidRDefault="006411CE" w:rsidP="006411CE">
                      <w:pPr>
                        <w:rPr>
                          <w:b/>
                          <w:bCs/>
                          <w:lang w:val="en-US"/>
                        </w:rPr>
                      </w:pPr>
                      <w:r>
                        <w:rPr>
                          <w:b/>
                          <w:bCs/>
                          <w:lang w:val="en-US"/>
                        </w:rPr>
                        <w:t>(g)/</w:t>
                      </w:r>
                      <w:r w:rsidRPr="00C05029">
                        <w:rPr>
                          <w:b/>
                          <w:bCs/>
                          <w:lang w:val="en-US"/>
                        </w:rPr>
                        <w:t>(</w:t>
                      </w:r>
                      <w:r>
                        <w:rPr>
                          <w:b/>
                          <w:bCs/>
                          <w:lang w:val="en-US"/>
                        </w:rPr>
                        <w:t>g/</w:t>
                      </w:r>
                      <w:r w:rsidRPr="00C05029">
                        <w:rPr>
                          <w:b/>
                          <w:bCs/>
                          <w:lang w:val="en-US"/>
                        </w:rPr>
                        <w:t>ms)</w:t>
                      </w:r>
                    </w:p>
                  </w:txbxContent>
                </v:textbox>
              </v:shape>
            </w:pict>
          </mc:Fallback>
        </mc:AlternateContent>
      </w:r>
      <w:r>
        <w:rPr>
          <w:rFonts w:eastAsia="MS Mincho"/>
          <w:b/>
          <w:noProof/>
        </w:rPr>
        <mc:AlternateContent>
          <mc:Choice Requires="wps">
            <w:drawing>
              <wp:anchor distT="0" distB="0" distL="114300" distR="114300" simplePos="0" relativeHeight="251658245" behindDoc="0" locked="0" layoutInCell="1" allowOverlap="1" wp14:anchorId="1E9370CA" wp14:editId="195ABEF7">
                <wp:simplePos x="0" y="0"/>
                <wp:positionH relativeFrom="column">
                  <wp:posOffset>4754775</wp:posOffset>
                </wp:positionH>
                <wp:positionV relativeFrom="paragraph">
                  <wp:posOffset>2648480</wp:posOffset>
                </wp:positionV>
                <wp:extent cx="560982" cy="207564"/>
                <wp:effectExtent l="0" t="0" r="0" b="2540"/>
                <wp:wrapNone/>
                <wp:docPr id="713661108" name="Text Box 1"/>
                <wp:cNvGraphicFramePr/>
                <a:graphic xmlns:a="http://schemas.openxmlformats.org/drawingml/2006/main">
                  <a:graphicData uri="http://schemas.microsoft.com/office/word/2010/wordprocessingShape">
                    <wps:wsp>
                      <wps:cNvSpPr txBox="1"/>
                      <wps:spPr>
                        <a:xfrm>
                          <a:off x="0" y="0"/>
                          <a:ext cx="560982" cy="207564"/>
                        </a:xfrm>
                        <a:prstGeom prst="rect">
                          <a:avLst/>
                        </a:prstGeom>
                        <a:solidFill>
                          <a:schemeClr val="lt1"/>
                        </a:solidFill>
                        <a:ln w="6350">
                          <a:noFill/>
                        </a:ln>
                      </wps:spPr>
                      <wps:txbx>
                        <w:txbxContent>
                          <w:p w14:paraId="61509E42" w14:textId="77777777" w:rsidR="006411CE" w:rsidRPr="00C05029" w:rsidRDefault="006411CE" w:rsidP="006411CE">
                            <w:pPr>
                              <w:rPr>
                                <w:b/>
                                <w:bCs/>
                                <w:lang w:val="en-US"/>
                              </w:rPr>
                            </w:pPr>
                            <w:r w:rsidRPr="00C05029">
                              <w:rPr>
                                <w:b/>
                                <w:bCs/>
                                <w:lang w:val="en-US"/>
                              </w:rPr>
                              <w:t>time (ms)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70CA" id="_x0000_s1030" type="#_x0000_t202" style="position:absolute;left:0;text-align:left;margin-left:374.4pt;margin-top:208.55pt;width:44.15pt;height:16.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" fillcolor="white [3201]" stroked="f" strokeweight=".5pt">
                <v:textbox inset="0,0,0,0">
                  <w:txbxContent>
                    <w:p w14:paraId="61509E42" w14:textId="77777777" w:rsidR="006411CE" w:rsidRPr="00C05029" w:rsidRDefault="006411CE" w:rsidP="006411CE">
                      <w:pPr>
                        <w:rPr>
                          <w:b/>
                          <w:bCs/>
                          <w:lang w:val="en-US"/>
                        </w:rPr>
                      </w:pPr>
                      <w:r w:rsidRPr="00C05029">
                        <w:rPr>
                          <w:b/>
                          <w:bCs/>
                          <w:lang w:val="en-US"/>
                        </w:rPr>
                        <w:t>time (ms)</w:t>
                      </w:r>
                    </w:p>
                  </w:txbxContent>
                </v:textbox>
              </v:shape>
            </w:pict>
          </mc:Fallback>
        </mc:AlternateContent>
      </w:r>
      <w:r>
        <w:rPr>
          <w:rFonts w:eastAsia="MS Mincho"/>
          <w:b/>
          <w:noProof/>
        </w:rPr>
        <mc:AlternateContent>
          <mc:Choice Requires="wps">
            <w:drawing>
              <wp:anchor distT="0" distB="0" distL="114300" distR="114300" simplePos="0" relativeHeight="251658242" behindDoc="0" locked="0" layoutInCell="1" allowOverlap="1" wp14:anchorId="495CCB71" wp14:editId="07F5935C">
                <wp:simplePos x="0" y="0"/>
                <wp:positionH relativeFrom="column">
                  <wp:posOffset>2067731</wp:posOffset>
                </wp:positionH>
                <wp:positionV relativeFrom="paragraph">
                  <wp:posOffset>29382</wp:posOffset>
                </wp:positionV>
                <wp:extent cx="2215877" cy="291711"/>
                <wp:effectExtent l="0" t="0" r="0" b="0"/>
                <wp:wrapNone/>
                <wp:docPr id="361568623" name="Text Box 1"/>
                <wp:cNvGraphicFramePr/>
                <a:graphic xmlns:a="http://schemas.openxmlformats.org/drawingml/2006/main">
                  <a:graphicData uri="http://schemas.microsoft.com/office/word/2010/wordprocessingShape">
                    <wps:wsp>
                      <wps:cNvSpPr txBox="1"/>
                      <wps:spPr>
                        <a:xfrm>
                          <a:off x="0" y="0"/>
                          <a:ext cx="2215877" cy="291711"/>
                        </a:xfrm>
                        <a:prstGeom prst="rect">
                          <a:avLst/>
                        </a:prstGeom>
                        <a:solidFill>
                          <a:schemeClr val="lt1"/>
                        </a:solidFill>
                        <a:ln w="6350">
                          <a:noFill/>
                        </a:ln>
                      </wps:spPr>
                      <wps:txbx>
                        <w:txbxContent>
                          <w:p w14:paraId="261D84AC" w14:textId="77777777" w:rsidR="006411CE" w:rsidRPr="002F577A" w:rsidRDefault="006411CE" w:rsidP="006411CE">
                            <w:pPr>
                              <w:rPr>
                                <w:lang w:val="en-US"/>
                              </w:rPr>
                            </w:pPr>
                            <w:r>
                              <w:rPr>
                                <w:lang w:val="en-US"/>
                              </w:rPr>
                              <w:t>Resultant acceleration (g) / Jerk (g/ms)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5CCB71" id="_x0000_s1031" type="#_x0000_t202" style="position:absolute;left:0;text-align:left;margin-left:162.8pt;margin-top:2.3pt;width:174.5pt;height:22.9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" fillcolor="white [3201]" stroked="f" strokeweight=".5pt">
                <v:textbox>
                  <w:txbxContent>
                    <w:p w14:paraId="261D84AC" w14:textId="77777777" w:rsidR="006411CE" w:rsidRPr="002F577A" w:rsidRDefault="006411CE" w:rsidP="006411CE">
                      <w:pPr>
                        <w:rPr>
                          <w:lang w:val="en-US"/>
                        </w:rPr>
                      </w:pPr>
                      <w:r>
                        <w:rPr>
                          <w:lang w:val="en-US"/>
                        </w:rPr>
                        <w:t>Resultant acceleration (g) / Jerk (g/ms)</w:t>
                      </w:r>
                    </w:p>
                  </w:txbxContent>
                </v:textbox>
              </v:shape>
            </w:pict>
          </mc:Fallback>
        </mc:AlternateContent>
      </w:r>
      <w:r w:rsidRPr="00F12E43">
        <w:rPr>
          <w:rFonts w:eastAsia="MS Mincho"/>
          <w:b/>
          <w:noProof/>
        </w:rPr>
        <mc:AlternateContent>
          <mc:Choice Requires="wps">
            <w:drawing>
              <wp:anchor distT="45720" distB="45720" distL="114300" distR="114300" simplePos="0" relativeHeight="251658241" behindDoc="0" locked="0" layoutInCell="1" allowOverlap="1" wp14:anchorId="7322D3B6" wp14:editId="1A20DC2A">
                <wp:simplePos x="0" y="0"/>
                <wp:positionH relativeFrom="column">
                  <wp:posOffset>3287367</wp:posOffset>
                </wp:positionH>
                <wp:positionV relativeFrom="paragraph">
                  <wp:posOffset>1810965</wp:posOffset>
                </wp:positionV>
                <wp:extent cx="1828800" cy="1404620"/>
                <wp:effectExtent l="0" t="0" r="19050" b="1397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noFill/>
                        <a:ln w="9525">
                          <a:solidFill>
                            <a:srgbClr val="000000"/>
                          </a:solidFill>
                          <a:miter lim="800000"/>
                          <a:headEnd/>
                          <a:tailEnd/>
                        </a:ln>
                      </wps:spPr>
                      <wps:txbx>
                        <w:txbxContent>
                          <w:p w14:paraId="62E1BB1B" w14:textId="77777777" w:rsidR="006411CE" w:rsidRPr="00642B7A" w:rsidRDefault="006411CE" w:rsidP="006411CE">
                            <w:pPr>
                              <w:rPr>
                                <w:lang w:val="de-CH"/>
                              </w:rPr>
                            </w:pPr>
                            <w:r w:rsidRPr="00642B7A">
                              <w:rPr>
                                <w:lang w:val="de-CH"/>
                              </w:rPr>
                              <w:t>HIC:</w:t>
                            </w:r>
                          </w:p>
                          <w:p w14:paraId="08D3DE18" w14:textId="77777777" w:rsidR="006411CE" w:rsidRPr="00642B7A" w:rsidRDefault="006411CE" w:rsidP="006411CE">
                            <w:pPr>
                              <w:rPr>
                                <w:lang w:val="de-CH"/>
                              </w:rPr>
                            </w:pPr>
                            <w:r w:rsidRPr="00642B7A">
                              <w:rPr>
                                <w:lang w:val="de-CH"/>
                              </w:rPr>
                              <w:t>min(a(t)) for 0 ms &lt; t &lt; 10 ms:</w:t>
                            </w:r>
                          </w:p>
                          <w:p w14:paraId="42FBE5AE" w14:textId="77777777" w:rsidR="006411CE" w:rsidRPr="00997CD6" w:rsidRDefault="006411CE" w:rsidP="006411CE">
                            <w:pPr>
                              <w:rPr>
                                <w:lang w:val="de-DE"/>
                              </w:rPr>
                            </w:pPr>
                            <w:r w:rsidRPr="00997CD6">
                              <w:rPr>
                                <w:lang w:val="de-DE"/>
                              </w:rPr>
                              <w:t>|min(da/dt)| for 0</w:t>
                            </w:r>
                            <w:r>
                              <w:rPr>
                                <w:lang w:val="de-DE"/>
                              </w:rPr>
                              <w:t xml:space="preserve"> </w:t>
                            </w:r>
                            <w:r w:rsidRPr="00997CD6">
                              <w:rPr>
                                <w:lang w:val="de-DE"/>
                              </w:rPr>
                              <w:t>ms</w:t>
                            </w:r>
                            <w:r>
                              <w:rPr>
                                <w:lang w:val="de-DE"/>
                              </w:rPr>
                              <w:t xml:space="preserve"> </w:t>
                            </w:r>
                            <w:r w:rsidRPr="00997CD6">
                              <w:rPr>
                                <w:lang w:val="de-DE"/>
                              </w:rPr>
                              <w:t>&lt;</w:t>
                            </w:r>
                            <w:r>
                              <w:rPr>
                                <w:lang w:val="de-DE"/>
                              </w:rPr>
                              <w:t xml:space="preserve"> </w:t>
                            </w:r>
                            <w:r w:rsidRPr="00997CD6">
                              <w:rPr>
                                <w:lang w:val="de-DE"/>
                              </w:rPr>
                              <w:t>t</w:t>
                            </w:r>
                            <w:r>
                              <w:rPr>
                                <w:lang w:val="de-DE"/>
                              </w:rPr>
                              <w:t xml:space="preserve"> </w:t>
                            </w:r>
                            <w:r w:rsidRPr="00997CD6">
                              <w:rPr>
                                <w:lang w:val="de-DE"/>
                              </w:rPr>
                              <w:t>&lt;</w:t>
                            </w:r>
                            <w:r>
                              <w:rPr>
                                <w:lang w:val="de-DE"/>
                              </w:rPr>
                              <w:t xml:space="preserve"> </w:t>
                            </w:r>
                            <w:r w:rsidRPr="00997CD6">
                              <w:rPr>
                                <w:lang w:val="de-DE"/>
                              </w:rPr>
                              <w:t>4</w:t>
                            </w:r>
                            <w:r>
                              <w:rPr>
                                <w:lang w:val="de-DE"/>
                              </w:rPr>
                              <w:t xml:space="preserve"> </w:t>
                            </w:r>
                            <w:r w:rsidRPr="00997CD6">
                              <w:rPr>
                                <w:lang w:val="de-DE"/>
                              </w:rPr>
                              <w:t>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22D3B6" id="Textfeld 2" o:spid="_x0000_s1032" type="#_x0000_t202" style="position:absolute;left:0;text-align:left;margin-left:258.85pt;margin-top:142.6pt;width:2in;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" filled="f">
                <v:textbox style="mso-fit-shape-to-text:t">
                  <w:txbxContent>
                    <w:p w14:paraId="62E1BB1B" w14:textId="77777777" w:rsidR="006411CE" w:rsidRPr="00642B7A" w:rsidRDefault="006411CE" w:rsidP="006411CE">
                      <w:pPr>
                        <w:rPr>
                          <w:lang w:val="de-CH"/>
                        </w:rPr>
                      </w:pPr>
                      <w:r w:rsidRPr="00642B7A">
                        <w:rPr>
                          <w:lang w:val="de-CH"/>
                        </w:rPr>
                        <w:t>HIC:</w:t>
                      </w:r>
                    </w:p>
                    <w:p w14:paraId="08D3DE18" w14:textId="77777777" w:rsidR="006411CE" w:rsidRPr="00642B7A" w:rsidRDefault="006411CE" w:rsidP="006411CE">
                      <w:pPr>
                        <w:rPr>
                          <w:lang w:val="de-CH"/>
                        </w:rPr>
                      </w:pPr>
                      <w:r w:rsidRPr="00642B7A">
                        <w:rPr>
                          <w:lang w:val="de-CH"/>
                        </w:rPr>
                        <w:t>min(a(t)) for 0 ms &lt; t &lt; 10 ms:</w:t>
                      </w:r>
                    </w:p>
                    <w:p w14:paraId="42FBE5AE" w14:textId="77777777" w:rsidR="006411CE" w:rsidRPr="00997CD6" w:rsidRDefault="006411CE" w:rsidP="006411CE">
                      <w:pPr>
                        <w:rPr>
                          <w:lang w:val="de-DE"/>
                        </w:rPr>
                      </w:pPr>
                      <w:r w:rsidRPr="00997CD6">
                        <w:rPr>
                          <w:lang w:val="de-DE"/>
                        </w:rPr>
                        <w:t>|min(da/dt)| for 0</w:t>
                      </w:r>
                      <w:r>
                        <w:rPr>
                          <w:lang w:val="de-DE"/>
                        </w:rPr>
                        <w:t xml:space="preserve"> </w:t>
                      </w:r>
                      <w:r w:rsidRPr="00997CD6">
                        <w:rPr>
                          <w:lang w:val="de-DE"/>
                        </w:rPr>
                        <w:t>ms</w:t>
                      </w:r>
                      <w:r>
                        <w:rPr>
                          <w:lang w:val="de-DE"/>
                        </w:rPr>
                        <w:t xml:space="preserve"> </w:t>
                      </w:r>
                      <w:r w:rsidRPr="00997CD6">
                        <w:rPr>
                          <w:lang w:val="de-DE"/>
                        </w:rPr>
                        <w:t>&lt;</w:t>
                      </w:r>
                      <w:r>
                        <w:rPr>
                          <w:lang w:val="de-DE"/>
                        </w:rPr>
                        <w:t xml:space="preserve"> </w:t>
                      </w:r>
                      <w:r w:rsidRPr="00997CD6">
                        <w:rPr>
                          <w:lang w:val="de-DE"/>
                        </w:rPr>
                        <w:t>t</w:t>
                      </w:r>
                      <w:r>
                        <w:rPr>
                          <w:lang w:val="de-DE"/>
                        </w:rPr>
                        <w:t xml:space="preserve"> </w:t>
                      </w:r>
                      <w:r w:rsidRPr="00997CD6">
                        <w:rPr>
                          <w:lang w:val="de-DE"/>
                        </w:rPr>
                        <w:t>&lt;</w:t>
                      </w:r>
                      <w:r>
                        <w:rPr>
                          <w:lang w:val="de-DE"/>
                        </w:rPr>
                        <w:t xml:space="preserve"> </w:t>
                      </w:r>
                      <w:r w:rsidRPr="00997CD6">
                        <w:rPr>
                          <w:lang w:val="de-DE"/>
                        </w:rPr>
                        <w:t>4</w:t>
                      </w:r>
                      <w:r>
                        <w:rPr>
                          <w:lang w:val="de-DE"/>
                        </w:rPr>
                        <w:t xml:space="preserve"> </w:t>
                      </w:r>
                      <w:r w:rsidRPr="00997CD6">
                        <w:rPr>
                          <w:lang w:val="de-DE"/>
                        </w:rPr>
                        <w:t>ms:</w:t>
                      </w:r>
                    </w:p>
                  </w:txbxContent>
                </v:textbox>
              </v:shape>
            </w:pict>
          </mc:Fallback>
        </mc:AlternateContent>
      </w:r>
      <w:r w:rsidRPr="00F12E43">
        <w:rPr>
          <w:rFonts w:eastAsia="MS Mincho"/>
          <w:noProof/>
        </w:rPr>
        <w:drawing>
          <wp:inline distT="0" distB="0" distL="0" distR="0" wp14:anchorId="79AAF239" wp14:editId="011026B7">
            <wp:extent cx="4653915" cy="3008668"/>
            <wp:effectExtent l="19050" t="19050" r="13335" b="20320"/>
            <wp:docPr id="3" name="Grafik 3" descr="Afbeelding met tekst, diagram, lijn,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Afbeelding met tekst, diagram, lijn, Parallel&#10;&#10;Door AI gegenereerde inhoud is mogelijk onjui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92404" cy="3033550"/>
                    </a:xfrm>
                    <a:prstGeom prst="rect">
                      <a:avLst/>
                    </a:prstGeom>
                    <a:noFill/>
                    <a:ln>
                      <a:solidFill>
                        <a:sysClr val="windowText" lastClr="000000"/>
                      </a:solidFill>
                    </a:ln>
                  </pic:spPr>
                </pic:pic>
              </a:graphicData>
            </a:graphic>
          </wp:inline>
        </w:drawing>
      </w:r>
    </w:p>
    <w:p w14:paraId="7BBE3FEA" w14:textId="77777777" w:rsidR="006411CE" w:rsidRPr="00EB70D2" w:rsidRDefault="006411CE" w:rsidP="006411CE">
      <w:pPr>
        <w:spacing w:before="120" w:after="120" w:line="240" w:lineRule="auto"/>
        <w:ind w:left="1134" w:right="1134"/>
        <w:jc w:val="both"/>
        <w:rPr>
          <w:rFonts w:eastAsia="MS Mincho"/>
          <w:b/>
          <w:bCs/>
        </w:rPr>
      </w:pPr>
      <w:r w:rsidRPr="000D397C">
        <w:rPr>
          <w:rFonts w:eastAsia="MS Mincho"/>
          <w:b/>
          <w:bCs/>
        </w:rPr>
        <w:t>Note: Both alternatives, 1 graph for each criterion or 1 graph for both criteria, are accepted.</w:t>
      </w:r>
      <w:r w:rsidRPr="00386E51">
        <w:rPr>
          <w:rFonts w:eastAsia="MS Mincho"/>
        </w:rPr>
        <w:t>”</w:t>
      </w:r>
    </w:p>
    <w:p w14:paraId="01219553" w14:textId="603DFF53" w:rsidR="00861929" w:rsidRPr="00F12E43" w:rsidRDefault="00861929" w:rsidP="00512948">
      <w:pPr>
        <w:pStyle w:val="SingleTxtG"/>
        <w:tabs>
          <w:tab w:val="clear" w:pos="1701"/>
          <w:tab w:val="clear" w:pos="2268"/>
          <w:tab w:val="clear" w:pos="2835"/>
        </w:tabs>
        <w:ind w:left="2268" w:hanging="1134"/>
        <w:rPr>
          <w:rFonts w:eastAsia="MS Mincho"/>
        </w:rPr>
      </w:pPr>
      <w:r w:rsidRPr="00F12E43">
        <w:rPr>
          <w:rFonts w:eastAsia="MS Mincho"/>
          <w:i/>
        </w:rPr>
        <w:t xml:space="preserve">Annex 5, </w:t>
      </w:r>
      <w:r w:rsidR="00A42830">
        <w:rPr>
          <w:rFonts w:eastAsia="MS Mincho"/>
          <w:i/>
        </w:rPr>
        <w:t>p</w:t>
      </w:r>
      <w:r w:rsidRPr="00F12E43">
        <w:rPr>
          <w:rFonts w:eastAsia="MS Mincho"/>
          <w:i/>
        </w:rPr>
        <w:t>aragraph 5.1.</w:t>
      </w:r>
      <w:r w:rsidRPr="00F12E43">
        <w:rPr>
          <w:rFonts w:eastAsia="MS Mincho"/>
          <w:i/>
          <w:iCs/>
        </w:rPr>
        <w:t xml:space="preserve">, </w:t>
      </w:r>
      <w:r w:rsidRPr="00F12E43">
        <w:rPr>
          <w:rFonts w:eastAsia="MS Mincho"/>
        </w:rPr>
        <w:t>amend to read:</w:t>
      </w:r>
    </w:p>
    <w:p w14:paraId="006A3FFD" w14:textId="1E8E4C12" w:rsidR="00861929" w:rsidRPr="00EC3290" w:rsidRDefault="00861929" w:rsidP="00512948">
      <w:pPr>
        <w:pStyle w:val="SingleTxtG"/>
        <w:tabs>
          <w:tab w:val="clear" w:pos="1701"/>
          <w:tab w:val="clear" w:pos="2268"/>
          <w:tab w:val="clear" w:pos="2835"/>
        </w:tabs>
        <w:ind w:left="2268" w:hanging="1134"/>
        <w:rPr>
          <w:b/>
          <w:bCs/>
        </w:rPr>
      </w:pPr>
      <w:r w:rsidRPr="00F12E43">
        <w:rPr>
          <w:rFonts w:eastAsia="MS Mincho"/>
        </w:rPr>
        <w:t xml:space="preserve">“5.1. </w:t>
      </w:r>
      <w:r w:rsidRPr="00F12E43">
        <w:rPr>
          <w:rFonts w:eastAsia="MS Mincho"/>
        </w:rPr>
        <w:tab/>
        <w:t>Tests shall be made to the front structure within the boundaries as defined in paragraph 2.1. of this UN Regulation. Test</w:t>
      </w:r>
      <w:r w:rsidRPr="00F12E43">
        <w:rPr>
          <w:rFonts w:eastAsia="MS Mincho"/>
          <w:b/>
          <w:bCs/>
        </w:rPr>
        <w:t>s</w:t>
      </w:r>
      <w:r w:rsidRPr="00F12E43">
        <w:rPr>
          <w:rFonts w:eastAsia="MS Mincho"/>
        </w:rPr>
        <w:t xml:space="preserve"> shall also be made to the windscreen within the boundaries as defined in paragraph 2.44. </w:t>
      </w:r>
      <w:r w:rsidRPr="00F12E43">
        <w:rPr>
          <w:rFonts w:eastAsia="MS Mincho"/>
          <w:b/>
        </w:rPr>
        <w:t>For all tests to the windscreen, resultant acceleration versus time and jerk (derivation of the resultant acceleration) versus time histories must be provided and evaluated against the atypical fracture criteria according to paragraph 2.48</w:t>
      </w:r>
      <w:r w:rsidR="00F86405">
        <w:rPr>
          <w:rFonts w:eastAsia="MS Mincho"/>
          <w:b/>
        </w:rPr>
        <w:t>.</w:t>
      </w:r>
      <w:r w:rsidRPr="00F12E43">
        <w:rPr>
          <w:rFonts w:eastAsia="MS Mincho"/>
          <w:b/>
        </w:rPr>
        <w:t xml:space="preserve"> (see Figure 6) and reported for monitoring purposes according to paragraphs 4.8</w:t>
      </w:r>
      <w:r w:rsidR="00CC4357">
        <w:rPr>
          <w:rFonts w:eastAsia="MS Mincho"/>
          <w:b/>
        </w:rPr>
        <w:t>.</w:t>
      </w:r>
      <w:r w:rsidRPr="00F12E43">
        <w:rPr>
          <w:rFonts w:eastAsia="MS Mincho"/>
          <w:b/>
        </w:rPr>
        <w:t xml:space="preserve"> to 4.10.</w:t>
      </w:r>
      <w:r w:rsidRPr="00F12E43">
        <w:rPr>
          <w:rFonts w:eastAsia="MS Mincho"/>
        </w:rPr>
        <w:t xml:space="preserve"> For tests at the rear of the bonnet top, the headform impactor shall not contact the windscreen or A-pillar before impacting the bonnet top. For the tests on the windscreen, the headform impactor shall not </w:t>
      </w:r>
      <w:r w:rsidRPr="00F12E43">
        <w:rPr>
          <w:rFonts w:eastAsia="MS Mincho"/>
        </w:rPr>
        <w:lastRenderedPageBreak/>
        <w:t>directly contact the A-pillars, windscreen header and cowl, except in the case of monitoring testing.”</w:t>
      </w:r>
    </w:p>
    <w:p w14:paraId="4200B290" w14:textId="7AC3CD79" w:rsidR="00861929" w:rsidRPr="00B2395E" w:rsidRDefault="00B2395E" w:rsidP="00861929">
      <w:pPr>
        <w:pStyle w:val="HChG"/>
      </w:pPr>
      <w:r>
        <w:tab/>
      </w:r>
      <w:r w:rsidR="00861929" w:rsidRPr="00B2395E">
        <w:t>II.</w:t>
      </w:r>
      <w:r w:rsidR="00861929" w:rsidRPr="00B2395E">
        <w:tab/>
      </w:r>
      <w:r w:rsidR="00861929" w:rsidRPr="0079666C">
        <w:t>Justification</w:t>
      </w:r>
    </w:p>
    <w:p w14:paraId="313B3B9E" w14:textId="54090ED4" w:rsidR="00E64E10" w:rsidRDefault="00861929" w:rsidP="00E64E10">
      <w:pPr>
        <w:pStyle w:val="SingleTxtG"/>
      </w:pPr>
      <w:r w:rsidRPr="00E64E10">
        <w:t>1.</w:t>
      </w:r>
      <w:r w:rsidRPr="00E64E10">
        <w:tab/>
        <w:t>Paragraph 2.48</w:t>
      </w:r>
      <w:r w:rsidR="00CC4357">
        <w:t>.</w:t>
      </w:r>
      <w:r w:rsidRPr="00E64E10">
        <w:t xml:space="preserve"> of the 03 series of amendments to UN Regulation No. 127 contains the definition for atypical windscreen fracture behaviour. A clarification is needed that the resultant acceleration of all three axes (x, y and z) is referred to in this definition. </w:t>
      </w:r>
      <w:proofErr w:type="gramStart"/>
      <w:r w:rsidRPr="00E64E10">
        <w:t>Also</w:t>
      </w:r>
      <w:proofErr w:type="gramEnd"/>
      <w:r w:rsidRPr="00E64E10">
        <w:t xml:space="preserve"> it is clarified that all three alternatives are allowed: </w:t>
      </w:r>
    </w:p>
    <w:p w14:paraId="1CB8660D" w14:textId="77777777" w:rsidR="00E64E10" w:rsidRDefault="00861929" w:rsidP="00B52880">
      <w:pPr>
        <w:pStyle w:val="SingleTxtG"/>
        <w:ind w:left="1701"/>
      </w:pPr>
      <w:r w:rsidRPr="00E64E10">
        <w:t>- a) only</w:t>
      </w:r>
    </w:p>
    <w:p w14:paraId="45E4DE5E" w14:textId="77777777" w:rsidR="00E64E10" w:rsidRDefault="00861929" w:rsidP="00B52880">
      <w:pPr>
        <w:pStyle w:val="SingleTxtG"/>
        <w:ind w:left="1701"/>
      </w:pPr>
      <w:r w:rsidRPr="00E64E10">
        <w:t>- b) only</w:t>
      </w:r>
    </w:p>
    <w:p w14:paraId="2FCF1354" w14:textId="6A65290E" w:rsidR="00861929" w:rsidRPr="00E64E10" w:rsidRDefault="00861929" w:rsidP="00B52880">
      <w:pPr>
        <w:pStyle w:val="SingleTxtG"/>
        <w:ind w:left="1701"/>
      </w:pPr>
      <w:r w:rsidRPr="00E64E10">
        <w:t>- both a) and b).</w:t>
      </w:r>
    </w:p>
    <w:p w14:paraId="2D9AD0B0" w14:textId="3568D152" w:rsidR="001C6663" w:rsidRDefault="00861929" w:rsidP="006B7B11">
      <w:pPr>
        <w:pStyle w:val="SingleTxtG"/>
      </w:pPr>
      <w:r w:rsidRPr="00E64E10">
        <w:t>2.</w:t>
      </w:r>
      <w:r w:rsidRPr="00E64E10">
        <w:tab/>
        <w:t>Paragraphs 4.8</w:t>
      </w:r>
      <w:r w:rsidR="00CC4357">
        <w:t>.</w:t>
      </w:r>
      <w:r w:rsidRPr="00E64E10">
        <w:t xml:space="preserve"> and 5.8</w:t>
      </w:r>
      <w:r w:rsidR="00CC4357">
        <w:t>.</w:t>
      </w:r>
      <w:r w:rsidRPr="00E64E10">
        <w:t xml:space="preserve"> of annex 5 of the 03 series of amendments to UN Regulation No. 127 prescribe tests with atypical windscreen fracture to be duly recorded in the test report. However, since atypical behaviour during windscreen tests meeting the performance criteria may not be detected, provisions are needed as a guideline of the scope of data that must always be provided during the </w:t>
      </w:r>
      <w:proofErr w:type="gramStart"/>
      <w:r w:rsidRPr="00E64E10">
        <w:t>type</w:t>
      </w:r>
      <w:proofErr w:type="gramEnd"/>
      <w:r w:rsidRPr="00E64E10">
        <w:t xml:space="preserve"> approval procedure.</w:t>
      </w:r>
    </w:p>
    <w:p w14:paraId="48DF0B0E" w14:textId="3286CAFF" w:rsidR="00A27839" w:rsidRPr="002A318B" w:rsidRDefault="006B7B11" w:rsidP="002A318B">
      <w:pPr>
        <w:spacing w:before="240"/>
        <w:jc w:val="center"/>
        <w:rPr>
          <w:u w:val="single"/>
        </w:rPr>
      </w:pPr>
      <w:r>
        <w:rPr>
          <w:u w:val="single"/>
        </w:rPr>
        <w:tab/>
      </w:r>
      <w:r>
        <w:rPr>
          <w:u w:val="single"/>
        </w:rPr>
        <w:tab/>
      </w:r>
      <w:r>
        <w:rPr>
          <w:u w:val="single"/>
        </w:rPr>
        <w:tab/>
      </w:r>
    </w:p>
    <w:sectPr w:rsidR="00A27839" w:rsidRPr="002A318B" w:rsidSect="00FD2695">
      <w:headerReference w:type="even" r:id="rId17"/>
      <w:headerReference w:type="default" r:id="rId18"/>
      <w:footerReference w:type="even" r:id="rId19"/>
      <w:footerReference w:type="default" r:id="rId20"/>
      <w:footerReference w:type="first" r:id="rId21"/>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1D85" w14:textId="77777777" w:rsidR="007B2153" w:rsidRDefault="007B2153"/>
  </w:endnote>
  <w:endnote w:type="continuationSeparator" w:id="0">
    <w:p w14:paraId="1F0F12BB" w14:textId="77777777" w:rsidR="007B2153" w:rsidRDefault="007B2153"/>
  </w:endnote>
  <w:endnote w:type="continuationNotice" w:id="1">
    <w:p w14:paraId="772371CD" w14:textId="77777777" w:rsidR="007B2153" w:rsidRDefault="007B2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2274" w14:textId="7BB15A48" w:rsidR="00FD2695" w:rsidRPr="00FD2695" w:rsidRDefault="00FD2695" w:rsidP="00FD2695">
    <w:pPr>
      <w:pStyle w:val="Footer"/>
      <w:tabs>
        <w:tab w:val="right" w:pos="9638"/>
      </w:tabs>
      <w:rPr>
        <w:sz w:val="18"/>
      </w:rPr>
    </w:pPr>
    <w:r w:rsidRPr="00FD2695">
      <w:rPr>
        <w:b/>
        <w:sz w:val="18"/>
      </w:rPr>
      <w:fldChar w:fldCharType="begin"/>
    </w:r>
    <w:r w:rsidRPr="00FD2695">
      <w:rPr>
        <w:b/>
        <w:sz w:val="18"/>
      </w:rPr>
      <w:instrText xml:space="preserve"> PAGE  \* MERGEFORMAT </w:instrText>
    </w:r>
    <w:r w:rsidRPr="00FD2695">
      <w:rPr>
        <w:b/>
        <w:sz w:val="18"/>
      </w:rPr>
      <w:fldChar w:fldCharType="separate"/>
    </w:r>
    <w:r w:rsidRPr="00FD2695">
      <w:rPr>
        <w:b/>
        <w:noProof/>
        <w:sz w:val="18"/>
      </w:rPr>
      <w:t>2</w:t>
    </w:r>
    <w:r w:rsidRPr="00FD2695">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DE59" w14:textId="1123D1F6" w:rsidR="00FD2695" w:rsidRPr="00FD2695" w:rsidRDefault="00FD2695" w:rsidP="00FD2695">
    <w:pPr>
      <w:pStyle w:val="Footer"/>
      <w:tabs>
        <w:tab w:val="right" w:pos="9638"/>
      </w:tabs>
      <w:rPr>
        <w:b/>
        <w:sz w:val="18"/>
      </w:rPr>
    </w:pPr>
    <w:r>
      <w:tab/>
    </w:r>
    <w:r w:rsidRPr="00FD2695">
      <w:rPr>
        <w:b/>
        <w:sz w:val="18"/>
      </w:rPr>
      <w:fldChar w:fldCharType="begin"/>
    </w:r>
    <w:r w:rsidRPr="00FD2695">
      <w:rPr>
        <w:b/>
        <w:sz w:val="18"/>
      </w:rPr>
      <w:instrText xml:space="preserve"> PAGE  \* MERGEFORMAT </w:instrText>
    </w:r>
    <w:r w:rsidRPr="00FD2695">
      <w:rPr>
        <w:b/>
        <w:sz w:val="18"/>
      </w:rPr>
      <w:fldChar w:fldCharType="separate"/>
    </w:r>
    <w:r w:rsidRPr="00FD2695">
      <w:rPr>
        <w:b/>
        <w:noProof/>
        <w:sz w:val="18"/>
      </w:rPr>
      <w:t>3</w:t>
    </w:r>
    <w:r w:rsidRPr="00FD2695">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0FB2" w14:textId="5C3019FA" w:rsidR="00642B7A" w:rsidRDefault="00642B7A" w:rsidP="00642B7A">
    <w:pPr>
      <w:pStyle w:val="Footer"/>
    </w:pPr>
    <w:r w:rsidRPr="0027112F">
      <w:rPr>
        <w:noProof/>
        <w:lang w:val="en-US"/>
      </w:rPr>
      <w:drawing>
        <wp:anchor distT="0" distB="0" distL="114300" distR="114300" simplePos="0" relativeHeight="251659264" behindDoc="0" locked="1" layoutInCell="1" allowOverlap="1" wp14:anchorId="3C617BB0" wp14:editId="02D2F00C">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B6F5B85" w14:textId="5D052103" w:rsidR="00642B7A" w:rsidRPr="00642B7A" w:rsidRDefault="00642B7A" w:rsidP="00642B7A">
    <w:pPr>
      <w:pStyle w:val="Footer"/>
      <w:ind w:right="1134"/>
      <w:rPr>
        <w:sz w:val="20"/>
      </w:rPr>
    </w:pPr>
    <w:r>
      <w:rPr>
        <w:sz w:val="20"/>
      </w:rPr>
      <w:t>GE.25-</w:t>
    </w:r>
    <w:proofErr w:type="gramStart"/>
    <w:r>
      <w:rPr>
        <w:sz w:val="20"/>
      </w:rPr>
      <w:t>14985  (</w:t>
    </w:r>
    <w:proofErr w:type="gramEnd"/>
    <w:r>
      <w:rPr>
        <w:sz w:val="20"/>
      </w:rPr>
      <w:t>E)</w:t>
    </w:r>
    <w:r>
      <w:rPr>
        <w:noProof/>
        <w:sz w:val="20"/>
      </w:rPr>
      <w:drawing>
        <wp:anchor distT="0" distB="0" distL="114300" distR="114300" simplePos="0" relativeHeight="251660288" behindDoc="0" locked="0" layoutInCell="1" allowOverlap="1" wp14:anchorId="73C80D30" wp14:editId="25184F89">
          <wp:simplePos x="0" y="0"/>
          <wp:positionH relativeFrom="margin">
            <wp:posOffset>5583555</wp:posOffset>
          </wp:positionH>
          <wp:positionV relativeFrom="margin">
            <wp:posOffset>8981440</wp:posOffset>
          </wp:positionV>
          <wp:extent cx="571500" cy="571500"/>
          <wp:effectExtent l="0" t="0" r="0" b="0"/>
          <wp:wrapNone/>
          <wp:docPr id="1686744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89D2" w14:textId="77777777" w:rsidR="007B2153" w:rsidRPr="000B175B" w:rsidRDefault="007B2153" w:rsidP="000B175B">
      <w:pPr>
        <w:tabs>
          <w:tab w:val="right" w:pos="2155"/>
        </w:tabs>
        <w:spacing w:after="80"/>
        <w:ind w:left="680"/>
        <w:rPr>
          <w:u w:val="single"/>
        </w:rPr>
      </w:pPr>
      <w:r>
        <w:rPr>
          <w:u w:val="single"/>
        </w:rPr>
        <w:tab/>
      </w:r>
    </w:p>
  </w:footnote>
  <w:footnote w:type="continuationSeparator" w:id="0">
    <w:p w14:paraId="4D82C160" w14:textId="77777777" w:rsidR="007B2153" w:rsidRPr="00FC68B7" w:rsidRDefault="007B2153" w:rsidP="00FC68B7">
      <w:pPr>
        <w:tabs>
          <w:tab w:val="left" w:pos="2155"/>
        </w:tabs>
        <w:spacing w:after="80"/>
        <w:ind w:left="680"/>
        <w:rPr>
          <w:u w:val="single"/>
        </w:rPr>
      </w:pPr>
      <w:r>
        <w:rPr>
          <w:u w:val="single"/>
        </w:rPr>
        <w:tab/>
      </w:r>
    </w:p>
  </w:footnote>
  <w:footnote w:type="continuationNotice" w:id="1">
    <w:p w14:paraId="6382E2FC" w14:textId="77777777" w:rsidR="007B2153" w:rsidRDefault="007B2153"/>
  </w:footnote>
  <w:footnote w:id="2">
    <w:p w14:paraId="5C70DEB7" w14:textId="77777777" w:rsidR="00FF5750" w:rsidRPr="00122355" w:rsidRDefault="00FF5750" w:rsidP="00FF5750">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34ED" w14:textId="450A9749" w:rsidR="00FD2695" w:rsidRPr="00FD2695" w:rsidRDefault="00E63C05">
    <w:pPr>
      <w:pStyle w:val="Header"/>
    </w:pPr>
    <w:fldSimple w:instr=" TITLE  \* MERGEFORMAT ">
      <w:r>
        <w:t>ECE/TRANS/WP.29/GRSP/2025/29</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7E61" w14:textId="2AFC66CB" w:rsidR="00FD2695" w:rsidRPr="00FD2695" w:rsidRDefault="00E63C05" w:rsidP="00FD2695">
    <w:pPr>
      <w:pStyle w:val="Header"/>
      <w:jc w:val="right"/>
    </w:pPr>
    <w:fldSimple w:instr=" TITLE  \* MERGEFORMAT ">
      <w:r>
        <w:t>ECE/TRANS/WP.29/GRSP/2025/29</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27A1DA1"/>
    <w:multiLevelType w:val="hybridMultilevel"/>
    <w:tmpl w:val="C9403928"/>
    <w:lvl w:ilvl="0" w:tplc="81DA15B2">
      <w:start w:val="1"/>
      <w:numFmt w:val="lowerLetter"/>
      <w:lvlText w:val="(%1)"/>
      <w:lvlJc w:val="left"/>
      <w:pPr>
        <w:ind w:left="2832" w:hanging="705"/>
      </w:pPr>
      <w:rPr>
        <w:rFonts w:hint="default"/>
      </w:rPr>
    </w:lvl>
    <w:lvl w:ilvl="1" w:tplc="04070019" w:tentative="1">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09230962">
    <w:abstractNumId w:val="1"/>
  </w:num>
  <w:num w:numId="2" w16cid:durableId="1795951496">
    <w:abstractNumId w:val="0"/>
  </w:num>
  <w:num w:numId="3" w16cid:durableId="368382121">
    <w:abstractNumId w:val="2"/>
  </w:num>
  <w:num w:numId="4" w16cid:durableId="1246497140">
    <w:abstractNumId w:val="3"/>
  </w:num>
  <w:num w:numId="5" w16cid:durableId="1617172790">
    <w:abstractNumId w:val="8"/>
  </w:num>
  <w:num w:numId="6" w16cid:durableId="1277756679">
    <w:abstractNumId w:val="9"/>
  </w:num>
  <w:num w:numId="7" w16cid:durableId="1292050025">
    <w:abstractNumId w:val="7"/>
  </w:num>
  <w:num w:numId="8" w16cid:durableId="2020423981">
    <w:abstractNumId w:val="6"/>
  </w:num>
  <w:num w:numId="9" w16cid:durableId="798767227">
    <w:abstractNumId w:val="5"/>
  </w:num>
  <w:num w:numId="10" w16cid:durableId="1761097325">
    <w:abstractNumId w:val="4"/>
  </w:num>
  <w:num w:numId="11" w16cid:durableId="1649749795">
    <w:abstractNumId w:val="15"/>
  </w:num>
  <w:num w:numId="12" w16cid:durableId="292298974">
    <w:abstractNumId w:val="14"/>
  </w:num>
  <w:num w:numId="13" w16cid:durableId="435487254">
    <w:abstractNumId w:val="10"/>
  </w:num>
  <w:num w:numId="14" w16cid:durableId="1908756470">
    <w:abstractNumId w:val="12"/>
  </w:num>
  <w:num w:numId="15" w16cid:durableId="434834207">
    <w:abstractNumId w:val="16"/>
  </w:num>
  <w:num w:numId="16" w16cid:durableId="609243546">
    <w:abstractNumId w:val="13"/>
  </w:num>
  <w:num w:numId="17" w16cid:durableId="908617356">
    <w:abstractNumId w:val="18"/>
  </w:num>
  <w:num w:numId="18" w16cid:durableId="1455638003">
    <w:abstractNumId w:val="19"/>
  </w:num>
  <w:num w:numId="19" w16cid:durableId="705329246">
    <w:abstractNumId w:val="11"/>
  </w:num>
  <w:num w:numId="20" w16cid:durableId="85938932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95"/>
    <w:rsid w:val="00002A7D"/>
    <w:rsid w:val="000038A8"/>
    <w:rsid w:val="00005DF3"/>
    <w:rsid w:val="00006790"/>
    <w:rsid w:val="00024AC6"/>
    <w:rsid w:val="00027624"/>
    <w:rsid w:val="00030DB6"/>
    <w:rsid w:val="00050F6B"/>
    <w:rsid w:val="000678CD"/>
    <w:rsid w:val="00072C8C"/>
    <w:rsid w:val="00081CE0"/>
    <w:rsid w:val="00084D30"/>
    <w:rsid w:val="00090320"/>
    <w:rsid w:val="000931C0"/>
    <w:rsid w:val="00097003"/>
    <w:rsid w:val="000A2E09"/>
    <w:rsid w:val="000B175B"/>
    <w:rsid w:val="000B3A0F"/>
    <w:rsid w:val="000E0415"/>
    <w:rsid w:val="000F7715"/>
    <w:rsid w:val="00121F50"/>
    <w:rsid w:val="00155BC2"/>
    <w:rsid w:val="00156B99"/>
    <w:rsid w:val="00166124"/>
    <w:rsid w:val="00184DDA"/>
    <w:rsid w:val="001900CD"/>
    <w:rsid w:val="001A0452"/>
    <w:rsid w:val="001B4B04"/>
    <w:rsid w:val="001B5875"/>
    <w:rsid w:val="001C1E51"/>
    <w:rsid w:val="001C4B9C"/>
    <w:rsid w:val="001C6663"/>
    <w:rsid w:val="001C7895"/>
    <w:rsid w:val="001D26DF"/>
    <w:rsid w:val="001D30A0"/>
    <w:rsid w:val="001D3F4B"/>
    <w:rsid w:val="001F1599"/>
    <w:rsid w:val="001F19C4"/>
    <w:rsid w:val="002043F0"/>
    <w:rsid w:val="00211E0B"/>
    <w:rsid w:val="00221FBC"/>
    <w:rsid w:val="00232575"/>
    <w:rsid w:val="00247258"/>
    <w:rsid w:val="0024728F"/>
    <w:rsid w:val="00257CAC"/>
    <w:rsid w:val="0027237A"/>
    <w:rsid w:val="002974E9"/>
    <w:rsid w:val="002A306B"/>
    <w:rsid w:val="002A318B"/>
    <w:rsid w:val="002A7F94"/>
    <w:rsid w:val="002B109A"/>
    <w:rsid w:val="002C6D45"/>
    <w:rsid w:val="002D3394"/>
    <w:rsid w:val="002D6E53"/>
    <w:rsid w:val="002F046D"/>
    <w:rsid w:val="002F3023"/>
    <w:rsid w:val="00301764"/>
    <w:rsid w:val="003127CA"/>
    <w:rsid w:val="003229D8"/>
    <w:rsid w:val="00336C97"/>
    <w:rsid w:val="00337F88"/>
    <w:rsid w:val="00342432"/>
    <w:rsid w:val="00347CAD"/>
    <w:rsid w:val="0035223F"/>
    <w:rsid w:val="00352D4B"/>
    <w:rsid w:val="0035638C"/>
    <w:rsid w:val="003A46BB"/>
    <w:rsid w:val="003A4EC7"/>
    <w:rsid w:val="003A7295"/>
    <w:rsid w:val="003B1F60"/>
    <w:rsid w:val="003C2CC4"/>
    <w:rsid w:val="003D4B23"/>
    <w:rsid w:val="003E278A"/>
    <w:rsid w:val="003E7892"/>
    <w:rsid w:val="00413520"/>
    <w:rsid w:val="004325CB"/>
    <w:rsid w:val="00440A07"/>
    <w:rsid w:val="00440F11"/>
    <w:rsid w:val="00462880"/>
    <w:rsid w:val="004647F2"/>
    <w:rsid w:val="00476A9A"/>
    <w:rsid w:val="00476F24"/>
    <w:rsid w:val="004A5D33"/>
    <w:rsid w:val="004B1119"/>
    <w:rsid w:val="004B2AAE"/>
    <w:rsid w:val="004C226D"/>
    <w:rsid w:val="004C3E7F"/>
    <w:rsid w:val="004C55B0"/>
    <w:rsid w:val="004F325F"/>
    <w:rsid w:val="004F6BA0"/>
    <w:rsid w:val="00503BEA"/>
    <w:rsid w:val="00512948"/>
    <w:rsid w:val="00517EE8"/>
    <w:rsid w:val="00533616"/>
    <w:rsid w:val="00535ABA"/>
    <w:rsid w:val="0053768B"/>
    <w:rsid w:val="005420F2"/>
    <w:rsid w:val="0054285C"/>
    <w:rsid w:val="00555E14"/>
    <w:rsid w:val="00584173"/>
    <w:rsid w:val="00595520"/>
    <w:rsid w:val="005A44B9"/>
    <w:rsid w:val="005B1BA0"/>
    <w:rsid w:val="005B3DB3"/>
    <w:rsid w:val="005C0268"/>
    <w:rsid w:val="005D15CA"/>
    <w:rsid w:val="005D4358"/>
    <w:rsid w:val="005F08DF"/>
    <w:rsid w:val="005F3066"/>
    <w:rsid w:val="005F3E61"/>
    <w:rsid w:val="005F63A9"/>
    <w:rsid w:val="00604DDD"/>
    <w:rsid w:val="00605DDC"/>
    <w:rsid w:val="006107D6"/>
    <w:rsid w:val="006115CC"/>
    <w:rsid w:val="00611FC4"/>
    <w:rsid w:val="00617226"/>
    <w:rsid w:val="006176FB"/>
    <w:rsid w:val="00630FCB"/>
    <w:rsid w:val="00640B26"/>
    <w:rsid w:val="006411CE"/>
    <w:rsid w:val="00642B7A"/>
    <w:rsid w:val="0065766B"/>
    <w:rsid w:val="0066453E"/>
    <w:rsid w:val="006770B2"/>
    <w:rsid w:val="0068446F"/>
    <w:rsid w:val="00686A48"/>
    <w:rsid w:val="0068763C"/>
    <w:rsid w:val="006940E1"/>
    <w:rsid w:val="006A3C72"/>
    <w:rsid w:val="006A7392"/>
    <w:rsid w:val="006B03A1"/>
    <w:rsid w:val="006B67D9"/>
    <w:rsid w:val="006B7B11"/>
    <w:rsid w:val="006C5535"/>
    <w:rsid w:val="006D0589"/>
    <w:rsid w:val="006E564B"/>
    <w:rsid w:val="006E7154"/>
    <w:rsid w:val="007003CD"/>
    <w:rsid w:val="0070701E"/>
    <w:rsid w:val="0072632A"/>
    <w:rsid w:val="007358E8"/>
    <w:rsid w:val="00736ECE"/>
    <w:rsid w:val="0074533B"/>
    <w:rsid w:val="007476C9"/>
    <w:rsid w:val="007643BC"/>
    <w:rsid w:val="00780C68"/>
    <w:rsid w:val="007959FE"/>
    <w:rsid w:val="007A0CF1"/>
    <w:rsid w:val="007A658F"/>
    <w:rsid w:val="007B2153"/>
    <w:rsid w:val="007B6BA5"/>
    <w:rsid w:val="007C3390"/>
    <w:rsid w:val="007C42D8"/>
    <w:rsid w:val="007C4F4B"/>
    <w:rsid w:val="007D57D6"/>
    <w:rsid w:val="007D6F65"/>
    <w:rsid w:val="007D7362"/>
    <w:rsid w:val="007F5CE2"/>
    <w:rsid w:val="007F6611"/>
    <w:rsid w:val="00810BAC"/>
    <w:rsid w:val="00814C29"/>
    <w:rsid w:val="008175E9"/>
    <w:rsid w:val="008242D7"/>
    <w:rsid w:val="0082577B"/>
    <w:rsid w:val="00825CB5"/>
    <w:rsid w:val="00861929"/>
    <w:rsid w:val="00866893"/>
    <w:rsid w:val="00866F02"/>
    <w:rsid w:val="00867D18"/>
    <w:rsid w:val="00871F9A"/>
    <w:rsid w:val="00871FD5"/>
    <w:rsid w:val="0088172E"/>
    <w:rsid w:val="00881EFA"/>
    <w:rsid w:val="00885ABE"/>
    <w:rsid w:val="008879CB"/>
    <w:rsid w:val="00891D90"/>
    <w:rsid w:val="008979B1"/>
    <w:rsid w:val="008A3BFE"/>
    <w:rsid w:val="008A6B25"/>
    <w:rsid w:val="008A6C4F"/>
    <w:rsid w:val="008B389E"/>
    <w:rsid w:val="008C27AB"/>
    <w:rsid w:val="008C37E8"/>
    <w:rsid w:val="008D045E"/>
    <w:rsid w:val="008D3F25"/>
    <w:rsid w:val="008D4D82"/>
    <w:rsid w:val="008D7313"/>
    <w:rsid w:val="008E0E46"/>
    <w:rsid w:val="008E7116"/>
    <w:rsid w:val="008F143B"/>
    <w:rsid w:val="008F3882"/>
    <w:rsid w:val="008F4B7C"/>
    <w:rsid w:val="00900E88"/>
    <w:rsid w:val="0092556A"/>
    <w:rsid w:val="00926E47"/>
    <w:rsid w:val="0093087E"/>
    <w:rsid w:val="00947162"/>
    <w:rsid w:val="009610D0"/>
    <w:rsid w:val="0096375C"/>
    <w:rsid w:val="009662E6"/>
    <w:rsid w:val="0097095E"/>
    <w:rsid w:val="0098592B"/>
    <w:rsid w:val="00985FC4"/>
    <w:rsid w:val="00990766"/>
    <w:rsid w:val="00991261"/>
    <w:rsid w:val="009964C4"/>
    <w:rsid w:val="009A7B81"/>
    <w:rsid w:val="009B011B"/>
    <w:rsid w:val="009B7EB7"/>
    <w:rsid w:val="009D01C0"/>
    <w:rsid w:val="009D6A08"/>
    <w:rsid w:val="009E0A16"/>
    <w:rsid w:val="009E6CB7"/>
    <w:rsid w:val="009E7970"/>
    <w:rsid w:val="009F204F"/>
    <w:rsid w:val="009F2EAC"/>
    <w:rsid w:val="009F57E3"/>
    <w:rsid w:val="00A027B5"/>
    <w:rsid w:val="00A077A2"/>
    <w:rsid w:val="00A10F4F"/>
    <w:rsid w:val="00A11067"/>
    <w:rsid w:val="00A1704A"/>
    <w:rsid w:val="00A27839"/>
    <w:rsid w:val="00A36AC2"/>
    <w:rsid w:val="00A425EB"/>
    <w:rsid w:val="00A42830"/>
    <w:rsid w:val="00A44E52"/>
    <w:rsid w:val="00A72F22"/>
    <w:rsid w:val="00A733BC"/>
    <w:rsid w:val="00A748A6"/>
    <w:rsid w:val="00A76A69"/>
    <w:rsid w:val="00A879A4"/>
    <w:rsid w:val="00AA0FF8"/>
    <w:rsid w:val="00AC0F2C"/>
    <w:rsid w:val="00AC502A"/>
    <w:rsid w:val="00AE1E26"/>
    <w:rsid w:val="00AF58C1"/>
    <w:rsid w:val="00B04A3F"/>
    <w:rsid w:val="00B06643"/>
    <w:rsid w:val="00B15055"/>
    <w:rsid w:val="00B20551"/>
    <w:rsid w:val="00B2395E"/>
    <w:rsid w:val="00B30179"/>
    <w:rsid w:val="00B31E0B"/>
    <w:rsid w:val="00B33FC7"/>
    <w:rsid w:val="00B340C7"/>
    <w:rsid w:val="00B37B15"/>
    <w:rsid w:val="00B4162A"/>
    <w:rsid w:val="00B45C02"/>
    <w:rsid w:val="00B52880"/>
    <w:rsid w:val="00B6115D"/>
    <w:rsid w:val="00B641AB"/>
    <w:rsid w:val="00B70B63"/>
    <w:rsid w:val="00B72A1E"/>
    <w:rsid w:val="00B81E12"/>
    <w:rsid w:val="00B8735E"/>
    <w:rsid w:val="00BA339B"/>
    <w:rsid w:val="00BA61D3"/>
    <w:rsid w:val="00BB23CC"/>
    <w:rsid w:val="00BB7474"/>
    <w:rsid w:val="00BC1E7E"/>
    <w:rsid w:val="00BC74E9"/>
    <w:rsid w:val="00BD577A"/>
    <w:rsid w:val="00BE36A9"/>
    <w:rsid w:val="00BE618E"/>
    <w:rsid w:val="00BE7BEC"/>
    <w:rsid w:val="00BF0A5A"/>
    <w:rsid w:val="00BF0E63"/>
    <w:rsid w:val="00BF12A3"/>
    <w:rsid w:val="00BF16D7"/>
    <w:rsid w:val="00BF2373"/>
    <w:rsid w:val="00BF279B"/>
    <w:rsid w:val="00BF67B7"/>
    <w:rsid w:val="00C044E2"/>
    <w:rsid w:val="00C048CB"/>
    <w:rsid w:val="00C066F3"/>
    <w:rsid w:val="00C12DA0"/>
    <w:rsid w:val="00C21184"/>
    <w:rsid w:val="00C463DD"/>
    <w:rsid w:val="00C745C3"/>
    <w:rsid w:val="00C978F5"/>
    <w:rsid w:val="00CA24A4"/>
    <w:rsid w:val="00CB348D"/>
    <w:rsid w:val="00CB37FE"/>
    <w:rsid w:val="00CC4357"/>
    <w:rsid w:val="00CD46F5"/>
    <w:rsid w:val="00CE4A8F"/>
    <w:rsid w:val="00CF071D"/>
    <w:rsid w:val="00D0123D"/>
    <w:rsid w:val="00D15B04"/>
    <w:rsid w:val="00D2031B"/>
    <w:rsid w:val="00D25FE2"/>
    <w:rsid w:val="00D2655C"/>
    <w:rsid w:val="00D37DA9"/>
    <w:rsid w:val="00D406A7"/>
    <w:rsid w:val="00D41AE9"/>
    <w:rsid w:val="00D43252"/>
    <w:rsid w:val="00D44D86"/>
    <w:rsid w:val="00D50B7D"/>
    <w:rsid w:val="00D52012"/>
    <w:rsid w:val="00D704E5"/>
    <w:rsid w:val="00D72727"/>
    <w:rsid w:val="00D916D1"/>
    <w:rsid w:val="00D978C6"/>
    <w:rsid w:val="00DA0956"/>
    <w:rsid w:val="00DA357F"/>
    <w:rsid w:val="00DA3E12"/>
    <w:rsid w:val="00DA5D9F"/>
    <w:rsid w:val="00DC18AD"/>
    <w:rsid w:val="00DD2298"/>
    <w:rsid w:val="00DE396F"/>
    <w:rsid w:val="00DF0B71"/>
    <w:rsid w:val="00DF3899"/>
    <w:rsid w:val="00DF7CAE"/>
    <w:rsid w:val="00E423C0"/>
    <w:rsid w:val="00E5723B"/>
    <w:rsid w:val="00E63C05"/>
    <w:rsid w:val="00E6414C"/>
    <w:rsid w:val="00E64E10"/>
    <w:rsid w:val="00E7260F"/>
    <w:rsid w:val="00E72BA9"/>
    <w:rsid w:val="00E8702D"/>
    <w:rsid w:val="00E905F4"/>
    <w:rsid w:val="00E916A9"/>
    <w:rsid w:val="00E916DE"/>
    <w:rsid w:val="00E925AD"/>
    <w:rsid w:val="00E96630"/>
    <w:rsid w:val="00EC534E"/>
    <w:rsid w:val="00ED18DC"/>
    <w:rsid w:val="00ED6201"/>
    <w:rsid w:val="00ED7A2A"/>
    <w:rsid w:val="00EF1D7F"/>
    <w:rsid w:val="00F0137E"/>
    <w:rsid w:val="00F04E44"/>
    <w:rsid w:val="00F16291"/>
    <w:rsid w:val="00F21786"/>
    <w:rsid w:val="00F25D06"/>
    <w:rsid w:val="00F31CFF"/>
    <w:rsid w:val="00F3742B"/>
    <w:rsid w:val="00F41FDB"/>
    <w:rsid w:val="00F50597"/>
    <w:rsid w:val="00F56D63"/>
    <w:rsid w:val="00F609A9"/>
    <w:rsid w:val="00F80C99"/>
    <w:rsid w:val="00F86405"/>
    <w:rsid w:val="00F867EC"/>
    <w:rsid w:val="00F91B2B"/>
    <w:rsid w:val="00FA7F18"/>
    <w:rsid w:val="00FC03CD"/>
    <w:rsid w:val="00FC0646"/>
    <w:rsid w:val="00FC68B7"/>
    <w:rsid w:val="00FD2695"/>
    <w:rsid w:val="00FE6985"/>
    <w:rsid w:val="00FF575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DEAE7"/>
  <w15:docId w15:val="{35896EA2-3776-4C26-B867-E8115538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uiPriority w:val="99"/>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FF5750"/>
    <w:rPr>
      <w:b/>
      <w:sz w:val="28"/>
      <w:lang w:val="en-GB"/>
    </w:rPr>
  </w:style>
  <w:style w:type="character" w:customStyle="1" w:styleId="SingleTxtGChar">
    <w:name w:val="_ Single Txt_G Char"/>
    <w:link w:val="SingleTxtG"/>
    <w:qFormat/>
    <w:rsid w:val="00FF5750"/>
    <w:rPr>
      <w:lang w:val="en-GB"/>
    </w:rPr>
  </w:style>
  <w:style w:type="paragraph" w:customStyle="1" w:styleId="para">
    <w:name w:val="para"/>
    <w:basedOn w:val="SingleTxtG"/>
    <w:link w:val="paraChar"/>
    <w:qFormat/>
    <w:rsid w:val="00861929"/>
    <w:pPr>
      <w:tabs>
        <w:tab w:val="clear" w:pos="1701"/>
        <w:tab w:val="clear" w:pos="2268"/>
        <w:tab w:val="clear" w:pos="2835"/>
      </w:tabs>
      <w:suppressAutoHyphens/>
      <w:spacing w:line="240" w:lineRule="exact"/>
      <w:ind w:left="2268" w:hanging="1134"/>
    </w:pPr>
    <w:rPr>
      <w:lang w:eastAsia="en-US"/>
    </w:rPr>
  </w:style>
  <w:style w:type="character" w:customStyle="1" w:styleId="paraChar">
    <w:name w:val="para Char"/>
    <w:link w:val="para"/>
    <w:locked/>
    <w:rsid w:val="0086192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standards/transport/vehicle-regulations-wp29/resolution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unece.org/trans/main/wp29/datasharing.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ce.org/transport/vehicle-regulations/wp29/resolution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1e1168dfda12cc40e58f638d3264b37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607875db6e0823ed57cf9ee021e104e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B7302E27-249C-487B-90C0-A6936347AE80}"/>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5</Pages>
  <Words>1539</Words>
  <Characters>8406</Characters>
  <Application>Microsoft Office Word</Application>
  <DocSecurity>0</DocSecurity>
  <Lines>171</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ECE/TRANS/WP.29/GRSP/2025/29</dc:title>
  <dc:subject>2514985</dc:subject>
  <dc:creator>ST/SG/AC.10/1/Rev.23/Corr.1</dc:creator>
  <cp:keywords/>
  <dc:description/>
  <cp:lastModifiedBy>Pauline Anne Escalante</cp:lastModifiedBy>
  <cp:revision>2</cp:revision>
  <cp:lastPrinted>2025-09-18T15:29:00Z</cp:lastPrinted>
  <dcterms:created xsi:type="dcterms:W3CDTF">2025-09-19T07:56:00Z</dcterms:created>
  <dcterms:modified xsi:type="dcterms:W3CDTF">2025-09-19T07:56:00Z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