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C7033A">
        <w:trPr>
          <w:cantSplit/>
          <w:trHeight w:hRule="exact" w:val="568"/>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39DB840C" w:rsidR="009E6CB7" w:rsidRPr="00D47EEA" w:rsidRDefault="00DA4201" w:rsidP="00DA4201">
            <w:pPr>
              <w:jc w:val="right"/>
            </w:pPr>
            <w:r w:rsidRPr="00DA4201">
              <w:rPr>
                <w:sz w:val="40"/>
              </w:rPr>
              <w:t>ECE</w:t>
            </w:r>
            <w:r>
              <w:t>/TRANS/WP.29/202</w:t>
            </w:r>
            <w:r w:rsidR="00A83E10">
              <w:t>5</w:t>
            </w:r>
            <w:r>
              <w:t>/</w:t>
            </w:r>
            <w:r w:rsidR="00FE44BF">
              <w:t>3</w:t>
            </w:r>
            <w:r w:rsidR="00276994">
              <w:t>9</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1B4A797B" w:rsidR="00DA4201" w:rsidRDefault="00F736CE" w:rsidP="00DA4201">
            <w:pPr>
              <w:spacing w:line="240" w:lineRule="exact"/>
            </w:pPr>
            <w:r>
              <w:t>2</w:t>
            </w:r>
            <w:r w:rsidR="005E6A50">
              <w:t>3</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1F7DA30A" w:rsidR="005B5427" w:rsidRDefault="005B5427" w:rsidP="005B5427">
      <w:r>
        <w:t>Item 4.</w:t>
      </w:r>
      <w:r w:rsidR="00C7033A">
        <w:t>10</w:t>
      </w:r>
      <w:r>
        <w:t>.</w:t>
      </w:r>
      <w:r w:rsidR="00276994">
        <w:t>10</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678D4F56" w:rsidR="005B5427" w:rsidRDefault="005B5427" w:rsidP="005B5427">
      <w:pPr>
        <w:rPr>
          <w:b/>
          <w:bCs/>
        </w:rPr>
      </w:pPr>
      <w:r>
        <w:rPr>
          <w:b/>
        </w:rPr>
        <w:t xml:space="preserve">UN Regulations submitted by </w:t>
      </w:r>
      <w:r w:rsidR="0070621E">
        <w:rPr>
          <w:b/>
        </w:rPr>
        <w:t>GRE</w:t>
      </w:r>
    </w:p>
    <w:p w14:paraId="15C4C008" w14:textId="695D83F2" w:rsidR="005B5427" w:rsidRDefault="003A21E2" w:rsidP="005B5427">
      <w:pPr>
        <w:pStyle w:val="HChG"/>
        <w:ind w:left="1124" w:right="1138" w:firstLine="0"/>
      </w:pPr>
      <w:r w:rsidRPr="003A21E2">
        <w:rPr>
          <w:lang w:eastAsia="en-GB"/>
        </w:rPr>
        <w:t xml:space="preserve">Proposal for Supplement </w:t>
      </w:r>
      <w:r w:rsidR="00F22252">
        <w:rPr>
          <w:lang w:eastAsia="en-GB"/>
        </w:rPr>
        <w:t>5</w:t>
      </w:r>
      <w:r w:rsidRPr="003A21E2">
        <w:rPr>
          <w:lang w:eastAsia="en-GB"/>
        </w:rPr>
        <w:t xml:space="preserve"> to the 0</w:t>
      </w:r>
      <w:r w:rsidR="00F22252">
        <w:rPr>
          <w:lang w:eastAsia="en-GB"/>
        </w:rPr>
        <w:t>1</w:t>
      </w:r>
      <w:r w:rsidRPr="003A21E2">
        <w:rPr>
          <w:lang w:eastAsia="en-GB"/>
        </w:rPr>
        <w:t xml:space="preserve"> series of amendments to UN Regulation No. 149 (Road Illumination Devices)</w:t>
      </w:r>
      <w:r>
        <w:rPr>
          <w:lang w:eastAsia="en-GB"/>
        </w:rPr>
        <w:t xml:space="preserve"> </w:t>
      </w:r>
    </w:p>
    <w:p w14:paraId="3807C0D5" w14:textId="3C2D50EA" w:rsidR="005B5427" w:rsidRDefault="005B5427" w:rsidP="005B5427">
      <w:pPr>
        <w:pStyle w:val="H1G"/>
        <w:rPr>
          <w:szCs w:val="24"/>
        </w:rPr>
      </w:pPr>
      <w:r>
        <w:tab/>
      </w:r>
      <w:r>
        <w:tab/>
      </w:r>
      <w:r>
        <w:rPr>
          <w:szCs w:val="24"/>
        </w:rPr>
        <w:t xml:space="preserve">Submitted by the Working Party on </w:t>
      </w:r>
      <w:r w:rsidR="00265E6C" w:rsidRPr="00265E6C">
        <w:rPr>
          <w:szCs w:val="24"/>
        </w:rPr>
        <w:t>Lighting and Light-Signalling</w:t>
      </w:r>
      <w:r>
        <w:footnoteReference w:customMarkFollows="1" w:id="2"/>
        <w:t>*</w:t>
      </w:r>
    </w:p>
    <w:p w14:paraId="1C7D81A0" w14:textId="674EA442" w:rsidR="005B5427" w:rsidRDefault="005B5427" w:rsidP="005B5427">
      <w:pPr>
        <w:pStyle w:val="SingleTxtG"/>
        <w:rPr>
          <w:sz w:val="24"/>
          <w:szCs w:val="24"/>
          <w:lang w:eastAsia="zh-CN"/>
        </w:rPr>
      </w:pPr>
      <w:r>
        <w:rPr>
          <w:lang w:val="en-US"/>
        </w:rPr>
        <w:tab/>
        <w:t xml:space="preserve">The text reproduced below was adopted by the Working Party on </w:t>
      </w:r>
      <w:r w:rsidR="003E1E15" w:rsidRPr="003E1E15">
        <w:rPr>
          <w:lang w:val="en-US"/>
        </w:rPr>
        <w:t>Lighting and Light-</w:t>
      </w:r>
      <w:proofErr w:type="spellStart"/>
      <w:r w:rsidR="003E1E15" w:rsidRPr="003E1E15">
        <w:rPr>
          <w:lang w:val="en-US"/>
        </w:rPr>
        <w:t>Signalling</w:t>
      </w:r>
      <w:proofErr w:type="spellEnd"/>
      <w:r w:rsidR="003E1E15" w:rsidRPr="003E1E15">
        <w:rPr>
          <w:lang w:val="en-US"/>
        </w:rPr>
        <w:t xml:space="preserve"> </w:t>
      </w:r>
      <w:r>
        <w:rPr>
          <w:lang w:val="en-US"/>
        </w:rPr>
        <w:t>(GR</w:t>
      </w:r>
      <w:r w:rsidR="00BE0D63">
        <w:rPr>
          <w:lang w:val="en-US"/>
        </w:rPr>
        <w:t>E</w:t>
      </w:r>
      <w:r>
        <w:rPr>
          <w:lang w:val="en-US"/>
        </w:rPr>
        <w:t>)</w:t>
      </w:r>
      <w:r w:rsidR="00642DD9">
        <w:rPr>
          <w:lang w:val="en-US"/>
        </w:rPr>
        <w:t xml:space="preserve"> at its ninety-first session</w:t>
      </w:r>
      <w:r>
        <w:rPr>
          <w:lang w:val="en-US"/>
        </w:rPr>
        <w:t xml:space="preserve"> </w:t>
      </w:r>
      <w:r w:rsidR="00EE08F1">
        <w:rPr>
          <w:lang w:val="en-US"/>
        </w:rPr>
        <w:t>(</w:t>
      </w:r>
      <w:r w:rsidR="00EE08F1" w:rsidRPr="00EE08F1">
        <w:rPr>
          <w:lang w:val="en-US"/>
        </w:rPr>
        <w:t>ECE/TRANS/WP.29/GR</w:t>
      </w:r>
      <w:r w:rsidR="00642DD9">
        <w:rPr>
          <w:lang w:val="en-US"/>
        </w:rPr>
        <w:t>E</w:t>
      </w:r>
      <w:r w:rsidR="00EE08F1" w:rsidRPr="00EE08F1">
        <w:rPr>
          <w:lang w:val="en-US"/>
        </w:rPr>
        <w:t>/</w:t>
      </w:r>
      <w:r w:rsidR="00642DD9">
        <w:rPr>
          <w:lang w:val="en-US"/>
        </w:rPr>
        <w:t>91</w:t>
      </w:r>
      <w:r w:rsidR="00EE08F1" w:rsidRPr="00EE08F1">
        <w:rPr>
          <w:lang w:val="en-US"/>
        </w:rPr>
        <w:t>, para</w:t>
      </w:r>
      <w:r w:rsidR="00276994">
        <w:rPr>
          <w:lang w:val="en-US"/>
        </w:rPr>
        <w:t>s</w:t>
      </w:r>
      <w:r w:rsidR="00EE08F1" w:rsidRPr="00EE08F1">
        <w:rPr>
          <w:lang w:val="en-US"/>
        </w:rPr>
        <w:t xml:space="preserve">. </w:t>
      </w:r>
      <w:r w:rsidR="00642DD9">
        <w:rPr>
          <w:lang w:val="en-US"/>
        </w:rPr>
        <w:t>2</w:t>
      </w:r>
      <w:r w:rsidR="00611FAF">
        <w:rPr>
          <w:lang w:val="en-US"/>
        </w:rPr>
        <w:t>3</w:t>
      </w:r>
      <w:r w:rsidR="00276994">
        <w:rPr>
          <w:lang w:val="en-US"/>
        </w:rPr>
        <w:t xml:space="preserve"> and 24</w:t>
      </w:r>
      <w:r w:rsidR="00EE08F1">
        <w:rPr>
          <w:lang w:val="en-US"/>
        </w:rPr>
        <w:t xml:space="preserve">). It is </w:t>
      </w:r>
      <w:r w:rsidR="00EE08F1" w:rsidRPr="00EE08F1">
        <w:rPr>
          <w:lang w:val="en-US"/>
        </w:rPr>
        <w:t>based on</w:t>
      </w:r>
      <w:r w:rsidR="007377F6">
        <w:rPr>
          <w:lang w:val="en-US"/>
        </w:rPr>
        <w:t xml:space="preserve"> </w:t>
      </w:r>
      <w:r w:rsidR="00774A8A" w:rsidRPr="00774A8A">
        <w:rPr>
          <w:lang w:val="en-US"/>
        </w:rPr>
        <w:t>ECE/TRANS/WP.29/GRE/2024/</w:t>
      </w:r>
      <w:r w:rsidR="00EA3487">
        <w:rPr>
          <w:lang w:val="en-US"/>
        </w:rPr>
        <w:t>1</w:t>
      </w:r>
      <w:r w:rsidR="00611FAF">
        <w:rPr>
          <w:lang w:val="en-US"/>
        </w:rPr>
        <w:t>8</w:t>
      </w:r>
      <w:r w:rsidR="00683913">
        <w:rPr>
          <w:lang w:val="en-US"/>
        </w:rPr>
        <w:t xml:space="preserve">, </w:t>
      </w:r>
      <w:r w:rsidR="00683913" w:rsidRPr="00683913">
        <w:rPr>
          <w:lang w:val="en-US"/>
        </w:rPr>
        <w:t>ECE/TRANS/WP.29/GRE/2024/19 and ECE/TRANS/WP.29/GRE/2024/22</w:t>
      </w:r>
      <w:r w:rsidR="00913520">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6064EA10" w14:textId="042E3AD8" w:rsidR="00F51C39" w:rsidRPr="00BA5739" w:rsidRDefault="00F51C39" w:rsidP="00F51C39">
      <w:pPr>
        <w:spacing w:after="120"/>
        <w:ind w:left="1134"/>
        <w:jc w:val="both"/>
        <w:rPr>
          <w:i/>
          <w:iCs/>
        </w:rPr>
      </w:pPr>
      <w:r w:rsidRPr="00341CB0">
        <w:rPr>
          <w:i/>
          <w:iCs/>
        </w:rPr>
        <w:lastRenderedPageBreak/>
        <w:t>Paragraph. 3.1.2.2</w:t>
      </w:r>
      <w:r w:rsidRPr="00B83678">
        <w:rPr>
          <w:i/>
          <w:iCs/>
        </w:rPr>
        <w:t xml:space="preserve">., </w:t>
      </w:r>
      <w:r w:rsidR="00B1428A">
        <w:rPr>
          <w:i/>
          <w:iCs/>
        </w:rPr>
        <w:t xml:space="preserve">at the end </w:t>
      </w:r>
      <w:r w:rsidR="00CA3FBA" w:rsidRPr="00B83678">
        <w:rPr>
          <w:i/>
          <w:iCs/>
        </w:rPr>
        <w:t>add a new subpara</w:t>
      </w:r>
      <w:r w:rsidR="00B83678" w:rsidRPr="00B83678">
        <w:rPr>
          <w:i/>
          <w:iCs/>
        </w:rPr>
        <w:t>graph (f)</w:t>
      </w:r>
      <w:r w:rsidR="00B83678">
        <w:t xml:space="preserve"> </w:t>
      </w:r>
      <w:r w:rsidRPr="00BA5739">
        <w:t>to read:</w:t>
      </w:r>
    </w:p>
    <w:p w14:paraId="1A744C72" w14:textId="195CD262" w:rsidR="00F51C39" w:rsidRPr="00E82D44" w:rsidRDefault="00F51C39" w:rsidP="00F51C39">
      <w:pPr>
        <w:spacing w:after="120"/>
        <w:ind w:left="2268" w:right="1134" w:hanging="1134"/>
        <w:jc w:val="both"/>
      </w:pPr>
      <w:r w:rsidRPr="00E82D44">
        <w:t xml:space="preserve">“3.1.2.2. </w:t>
      </w:r>
      <w:r w:rsidRPr="00E82D44">
        <w:tab/>
      </w:r>
      <w:r w:rsidR="00B1428A">
        <w:t>…</w:t>
      </w:r>
    </w:p>
    <w:p w14:paraId="25408800" w14:textId="3BAC08FC" w:rsidR="00F51C39" w:rsidRPr="00B1428A" w:rsidRDefault="00F51C39" w:rsidP="00B1428A">
      <w:pPr>
        <w:tabs>
          <w:tab w:val="left" w:pos="2268"/>
        </w:tabs>
        <w:spacing w:after="120"/>
        <w:ind w:left="2835" w:right="1134" w:hanging="1701"/>
        <w:jc w:val="both"/>
        <w:rPr>
          <w:bCs/>
        </w:rPr>
      </w:pPr>
      <w:r w:rsidRPr="00B1428A">
        <w:rPr>
          <w:bCs/>
        </w:rPr>
        <w:tab/>
        <w:t>(f)</w:t>
      </w:r>
      <w:r w:rsidRPr="00B1428A">
        <w:rPr>
          <w:bCs/>
        </w:rPr>
        <w:tab/>
        <w:t>The measures provided to ensure compliance with the provisions of paragraph 4.13.1. where applicable.”</w:t>
      </w:r>
    </w:p>
    <w:p w14:paraId="5A449BDE" w14:textId="77777777" w:rsidR="00DE7939" w:rsidRPr="009B214E" w:rsidRDefault="00DE7939" w:rsidP="00DE7939">
      <w:pPr>
        <w:suppressAutoHyphens/>
        <w:spacing w:after="120"/>
        <w:ind w:left="1134" w:right="1134"/>
        <w:jc w:val="both"/>
      </w:pPr>
      <w:r w:rsidRPr="009B214E">
        <w:rPr>
          <w:i/>
          <w:iCs/>
        </w:rPr>
        <w:t>Paragraph</w:t>
      </w:r>
      <w:r w:rsidRPr="009B214E">
        <w:rPr>
          <w:i/>
          <w:iCs/>
          <w:lang w:eastAsia="ja-JP"/>
        </w:rPr>
        <w:t xml:space="preserve"> </w:t>
      </w:r>
      <w:r w:rsidRPr="009B214E">
        <w:rPr>
          <w:i/>
          <w:iCs/>
        </w:rPr>
        <w:t>4.11.3.2.</w:t>
      </w:r>
      <w:r w:rsidRPr="009B214E">
        <w:t>, amend to read:</w:t>
      </w:r>
    </w:p>
    <w:p w14:paraId="151C7894" w14:textId="58B9C8EF" w:rsidR="00DE7939" w:rsidRPr="009B214E" w:rsidRDefault="00DE7939" w:rsidP="00DE7939">
      <w:pPr>
        <w:suppressAutoHyphens/>
        <w:spacing w:after="120"/>
        <w:ind w:left="2268" w:right="1134" w:hanging="1134"/>
        <w:jc w:val="both"/>
        <w:outlineLvl w:val="3"/>
        <w:rPr>
          <w:rFonts w:eastAsia="SimSun"/>
          <w:lang w:eastAsia="en-US"/>
        </w:rPr>
      </w:pPr>
      <w:r w:rsidRPr="009B214E">
        <w:rPr>
          <w:rFonts w:eastAsia="SimSun"/>
          <w:lang w:val="en-US" w:eastAsia="en-US"/>
        </w:rPr>
        <w:t>“</w:t>
      </w:r>
      <w:r w:rsidRPr="009B214E">
        <w:rPr>
          <w:rFonts w:eastAsia="SimSun"/>
          <w:lang w:eastAsia="en-US"/>
        </w:rPr>
        <w:t>4.11.3.2.</w:t>
      </w:r>
      <w:r w:rsidRPr="009B214E">
        <w:rPr>
          <w:rFonts w:eastAsia="SimSun"/>
          <w:lang w:eastAsia="en-US"/>
        </w:rPr>
        <w:tab/>
        <w:t>In the case of failure, it must be possible to obtain automatically a passing-beam or a state with respect to the photometric conditions which yields values not exceeding 1.30∙10</w:t>
      </w:r>
      <w:r w:rsidRPr="009B214E">
        <w:rPr>
          <w:rFonts w:eastAsia="SimSun"/>
          <w:vertAlign w:val="superscript"/>
          <w:lang w:eastAsia="en-US"/>
        </w:rPr>
        <w:t xml:space="preserve">3 </w:t>
      </w:r>
      <w:r w:rsidRPr="009B214E">
        <w:rPr>
          <w:rFonts w:eastAsia="SimSun"/>
          <w:lang w:eastAsia="en-US"/>
        </w:rPr>
        <w:t>cd in the Zone III b as defined in paragraph 5.3. and at least 3.40∙10</w:t>
      </w:r>
      <w:r w:rsidRPr="009B214E">
        <w:rPr>
          <w:rFonts w:eastAsia="SimSun"/>
          <w:vertAlign w:val="superscript"/>
          <w:lang w:eastAsia="en-US"/>
        </w:rPr>
        <w:t xml:space="preserve">3 </w:t>
      </w:r>
      <w:r w:rsidRPr="009B214E">
        <w:rPr>
          <w:rFonts w:eastAsia="SimSun"/>
          <w:lang w:eastAsia="en-US"/>
        </w:rPr>
        <w:t>cd in a point of "</w:t>
      </w:r>
      <w:r w:rsidRPr="009B214E">
        <w:rPr>
          <w:rFonts w:eastAsia="SimSun"/>
          <w:snapToGrid w:val="0"/>
          <w:lang w:val="en-US" w:eastAsia="de-DE"/>
        </w:rPr>
        <w:t>Zone</w:t>
      </w:r>
      <w:r w:rsidRPr="009B214E">
        <w:rPr>
          <w:rFonts w:eastAsia="SimSun"/>
          <w:lang w:eastAsia="en-US"/>
        </w:rPr>
        <w:t xml:space="preserve"> I</w:t>
      </w:r>
      <w:r w:rsidRPr="009B214E">
        <w:rPr>
          <w:rFonts w:eastAsia="SimSun"/>
          <w:vertAlign w:val="subscript"/>
          <w:lang w:eastAsia="en-US"/>
        </w:rPr>
        <w:t>max</w:t>
      </w:r>
      <w:r w:rsidRPr="009B214E">
        <w:rPr>
          <w:rFonts w:eastAsia="SimSun"/>
          <w:lang w:eastAsia="en-US"/>
        </w:rPr>
        <w:t>", by such means as e.g. switching off, dimming, aiming downwards, and/or functional substitution.</w:t>
      </w:r>
    </w:p>
    <w:p w14:paraId="3D1E9B9D" w14:textId="6B0D8662" w:rsidR="00DE7939" w:rsidRDefault="00DE7939" w:rsidP="0072642E">
      <w:pPr>
        <w:snapToGrid w:val="0"/>
        <w:spacing w:after="120"/>
        <w:ind w:left="2268" w:right="1134" w:hanging="1134"/>
        <w:jc w:val="both"/>
        <w:rPr>
          <w:i/>
          <w:iCs/>
        </w:rPr>
      </w:pPr>
      <w:r w:rsidRPr="009B214E">
        <w:rPr>
          <w:lang w:val="en-US" w:eastAsia="en-US"/>
        </w:rPr>
        <w:tab/>
      </w:r>
      <w:r w:rsidRPr="009B214E">
        <w:rPr>
          <w:lang w:eastAsia="en-US"/>
        </w:rPr>
        <w:t>When performing the tests to verify compliance with these requirements, the Technical Service responsible for approval tests shall refer to the instructions supplied by the applicant</w:t>
      </w:r>
      <w:r w:rsidRPr="009B214E">
        <w:rPr>
          <w:lang w:val="en-US" w:eastAsia="en-US"/>
        </w:rPr>
        <w:t>.”</w:t>
      </w:r>
    </w:p>
    <w:p w14:paraId="37AE3567" w14:textId="6AB89A8D" w:rsidR="00F51C39" w:rsidRPr="00341CB0" w:rsidRDefault="00F51C39" w:rsidP="00F51C39">
      <w:pPr>
        <w:spacing w:after="120"/>
        <w:ind w:left="2268" w:right="1395" w:hanging="1134"/>
        <w:jc w:val="both"/>
      </w:pPr>
      <w:r w:rsidRPr="00341CB0">
        <w:rPr>
          <w:i/>
          <w:iCs/>
        </w:rPr>
        <w:t>Paragraph</w:t>
      </w:r>
      <w:r w:rsidR="00B1428A">
        <w:rPr>
          <w:i/>
          <w:iCs/>
        </w:rPr>
        <w:t>s</w:t>
      </w:r>
      <w:r w:rsidRPr="00341CB0">
        <w:rPr>
          <w:i/>
          <w:iCs/>
        </w:rPr>
        <w:t xml:space="preserve"> 4.13.</w:t>
      </w:r>
      <w:r w:rsidR="00B1428A">
        <w:rPr>
          <w:i/>
          <w:iCs/>
        </w:rPr>
        <w:t xml:space="preserve"> and 4.13.1.</w:t>
      </w:r>
      <w:r w:rsidRPr="00341CB0">
        <w:t>, amend to read:</w:t>
      </w:r>
    </w:p>
    <w:p w14:paraId="31437C3F" w14:textId="770878EE" w:rsidR="00F51C39" w:rsidRPr="00B0307C" w:rsidRDefault="00F51C39" w:rsidP="00F51C39">
      <w:pPr>
        <w:spacing w:after="120"/>
        <w:ind w:left="2268" w:right="1134" w:hanging="1134"/>
        <w:jc w:val="both"/>
      </w:pPr>
      <w:r w:rsidRPr="00E82D44">
        <w:t>“</w:t>
      </w:r>
      <w:r w:rsidRPr="00B0307C">
        <w:t>4.13.</w:t>
      </w:r>
      <w:r w:rsidRPr="00B0307C">
        <w:tab/>
        <w:t>If required by the provisions of the relevant UN Regulations Nos. 48, 53, 74 or 86 the device (lamp) shall be so made that, if a light source and/or a</w:t>
      </w:r>
      <w:r w:rsidRPr="00B0307C">
        <w:rPr>
          <w:strike/>
        </w:rPr>
        <w:t xml:space="preserve"> </w:t>
      </w:r>
      <w:r w:rsidRPr="00B0307C">
        <w:t>light source module has failed, a signal indicating the failure</w:t>
      </w:r>
      <w:r w:rsidR="00B0307C" w:rsidRPr="00B0307C">
        <w:t xml:space="preserve"> </w:t>
      </w:r>
      <w:r w:rsidRPr="00B0307C">
        <w:t>is provided.</w:t>
      </w:r>
    </w:p>
    <w:p w14:paraId="05024FD6" w14:textId="77777777" w:rsidR="00F51C39" w:rsidRPr="00B0307C" w:rsidRDefault="00F51C39" w:rsidP="00F51C39">
      <w:pPr>
        <w:spacing w:after="120"/>
        <w:ind w:left="2268" w:right="1134" w:hanging="1134"/>
        <w:jc w:val="both"/>
        <w:rPr>
          <w:bCs/>
        </w:rPr>
      </w:pPr>
      <w:r w:rsidRPr="00B0307C">
        <w:rPr>
          <w:bCs/>
        </w:rPr>
        <w:t>4.13.1.</w:t>
      </w:r>
      <w:r w:rsidRPr="00B0307C">
        <w:rPr>
          <w:bCs/>
        </w:rPr>
        <w:tab/>
      </w:r>
      <w:bookmarkStart w:id="0" w:name="_Hlk153276758"/>
      <w:r w:rsidRPr="00B0307C">
        <w:rPr>
          <w:bCs/>
        </w:rPr>
        <w:t>In case a specific function, which is realised with more than one element for visible radiation (see definition of “light source” in UN Regulation No. 48) wired so that a failure of any one of them does not cause all of them to stop emitting light, a signal indicating the failure of that specific function shall be provided, according to the applicant’s selection of one or more of the following options:</w:t>
      </w:r>
      <w:bookmarkEnd w:id="0"/>
    </w:p>
    <w:p w14:paraId="44BD7B24" w14:textId="77777777" w:rsidR="00F51C39" w:rsidRPr="00B0307C" w:rsidRDefault="00F51C39" w:rsidP="00F51C39">
      <w:pPr>
        <w:pStyle w:val="Default"/>
        <w:widowControl/>
        <w:numPr>
          <w:ilvl w:val="0"/>
          <w:numId w:val="23"/>
        </w:numPr>
        <w:tabs>
          <w:tab w:val="left" w:pos="2268"/>
        </w:tabs>
        <w:spacing w:after="120"/>
        <w:ind w:right="1134"/>
        <w:jc w:val="both"/>
        <w:rPr>
          <w:bCs/>
          <w:color w:val="auto"/>
          <w:sz w:val="20"/>
          <w:szCs w:val="20"/>
          <w:lang w:val="en-GB"/>
        </w:rPr>
      </w:pPr>
      <w:r w:rsidRPr="00B0307C">
        <w:rPr>
          <w:bCs/>
          <w:color w:val="auto"/>
          <w:sz w:val="20"/>
          <w:szCs w:val="20"/>
          <w:lang w:val="en-GB"/>
        </w:rPr>
        <w:t xml:space="preserve">One or more </w:t>
      </w:r>
      <w:r w:rsidRPr="00B0307C">
        <w:rPr>
          <w:bCs/>
          <w:color w:val="auto"/>
          <w:sz w:val="20"/>
          <w:szCs w:val="20"/>
        </w:rPr>
        <w:t xml:space="preserve">element(s) for visible radiation stops emitting light; </w:t>
      </w:r>
    </w:p>
    <w:p w14:paraId="3429E8F9" w14:textId="77777777" w:rsidR="00F51C39" w:rsidRPr="00B0307C" w:rsidRDefault="00F51C39" w:rsidP="00F51C39">
      <w:pPr>
        <w:pStyle w:val="Default"/>
        <w:widowControl/>
        <w:numPr>
          <w:ilvl w:val="0"/>
          <w:numId w:val="23"/>
        </w:numPr>
        <w:tabs>
          <w:tab w:val="left" w:pos="2268"/>
        </w:tabs>
        <w:spacing w:after="120"/>
        <w:ind w:right="1134"/>
        <w:jc w:val="both"/>
        <w:rPr>
          <w:bCs/>
          <w:color w:val="auto"/>
          <w:sz w:val="20"/>
          <w:szCs w:val="20"/>
          <w:lang w:val="en-GB"/>
        </w:rPr>
      </w:pPr>
      <w:r w:rsidRPr="00B0307C">
        <w:rPr>
          <w:bCs/>
          <w:color w:val="auto"/>
          <w:sz w:val="20"/>
          <w:szCs w:val="20"/>
          <w:lang w:val="en-GB"/>
        </w:rPr>
        <w:t xml:space="preserve">As a consequence of one or more </w:t>
      </w:r>
      <w:r w:rsidRPr="00B0307C">
        <w:rPr>
          <w:bCs/>
          <w:color w:val="auto"/>
          <w:sz w:val="20"/>
          <w:szCs w:val="20"/>
        </w:rPr>
        <w:t>element(s) for visible radiation stops emitting light</w:t>
      </w:r>
      <w:r w:rsidRPr="00B0307C">
        <w:rPr>
          <w:bCs/>
          <w:color w:val="auto"/>
          <w:sz w:val="20"/>
          <w:szCs w:val="20"/>
          <w:lang w:val="en-GB"/>
        </w:rPr>
        <w:t xml:space="preserve">, the resulting </w:t>
      </w:r>
      <w:r w:rsidRPr="00B0307C">
        <w:rPr>
          <w:bCs/>
          <w:color w:val="auto"/>
          <w:sz w:val="20"/>
          <w:szCs w:val="20"/>
        </w:rPr>
        <w:t>luminous</w:t>
      </w:r>
      <w:r w:rsidRPr="00B0307C">
        <w:rPr>
          <w:bCs/>
          <w:color w:val="auto"/>
          <w:sz w:val="20"/>
          <w:szCs w:val="20"/>
          <w:lang w:val="en-GB"/>
        </w:rPr>
        <w:t xml:space="preserve"> intensity value in any of the photometric requirements is less than 80% of the minimum luminous intensity value required for the type approval; </w:t>
      </w:r>
    </w:p>
    <w:p w14:paraId="46DB6A94" w14:textId="77777777" w:rsidR="00F51C39" w:rsidRPr="00B0307C" w:rsidRDefault="00F51C39" w:rsidP="00F51C39">
      <w:pPr>
        <w:pStyle w:val="Default"/>
        <w:widowControl/>
        <w:numPr>
          <w:ilvl w:val="0"/>
          <w:numId w:val="23"/>
        </w:numPr>
        <w:tabs>
          <w:tab w:val="left" w:pos="2268"/>
        </w:tabs>
        <w:spacing w:after="120"/>
        <w:ind w:right="1134"/>
        <w:jc w:val="both"/>
        <w:rPr>
          <w:bCs/>
          <w:color w:val="auto"/>
          <w:sz w:val="20"/>
          <w:szCs w:val="20"/>
          <w:lang w:val="en-GB"/>
        </w:rPr>
      </w:pPr>
      <w:r w:rsidRPr="00B0307C">
        <w:rPr>
          <w:bCs/>
          <w:color w:val="auto"/>
          <w:sz w:val="20"/>
          <w:szCs w:val="20"/>
          <w:lang w:val="en-GB"/>
        </w:rPr>
        <w:t xml:space="preserve">As a consequence of one or more </w:t>
      </w:r>
      <w:r w:rsidRPr="00B0307C">
        <w:rPr>
          <w:bCs/>
          <w:color w:val="auto"/>
          <w:sz w:val="20"/>
          <w:szCs w:val="20"/>
        </w:rPr>
        <w:t>element(s) for visible radiation stops emitting light</w:t>
      </w:r>
      <w:r w:rsidRPr="00B0307C">
        <w:rPr>
          <w:bCs/>
          <w:color w:val="auto"/>
          <w:sz w:val="20"/>
          <w:szCs w:val="20"/>
          <w:lang w:val="en-GB"/>
        </w:rPr>
        <w:t xml:space="preserve">, the resulting luminous flux value has changed by more than 5% compared to the luminous flux value when no failure occurs; </w:t>
      </w:r>
    </w:p>
    <w:p w14:paraId="6A948C99" w14:textId="77777777" w:rsidR="00F51C39" w:rsidRPr="00B0307C" w:rsidRDefault="00F51C39" w:rsidP="00F51C39">
      <w:pPr>
        <w:pStyle w:val="Default"/>
        <w:widowControl/>
        <w:numPr>
          <w:ilvl w:val="0"/>
          <w:numId w:val="23"/>
        </w:numPr>
        <w:tabs>
          <w:tab w:val="left" w:pos="2268"/>
        </w:tabs>
        <w:spacing w:after="120"/>
        <w:ind w:right="1134"/>
        <w:jc w:val="both"/>
        <w:rPr>
          <w:bCs/>
          <w:color w:val="auto"/>
          <w:sz w:val="20"/>
          <w:szCs w:val="20"/>
          <w:lang w:val="en-GB"/>
        </w:rPr>
      </w:pPr>
      <w:r w:rsidRPr="00B0307C">
        <w:rPr>
          <w:bCs/>
          <w:color w:val="auto"/>
          <w:sz w:val="20"/>
          <w:szCs w:val="20"/>
          <w:lang w:val="en-GB"/>
        </w:rPr>
        <w:t xml:space="preserve">More than 5% of the elements for visible radiation </w:t>
      </w:r>
      <w:r w:rsidRPr="00B0307C">
        <w:rPr>
          <w:bCs/>
          <w:color w:val="auto"/>
          <w:sz w:val="20"/>
          <w:szCs w:val="20"/>
        </w:rPr>
        <w:t>stop emitting light</w:t>
      </w:r>
      <w:r w:rsidRPr="00B0307C">
        <w:rPr>
          <w:bCs/>
          <w:color w:val="auto"/>
          <w:sz w:val="20"/>
          <w:szCs w:val="20"/>
          <w:lang w:val="en-GB"/>
        </w:rPr>
        <w:t xml:space="preserve">. </w:t>
      </w:r>
      <w:r w:rsidRPr="00B0307C">
        <w:rPr>
          <w:bCs/>
          <w:sz w:val="20"/>
          <w:szCs w:val="20"/>
          <w:lang w:val="en-GB"/>
        </w:rPr>
        <w:t>In case more than one light source is used, this provision applies to the sum of all elements and to the elements of each light source separately;</w:t>
      </w:r>
    </w:p>
    <w:p w14:paraId="5FE2CBCE" w14:textId="664EF67D" w:rsidR="00F51C39" w:rsidRPr="00B0307C" w:rsidRDefault="00F51C39" w:rsidP="00F51C39">
      <w:pPr>
        <w:pStyle w:val="Default"/>
        <w:widowControl/>
        <w:numPr>
          <w:ilvl w:val="0"/>
          <w:numId w:val="23"/>
        </w:numPr>
        <w:tabs>
          <w:tab w:val="left" w:pos="2268"/>
        </w:tabs>
        <w:spacing w:after="120"/>
        <w:ind w:right="1134"/>
        <w:jc w:val="both"/>
        <w:rPr>
          <w:bCs/>
          <w:color w:val="auto"/>
          <w:sz w:val="20"/>
          <w:szCs w:val="20"/>
          <w:lang w:val="en-GB"/>
        </w:rPr>
      </w:pPr>
      <w:r w:rsidRPr="00B0307C">
        <w:rPr>
          <w:bCs/>
          <w:color w:val="auto"/>
          <w:sz w:val="20"/>
          <w:szCs w:val="20"/>
          <w:lang w:val="en-GB"/>
        </w:rPr>
        <w:t>If fitted, one or more UN approved light source(s) stops emitting light.</w:t>
      </w:r>
      <w:r w:rsidR="00B0307C">
        <w:rPr>
          <w:bCs/>
          <w:color w:val="auto"/>
          <w:sz w:val="20"/>
          <w:szCs w:val="20"/>
          <w:lang w:val="en-GB"/>
        </w:rPr>
        <w:t>”</w:t>
      </w:r>
    </w:p>
    <w:p w14:paraId="75DCC840" w14:textId="77777777" w:rsidR="009B214E" w:rsidRPr="009B214E" w:rsidRDefault="009B214E" w:rsidP="009B214E">
      <w:pPr>
        <w:suppressAutoHyphens/>
        <w:spacing w:after="120"/>
        <w:ind w:left="2268" w:right="1395" w:hanging="1134"/>
        <w:jc w:val="both"/>
      </w:pPr>
      <w:r w:rsidRPr="009B214E">
        <w:rPr>
          <w:i/>
          <w:iCs/>
        </w:rPr>
        <w:t>Paragraph 5.3.2.5.4.</w:t>
      </w:r>
      <w:r w:rsidRPr="009B214E">
        <w:t>, amend to read:</w:t>
      </w:r>
    </w:p>
    <w:p w14:paraId="31FB351D" w14:textId="21F69254" w:rsidR="009B214E" w:rsidRPr="009B214E" w:rsidRDefault="009B214E" w:rsidP="009B214E">
      <w:pPr>
        <w:suppressAutoHyphens/>
        <w:spacing w:after="120"/>
        <w:ind w:left="2268" w:right="1134" w:hanging="1134"/>
        <w:jc w:val="both"/>
        <w:outlineLvl w:val="4"/>
        <w:rPr>
          <w:rFonts w:eastAsia="SimSun"/>
          <w:lang w:eastAsia="en-US"/>
        </w:rPr>
      </w:pPr>
      <w:r w:rsidRPr="009B214E">
        <w:rPr>
          <w:rFonts w:eastAsia="SimSun"/>
          <w:lang w:eastAsia="en-US"/>
        </w:rPr>
        <w:t>“</w:t>
      </w:r>
      <w:bookmarkStart w:id="1" w:name="_Hlk150325995"/>
      <w:r w:rsidRPr="009B214E">
        <w:rPr>
          <w:rFonts w:eastAsia="SimSun"/>
          <w:lang w:eastAsia="en-US"/>
        </w:rPr>
        <w:t>5.3.</w:t>
      </w:r>
      <w:r w:rsidRPr="009B214E">
        <w:rPr>
          <w:rFonts w:eastAsia="SimSun"/>
          <w:spacing w:val="4"/>
          <w:lang w:eastAsia="en-US"/>
        </w:rPr>
        <w:t>2.5.4.</w:t>
      </w:r>
      <w:r w:rsidRPr="009B214E">
        <w:rPr>
          <w:rFonts w:eastAsia="SimSun"/>
          <w:spacing w:val="4"/>
          <w:lang w:eastAsia="en-US"/>
        </w:rPr>
        <w:tab/>
      </w:r>
      <w:r w:rsidRPr="009B214E">
        <w:rPr>
          <w:rFonts w:eastAsia="SimSun"/>
          <w:lang w:eastAsia="en-US"/>
        </w:rPr>
        <w:t xml:space="preserve">If approval is sought for a category 1 bending mode, the system is designed so that, in the case of a failure affecting the lateral movement or modification of the illumination, it must be possible to obtain automatically either photometric conditions corresponding to paragraph 5.3.2.4. or a state with respect to the photometric conditions which yields values not exceeding </w:t>
      </w:r>
      <w:r w:rsidRPr="009B214E">
        <w:rPr>
          <w:rFonts w:eastAsia="SimSun"/>
          <w:lang w:val="en-US" w:eastAsia="ja-JP"/>
        </w:rPr>
        <w:t>1.30∙10</w:t>
      </w:r>
      <w:r w:rsidRPr="009B214E">
        <w:rPr>
          <w:rFonts w:eastAsia="SimSun"/>
          <w:vertAlign w:val="superscript"/>
          <w:lang w:val="en-US" w:eastAsia="ja-JP"/>
        </w:rPr>
        <w:t xml:space="preserve">3 </w:t>
      </w:r>
      <w:r w:rsidRPr="009B214E">
        <w:rPr>
          <w:rFonts w:eastAsia="SimSun"/>
          <w:lang w:val="en-US" w:eastAsia="ja-JP"/>
        </w:rPr>
        <w:t xml:space="preserve">cd </w:t>
      </w:r>
      <w:r w:rsidRPr="009B214E">
        <w:rPr>
          <w:rFonts w:eastAsia="SimSun"/>
          <w:lang w:val="en-US" w:eastAsia="en-US"/>
        </w:rPr>
        <w:t>in the Zone III b, as defined in Table 9, and at least 3.40∙10</w:t>
      </w:r>
      <w:r w:rsidRPr="009B214E">
        <w:rPr>
          <w:rFonts w:eastAsia="SimSun"/>
          <w:vertAlign w:val="superscript"/>
          <w:lang w:val="en-US" w:eastAsia="en-US"/>
        </w:rPr>
        <w:t xml:space="preserve">3 </w:t>
      </w:r>
      <w:r w:rsidRPr="009B214E">
        <w:rPr>
          <w:rFonts w:eastAsia="SimSun"/>
          <w:lang w:val="en-US" w:eastAsia="en-US"/>
        </w:rPr>
        <w:t>cd</w:t>
      </w:r>
      <w:r w:rsidRPr="009B214E">
        <w:rPr>
          <w:rFonts w:eastAsia="SimSun"/>
          <w:lang w:eastAsia="en-US"/>
        </w:rPr>
        <w:t xml:space="preserve"> in a point of "</w:t>
      </w:r>
      <w:r w:rsidRPr="009B214E">
        <w:rPr>
          <w:rFonts w:eastAsia="SimSun"/>
          <w:snapToGrid w:val="0"/>
          <w:lang w:val="en-US" w:eastAsia="de-DE"/>
        </w:rPr>
        <w:t>Zone</w:t>
      </w:r>
      <w:r w:rsidRPr="009B214E">
        <w:rPr>
          <w:rFonts w:eastAsia="SimSun"/>
          <w:lang w:eastAsia="en-US"/>
        </w:rPr>
        <w:t xml:space="preserve"> I</w:t>
      </w:r>
      <w:r w:rsidRPr="009B214E">
        <w:rPr>
          <w:rFonts w:eastAsia="SimSun"/>
          <w:vertAlign w:val="subscript"/>
          <w:lang w:eastAsia="en-US"/>
        </w:rPr>
        <w:t>max</w:t>
      </w:r>
      <w:r w:rsidRPr="009B214E">
        <w:rPr>
          <w:rFonts w:eastAsia="SimSun"/>
          <w:lang w:eastAsia="en-US"/>
        </w:rPr>
        <w:t>".</w:t>
      </w:r>
    </w:p>
    <w:p w14:paraId="0D3168BD" w14:textId="77777777" w:rsidR="009B214E" w:rsidRPr="009B214E" w:rsidRDefault="009B214E" w:rsidP="009B214E">
      <w:pPr>
        <w:suppressAutoHyphens/>
        <w:spacing w:after="120"/>
        <w:ind w:left="2268" w:right="1134" w:hanging="1134"/>
        <w:jc w:val="both"/>
        <w:outlineLvl w:val="4"/>
        <w:rPr>
          <w:rFonts w:eastAsia="SimSun"/>
          <w:i/>
          <w:iCs/>
          <w:lang w:eastAsia="en-US"/>
        </w:rPr>
      </w:pPr>
      <w:r w:rsidRPr="009B214E">
        <w:rPr>
          <w:rFonts w:eastAsia="SimSun"/>
          <w:lang w:eastAsia="en-US"/>
        </w:rPr>
        <w:tab/>
        <w:t xml:space="preserve">However, this is not needed if, for positions relative to the system reference axis up to 5°L, at 0.3°U from H-H, and greater than 5°L, at 0.57°U, a value of </w:t>
      </w:r>
      <w:r w:rsidRPr="009B214E">
        <w:rPr>
          <w:rFonts w:eastAsia="SimSun"/>
          <w:lang w:val="en-US" w:eastAsia="en-US"/>
        </w:rPr>
        <w:t>8.80∙10</w:t>
      </w:r>
      <w:r w:rsidRPr="009B214E">
        <w:rPr>
          <w:rFonts w:eastAsia="SimSun"/>
          <w:vertAlign w:val="superscript"/>
          <w:lang w:val="en-US" w:eastAsia="en-US"/>
        </w:rPr>
        <w:t>2</w:t>
      </w:r>
      <w:r w:rsidRPr="009B214E">
        <w:rPr>
          <w:rFonts w:eastAsia="SimSun"/>
          <w:lang w:eastAsia="en-US"/>
        </w:rPr>
        <w:t xml:space="preserve"> cd is in no case exceeded.”</w:t>
      </w:r>
      <w:bookmarkEnd w:id="1"/>
    </w:p>
    <w:p w14:paraId="3B8BCDE9" w14:textId="77777777" w:rsidR="009B214E" w:rsidRPr="009B214E" w:rsidRDefault="009B214E" w:rsidP="009B214E">
      <w:pPr>
        <w:suppressAutoHyphens/>
        <w:spacing w:after="120"/>
        <w:ind w:left="2268" w:right="1395" w:hanging="1134"/>
        <w:jc w:val="both"/>
      </w:pPr>
      <w:r w:rsidRPr="009B214E">
        <w:rPr>
          <w:i/>
          <w:iCs/>
        </w:rPr>
        <w:t xml:space="preserve">Table 7, footnote c, </w:t>
      </w:r>
      <w:r w:rsidRPr="009B214E">
        <w:t>amend to read:</w:t>
      </w:r>
    </w:p>
    <w:p w14:paraId="7D6746C5" w14:textId="19D1B3ED" w:rsidR="009B214E" w:rsidRPr="009B214E" w:rsidRDefault="009B214E" w:rsidP="009B214E">
      <w:pPr>
        <w:suppressAutoHyphens/>
        <w:spacing w:after="120"/>
        <w:ind w:left="1559" w:hanging="425"/>
      </w:pPr>
      <w:r w:rsidRPr="009B214E">
        <w:rPr>
          <w:rFonts w:eastAsia="Calibri"/>
          <w:sz w:val="18"/>
          <w:szCs w:val="18"/>
          <w:vertAlign w:val="superscript"/>
          <w:lang w:val="en-US"/>
        </w:rPr>
        <w:t>“c</w:t>
      </w:r>
      <w:r w:rsidRPr="009B214E">
        <w:rPr>
          <w:rFonts w:eastAsia="Calibri"/>
          <w:sz w:val="18"/>
          <w:szCs w:val="18"/>
          <w:lang w:val="en-US"/>
        </w:rPr>
        <w:tab/>
        <w:t>Position requirements according to the provisions of Table 8 ("Zone I</w:t>
      </w:r>
      <w:r w:rsidRPr="009B214E">
        <w:rPr>
          <w:rFonts w:eastAsia="Calibri"/>
          <w:sz w:val="18"/>
          <w:szCs w:val="18"/>
          <w:vertAlign w:val="subscript"/>
          <w:lang w:val="en-US"/>
        </w:rPr>
        <w:t>max</w:t>
      </w:r>
      <w:r w:rsidRPr="009B214E">
        <w:rPr>
          <w:rFonts w:eastAsia="Calibri"/>
          <w:sz w:val="18"/>
          <w:szCs w:val="18"/>
          <w:lang w:val="en-US"/>
        </w:rPr>
        <w:t>").”</w:t>
      </w:r>
    </w:p>
    <w:p w14:paraId="7E12FFAE" w14:textId="77777777" w:rsidR="009B214E" w:rsidRPr="009B214E" w:rsidRDefault="009B214E" w:rsidP="0072642E">
      <w:pPr>
        <w:suppressAutoHyphens/>
        <w:spacing w:after="120"/>
        <w:ind w:left="2268" w:right="1395" w:hanging="1134"/>
        <w:jc w:val="both"/>
      </w:pPr>
      <w:r w:rsidRPr="009B214E">
        <w:rPr>
          <w:i/>
          <w:iCs/>
        </w:rPr>
        <w:t>Table 8,</w:t>
      </w:r>
      <w:r w:rsidRPr="009B214E">
        <w:t xml:space="preserve"> amend to read:</w:t>
      </w:r>
    </w:p>
    <w:p w14:paraId="39E7A9D3" w14:textId="77777777" w:rsidR="009B214E" w:rsidRPr="009B214E" w:rsidRDefault="009B214E" w:rsidP="0072642E">
      <w:pPr>
        <w:suppressAutoHyphens/>
        <w:ind w:left="2268" w:right="1133"/>
        <w:rPr>
          <w:snapToGrid w:val="0"/>
          <w:lang w:val="en-US" w:eastAsia="de-DE"/>
        </w:rPr>
      </w:pPr>
      <w:r w:rsidRPr="009B214E">
        <w:rPr>
          <w:snapToGrid w:val="0"/>
          <w:lang w:val="en-US" w:eastAsia="de-DE"/>
        </w:rPr>
        <w:t xml:space="preserve">“Table 8 </w:t>
      </w:r>
    </w:p>
    <w:p w14:paraId="076AE7FC" w14:textId="77777777" w:rsidR="009B214E" w:rsidRPr="009B214E" w:rsidRDefault="009B214E" w:rsidP="0072642E">
      <w:pPr>
        <w:suppressAutoHyphens/>
        <w:spacing w:after="120"/>
        <w:ind w:left="2268" w:right="1134"/>
        <w:rPr>
          <w:b/>
          <w:bCs/>
          <w:lang w:val="en-US"/>
        </w:rPr>
      </w:pPr>
      <w:r w:rsidRPr="009B214E">
        <w:rPr>
          <w:b/>
          <w:bCs/>
          <w:lang w:val="en-US"/>
        </w:rPr>
        <w:lastRenderedPageBreak/>
        <w:t>Passing-beam elements angular position/extend, additional requirements (indicated for right-hand traffic)</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72"/>
        <w:gridCol w:w="5107"/>
        <w:gridCol w:w="1416"/>
        <w:gridCol w:w="1275"/>
      </w:tblGrid>
      <w:tr w:rsidR="009B214E" w:rsidRPr="009B214E" w14:paraId="0C669C3A" w14:textId="77777777" w:rsidTr="009B214E">
        <w:trPr>
          <w:cantSplit/>
          <w:trHeight w:val="20"/>
          <w:jc w:val="center"/>
        </w:trPr>
        <w:tc>
          <w:tcPr>
            <w:tcW w:w="272" w:type="dxa"/>
            <w:vMerge w:val="restart"/>
            <w:tcBorders>
              <w:top w:val="single" w:sz="4" w:space="0" w:color="auto"/>
              <w:left w:val="single" w:sz="4" w:space="0" w:color="auto"/>
              <w:bottom w:val="single" w:sz="12" w:space="0" w:color="auto"/>
              <w:right w:val="single" w:sz="4" w:space="0" w:color="auto"/>
            </w:tcBorders>
            <w:tcMar>
              <w:top w:w="28" w:type="dxa"/>
              <w:left w:w="30" w:type="dxa"/>
              <w:bottom w:w="28" w:type="dxa"/>
              <w:right w:w="30" w:type="dxa"/>
            </w:tcMar>
            <w:vAlign w:val="center"/>
          </w:tcPr>
          <w:p w14:paraId="2B526A57" w14:textId="77777777" w:rsidR="009B214E" w:rsidRPr="009B214E" w:rsidRDefault="009B214E" w:rsidP="0072642E">
            <w:pPr>
              <w:suppressAutoHyphens/>
              <w:spacing w:before="20" w:after="20"/>
              <w:ind w:left="-150"/>
              <w:jc w:val="center"/>
              <w:rPr>
                <w:b/>
                <w:bCs/>
                <w:i/>
                <w:snapToGrid w:val="0"/>
                <w:sz w:val="16"/>
                <w:szCs w:val="16"/>
                <w:lang w:val="en-US" w:eastAsia="de-DE"/>
              </w:rPr>
            </w:pPr>
          </w:p>
        </w:tc>
        <w:tc>
          <w:tcPr>
            <w:tcW w:w="5110" w:type="dxa"/>
            <w:vMerge w:val="restart"/>
            <w:tcBorders>
              <w:top w:val="single" w:sz="4" w:space="0" w:color="auto"/>
              <w:left w:val="single" w:sz="4" w:space="0" w:color="auto"/>
              <w:bottom w:val="single" w:sz="12" w:space="0" w:color="auto"/>
              <w:right w:val="single" w:sz="4" w:space="0" w:color="auto"/>
            </w:tcBorders>
            <w:tcMar>
              <w:top w:w="28" w:type="dxa"/>
              <w:left w:w="30" w:type="dxa"/>
              <w:bottom w:w="28" w:type="dxa"/>
              <w:right w:w="30" w:type="dxa"/>
            </w:tcMar>
            <w:vAlign w:val="center"/>
            <w:hideMark/>
          </w:tcPr>
          <w:p w14:paraId="13C66380" w14:textId="77777777" w:rsidR="009B214E" w:rsidRPr="009B214E" w:rsidRDefault="009B214E" w:rsidP="0072642E">
            <w:pPr>
              <w:suppressAutoHyphens/>
              <w:spacing w:before="20" w:after="20"/>
              <w:ind w:left="70"/>
              <w:rPr>
                <w:b/>
                <w:bCs/>
                <w:i/>
                <w:snapToGrid w:val="0"/>
                <w:sz w:val="16"/>
                <w:szCs w:val="16"/>
                <w:lang w:val="en-US" w:eastAsia="de-DE"/>
              </w:rPr>
            </w:pPr>
            <w:r w:rsidRPr="009B214E">
              <w:rPr>
                <w:b/>
                <w:bCs/>
                <w:i/>
                <w:snapToGrid w:val="0"/>
                <w:sz w:val="16"/>
                <w:szCs w:val="16"/>
                <w:lang w:val="en-US" w:eastAsia="de-DE"/>
              </w:rPr>
              <w:t xml:space="preserve">Beam part designation and requirement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30" w:type="dxa"/>
              <w:bottom w:w="28" w:type="dxa"/>
              <w:right w:w="30" w:type="dxa"/>
            </w:tcMar>
            <w:vAlign w:val="center"/>
            <w:hideMark/>
          </w:tcPr>
          <w:p w14:paraId="3CE3DB73" w14:textId="77777777" w:rsidR="009B214E" w:rsidRPr="009B214E" w:rsidRDefault="009B214E" w:rsidP="0072642E">
            <w:pPr>
              <w:suppressAutoHyphens/>
              <w:spacing w:before="20" w:after="20"/>
              <w:jc w:val="center"/>
              <w:rPr>
                <w:b/>
                <w:bCs/>
                <w:i/>
                <w:snapToGrid w:val="0"/>
                <w:sz w:val="16"/>
                <w:szCs w:val="16"/>
                <w:lang w:val="en-US" w:eastAsia="de-DE"/>
              </w:rPr>
            </w:pPr>
            <w:r w:rsidRPr="009B214E">
              <w:rPr>
                <w:rFonts w:eastAsia="HGSGothicM"/>
                <w:b/>
                <w:bCs/>
                <w:i/>
                <w:sz w:val="16"/>
                <w:szCs w:val="16"/>
                <w:lang w:val="en-US"/>
              </w:rPr>
              <w:t>Angular coordinates in deg.</w:t>
            </w:r>
          </w:p>
        </w:tc>
      </w:tr>
      <w:tr w:rsidR="009B214E" w:rsidRPr="009B214E" w14:paraId="0DED34C3" w14:textId="77777777" w:rsidTr="009B214E">
        <w:trPr>
          <w:cantSplit/>
          <w:trHeight w:val="20"/>
          <w:jc w:val="center"/>
        </w:trPr>
        <w:tc>
          <w:tcPr>
            <w:tcW w:w="272" w:type="dxa"/>
            <w:vMerge/>
            <w:tcBorders>
              <w:top w:val="single" w:sz="4" w:space="0" w:color="auto"/>
              <w:left w:val="single" w:sz="4" w:space="0" w:color="auto"/>
              <w:bottom w:val="single" w:sz="12" w:space="0" w:color="auto"/>
              <w:right w:val="single" w:sz="4" w:space="0" w:color="auto"/>
            </w:tcBorders>
            <w:vAlign w:val="center"/>
            <w:hideMark/>
          </w:tcPr>
          <w:p w14:paraId="5784218E" w14:textId="77777777" w:rsidR="009B214E" w:rsidRPr="009B214E" w:rsidRDefault="009B214E" w:rsidP="0072642E">
            <w:pPr>
              <w:spacing w:line="240" w:lineRule="auto"/>
              <w:rPr>
                <w:b/>
                <w:bCs/>
                <w:i/>
                <w:snapToGrid w:val="0"/>
                <w:sz w:val="16"/>
                <w:szCs w:val="16"/>
                <w:lang w:val="en-US" w:eastAsia="de-DE"/>
              </w:rPr>
            </w:pPr>
          </w:p>
        </w:tc>
        <w:tc>
          <w:tcPr>
            <w:tcW w:w="7803" w:type="dxa"/>
            <w:vMerge/>
            <w:tcBorders>
              <w:top w:val="single" w:sz="4" w:space="0" w:color="auto"/>
              <w:left w:val="single" w:sz="4" w:space="0" w:color="auto"/>
              <w:bottom w:val="single" w:sz="12" w:space="0" w:color="auto"/>
              <w:right w:val="single" w:sz="4" w:space="0" w:color="auto"/>
            </w:tcBorders>
            <w:vAlign w:val="center"/>
            <w:hideMark/>
          </w:tcPr>
          <w:p w14:paraId="03081F2E" w14:textId="77777777" w:rsidR="009B214E" w:rsidRPr="009B214E" w:rsidRDefault="009B214E" w:rsidP="0072642E">
            <w:pPr>
              <w:spacing w:line="240" w:lineRule="auto"/>
              <w:rPr>
                <w:b/>
                <w:bCs/>
                <w:i/>
                <w:snapToGrid w:val="0"/>
                <w:sz w:val="16"/>
                <w:szCs w:val="16"/>
                <w:lang w:val="en-US" w:eastAsia="de-DE"/>
              </w:rPr>
            </w:pPr>
          </w:p>
        </w:tc>
        <w:tc>
          <w:tcPr>
            <w:tcW w:w="1417" w:type="dxa"/>
            <w:tcBorders>
              <w:top w:val="single" w:sz="4" w:space="0" w:color="auto"/>
              <w:left w:val="single" w:sz="4" w:space="0" w:color="auto"/>
              <w:bottom w:val="single" w:sz="12" w:space="0" w:color="auto"/>
              <w:right w:val="single" w:sz="4" w:space="0" w:color="auto"/>
            </w:tcBorders>
            <w:tcMar>
              <w:top w:w="28" w:type="dxa"/>
              <w:left w:w="30" w:type="dxa"/>
              <w:bottom w:w="28" w:type="dxa"/>
              <w:right w:w="30" w:type="dxa"/>
            </w:tcMar>
            <w:vAlign w:val="center"/>
            <w:hideMark/>
          </w:tcPr>
          <w:p w14:paraId="69A0CBF9" w14:textId="77777777" w:rsidR="009B214E" w:rsidRPr="009B214E" w:rsidRDefault="009B214E" w:rsidP="0072642E">
            <w:pPr>
              <w:suppressAutoHyphens/>
              <w:spacing w:before="20" w:after="20"/>
              <w:ind w:left="57"/>
              <w:jc w:val="center"/>
              <w:rPr>
                <w:b/>
                <w:bCs/>
                <w:i/>
                <w:snapToGrid w:val="0"/>
                <w:sz w:val="16"/>
                <w:szCs w:val="16"/>
                <w:lang w:val="en-US" w:eastAsia="de-DE"/>
              </w:rPr>
            </w:pPr>
            <w:r w:rsidRPr="009B214E">
              <w:rPr>
                <w:b/>
                <w:bCs/>
                <w:i/>
                <w:snapToGrid w:val="0"/>
                <w:sz w:val="16"/>
                <w:szCs w:val="16"/>
                <w:lang w:val="en-US" w:eastAsia="de-DE"/>
              </w:rPr>
              <w:t>vertical</w:t>
            </w:r>
          </w:p>
        </w:tc>
        <w:tc>
          <w:tcPr>
            <w:tcW w:w="1276" w:type="dxa"/>
            <w:tcBorders>
              <w:top w:val="single" w:sz="4" w:space="0" w:color="auto"/>
              <w:left w:val="single" w:sz="4" w:space="0" w:color="auto"/>
              <w:bottom w:val="single" w:sz="12" w:space="0" w:color="auto"/>
              <w:right w:val="single" w:sz="4" w:space="0" w:color="auto"/>
            </w:tcBorders>
            <w:tcMar>
              <w:top w:w="28" w:type="dxa"/>
              <w:left w:w="30" w:type="dxa"/>
              <w:bottom w:w="28" w:type="dxa"/>
              <w:right w:w="30" w:type="dxa"/>
            </w:tcMar>
            <w:vAlign w:val="center"/>
            <w:hideMark/>
          </w:tcPr>
          <w:p w14:paraId="58BE0C5D" w14:textId="77777777" w:rsidR="009B214E" w:rsidRPr="009B214E" w:rsidRDefault="009B214E" w:rsidP="0072642E">
            <w:pPr>
              <w:suppressAutoHyphens/>
              <w:spacing w:before="20" w:after="20"/>
              <w:ind w:left="57"/>
              <w:jc w:val="center"/>
              <w:rPr>
                <w:b/>
                <w:bCs/>
                <w:i/>
                <w:snapToGrid w:val="0"/>
                <w:sz w:val="16"/>
                <w:szCs w:val="16"/>
                <w:lang w:val="en-US" w:eastAsia="de-DE"/>
              </w:rPr>
            </w:pPr>
            <w:r w:rsidRPr="009B214E">
              <w:rPr>
                <w:b/>
                <w:bCs/>
                <w:i/>
                <w:snapToGrid w:val="0"/>
                <w:sz w:val="16"/>
                <w:szCs w:val="16"/>
                <w:lang w:val="en-US" w:eastAsia="de-DE"/>
              </w:rPr>
              <w:t>horizontal</w:t>
            </w:r>
          </w:p>
        </w:tc>
      </w:tr>
      <w:tr w:rsidR="009B214E" w:rsidRPr="009B214E" w14:paraId="755E6D96" w14:textId="77777777" w:rsidTr="009B214E">
        <w:trPr>
          <w:cantSplit/>
          <w:trHeight w:hRule="exact" w:val="1500"/>
          <w:jc w:val="center"/>
        </w:trPr>
        <w:tc>
          <w:tcPr>
            <w:tcW w:w="272" w:type="dxa"/>
            <w:tcBorders>
              <w:top w:val="single" w:sz="12" w:space="0" w:color="auto"/>
              <w:left w:val="single" w:sz="4" w:space="0" w:color="auto"/>
              <w:bottom w:val="single" w:sz="4" w:space="0" w:color="auto"/>
              <w:right w:val="single" w:sz="4" w:space="0" w:color="auto"/>
            </w:tcBorders>
            <w:tcMar>
              <w:top w:w="28" w:type="dxa"/>
              <w:left w:w="30" w:type="dxa"/>
              <w:bottom w:w="28" w:type="dxa"/>
              <w:right w:w="30" w:type="dxa"/>
            </w:tcMar>
            <w:vAlign w:val="center"/>
            <w:hideMark/>
          </w:tcPr>
          <w:p w14:paraId="600DE2AC" w14:textId="77777777" w:rsidR="009B214E" w:rsidRPr="009B214E" w:rsidRDefault="009B214E" w:rsidP="0072642E">
            <w:pPr>
              <w:suppressAutoHyphens/>
              <w:spacing w:before="20" w:after="20"/>
              <w:rPr>
                <w:snapToGrid w:val="0"/>
                <w:sz w:val="18"/>
                <w:szCs w:val="18"/>
                <w:lang w:val="en-US" w:eastAsia="de-DE"/>
              </w:rPr>
            </w:pPr>
            <w:r w:rsidRPr="009B214E">
              <w:rPr>
                <w:snapToGrid w:val="0"/>
                <w:sz w:val="18"/>
                <w:szCs w:val="18"/>
                <w:lang w:val="en-US" w:eastAsia="de-DE"/>
              </w:rPr>
              <w:t>A</w:t>
            </w:r>
          </w:p>
        </w:tc>
        <w:tc>
          <w:tcPr>
            <w:tcW w:w="5110" w:type="dxa"/>
            <w:tcBorders>
              <w:top w:val="single" w:sz="12" w:space="0" w:color="auto"/>
              <w:left w:val="single" w:sz="4" w:space="0" w:color="auto"/>
              <w:bottom w:val="single" w:sz="4" w:space="0" w:color="auto"/>
              <w:right w:val="single" w:sz="4" w:space="0" w:color="auto"/>
            </w:tcBorders>
            <w:tcMar>
              <w:top w:w="28" w:type="dxa"/>
              <w:left w:w="30" w:type="dxa"/>
              <w:bottom w:w="28" w:type="dxa"/>
              <w:right w:w="30" w:type="dxa"/>
            </w:tcMar>
            <w:vAlign w:val="center"/>
          </w:tcPr>
          <w:p w14:paraId="0FBDC56B" w14:textId="60453428" w:rsidR="009B214E" w:rsidRPr="009B214E" w:rsidRDefault="009B214E" w:rsidP="0072642E">
            <w:pPr>
              <w:suppressAutoHyphens/>
              <w:spacing w:after="20"/>
              <w:ind w:left="6"/>
              <w:rPr>
                <w:snapToGrid w:val="0"/>
                <w:sz w:val="18"/>
                <w:szCs w:val="18"/>
                <w:vertAlign w:val="subscript"/>
                <w:lang w:val="en-US" w:eastAsia="de-DE"/>
              </w:rPr>
            </w:pPr>
            <w:r w:rsidRPr="009B214E">
              <w:rPr>
                <w:snapToGrid w:val="0"/>
                <w:sz w:val="18"/>
                <w:szCs w:val="18"/>
                <w:lang w:val="en-US" w:eastAsia="de-DE"/>
              </w:rPr>
              <w:t>Angular position / extend for Zone I</w:t>
            </w:r>
            <w:r w:rsidRPr="009B214E">
              <w:rPr>
                <w:snapToGrid w:val="0"/>
                <w:sz w:val="18"/>
                <w:szCs w:val="18"/>
                <w:vertAlign w:val="subscript"/>
                <w:lang w:val="en-US" w:eastAsia="de-DE"/>
              </w:rPr>
              <w:t>max</w:t>
            </w:r>
          </w:p>
          <w:p w14:paraId="7E4B40AE" w14:textId="77777777" w:rsidR="009B214E" w:rsidRPr="009B214E" w:rsidRDefault="009B214E" w:rsidP="0072642E">
            <w:pPr>
              <w:suppressAutoHyphens/>
              <w:spacing w:after="20"/>
              <w:ind w:left="6"/>
              <w:rPr>
                <w:snapToGrid w:val="0"/>
                <w:sz w:val="18"/>
                <w:szCs w:val="18"/>
                <w:vertAlign w:val="subscript"/>
                <w:lang w:val="en-US" w:eastAsia="de-DE"/>
              </w:rPr>
            </w:pPr>
          </w:p>
          <w:p w14:paraId="27FD56DD" w14:textId="7651DA11" w:rsidR="009B214E" w:rsidRPr="009B214E" w:rsidRDefault="009B214E" w:rsidP="0072642E">
            <w:pPr>
              <w:suppressAutoHyphens/>
              <w:spacing w:before="20" w:after="20"/>
              <w:ind w:left="6"/>
              <w:jc w:val="both"/>
              <w:rPr>
                <w:b/>
                <w:snapToGrid w:val="0"/>
                <w:sz w:val="18"/>
                <w:szCs w:val="18"/>
                <w:lang w:val="en-US" w:eastAsia="de-DE"/>
              </w:rPr>
            </w:pPr>
            <w:r w:rsidRPr="009B214E">
              <w:rPr>
                <w:snapToGrid w:val="0"/>
                <w:sz w:val="18"/>
                <w:szCs w:val="18"/>
                <w:lang w:val="en-US" w:eastAsia="de-DE"/>
              </w:rPr>
              <w:t>The maximum luminous intensity in "Zone I</w:t>
            </w:r>
            <w:r w:rsidRPr="009B214E">
              <w:rPr>
                <w:snapToGrid w:val="0"/>
                <w:sz w:val="18"/>
                <w:szCs w:val="18"/>
                <w:vertAlign w:val="subscript"/>
                <w:lang w:val="en-US" w:eastAsia="de-DE"/>
              </w:rPr>
              <w:t>max</w:t>
            </w:r>
            <w:r w:rsidRPr="009B214E">
              <w:rPr>
                <w:snapToGrid w:val="0"/>
                <w:sz w:val="18"/>
                <w:szCs w:val="18"/>
                <w:lang w:val="en-US" w:eastAsia="de-DE"/>
              </w:rPr>
              <w:t>" as indicated in this Table shall be within the limits as prescribed in “I</w:t>
            </w:r>
            <w:r w:rsidRPr="009B214E">
              <w:rPr>
                <w:snapToGrid w:val="0"/>
                <w:sz w:val="18"/>
                <w:szCs w:val="18"/>
                <w:vertAlign w:val="subscript"/>
                <w:lang w:val="en-US" w:eastAsia="de-DE"/>
              </w:rPr>
              <w:t>max</w:t>
            </w:r>
            <w:r w:rsidRPr="009B214E">
              <w:rPr>
                <w:snapToGrid w:val="0"/>
                <w:sz w:val="18"/>
                <w:szCs w:val="18"/>
                <w:lang w:val="en-US" w:eastAsia="de-DE"/>
              </w:rPr>
              <w:t>” in Table 7.</w:t>
            </w:r>
          </w:p>
        </w:tc>
        <w:tc>
          <w:tcPr>
            <w:tcW w:w="1417" w:type="dxa"/>
            <w:tcBorders>
              <w:top w:val="single" w:sz="12" w:space="0" w:color="auto"/>
              <w:left w:val="single" w:sz="4" w:space="0" w:color="auto"/>
              <w:bottom w:val="single" w:sz="4" w:space="0" w:color="auto"/>
              <w:right w:val="single" w:sz="4" w:space="0" w:color="auto"/>
            </w:tcBorders>
            <w:tcMar>
              <w:top w:w="28" w:type="dxa"/>
              <w:left w:w="30" w:type="dxa"/>
              <w:bottom w:w="28" w:type="dxa"/>
              <w:right w:w="30" w:type="dxa"/>
            </w:tcMar>
            <w:vAlign w:val="center"/>
            <w:hideMark/>
          </w:tcPr>
          <w:p w14:paraId="3CFA154E" w14:textId="77777777" w:rsidR="009B214E" w:rsidRPr="009B214E" w:rsidRDefault="009B214E" w:rsidP="0072642E">
            <w:pPr>
              <w:suppressAutoHyphens/>
              <w:spacing w:before="20" w:after="20"/>
              <w:ind w:left="57"/>
              <w:jc w:val="center"/>
              <w:rPr>
                <w:snapToGrid w:val="0"/>
                <w:sz w:val="18"/>
                <w:szCs w:val="18"/>
                <w:lang w:val="en-US" w:eastAsia="de-DE"/>
              </w:rPr>
            </w:pPr>
            <w:r w:rsidRPr="009B214E">
              <w:rPr>
                <w:snapToGrid w:val="0"/>
                <w:sz w:val="18"/>
                <w:szCs w:val="18"/>
                <w:lang w:val="en-US" w:eastAsia="de-DE"/>
              </w:rPr>
              <w:t>0.</w:t>
            </w:r>
            <w:r w:rsidRPr="009B214E">
              <w:rPr>
                <w:snapToGrid w:val="0"/>
                <w:spacing w:val="30"/>
                <w:sz w:val="18"/>
                <w:szCs w:val="18"/>
                <w:lang w:val="en-US" w:eastAsia="de-DE"/>
              </w:rPr>
              <w:t>3°</w:t>
            </w:r>
            <w:r w:rsidRPr="009B214E">
              <w:rPr>
                <w:snapToGrid w:val="0"/>
                <w:sz w:val="18"/>
                <w:szCs w:val="18"/>
                <w:lang w:val="en-US" w:eastAsia="de-DE"/>
              </w:rPr>
              <w:t>D</w:t>
            </w:r>
          </w:p>
          <w:p w14:paraId="611033F1" w14:textId="77777777" w:rsidR="009B214E" w:rsidRPr="009B214E" w:rsidRDefault="009B214E" w:rsidP="0072642E">
            <w:pPr>
              <w:suppressAutoHyphens/>
              <w:spacing w:before="20" w:after="20"/>
              <w:ind w:left="57"/>
              <w:jc w:val="center"/>
              <w:rPr>
                <w:snapToGrid w:val="0"/>
                <w:sz w:val="18"/>
                <w:szCs w:val="18"/>
                <w:lang w:val="en-US" w:eastAsia="de-DE"/>
              </w:rPr>
            </w:pPr>
            <w:r w:rsidRPr="009B214E">
              <w:rPr>
                <w:snapToGrid w:val="0"/>
                <w:sz w:val="18"/>
                <w:szCs w:val="18"/>
                <w:lang w:val="en-US" w:eastAsia="de-DE"/>
              </w:rPr>
              <w:t>to</w:t>
            </w:r>
          </w:p>
          <w:p w14:paraId="45A57FE3" w14:textId="77777777" w:rsidR="009B214E" w:rsidRPr="009B214E" w:rsidRDefault="009B214E" w:rsidP="0072642E">
            <w:pPr>
              <w:suppressAutoHyphens/>
              <w:spacing w:before="20" w:after="20"/>
              <w:ind w:left="57"/>
              <w:jc w:val="center"/>
              <w:rPr>
                <w:snapToGrid w:val="0"/>
                <w:sz w:val="18"/>
                <w:szCs w:val="18"/>
                <w:lang w:val="en-US" w:eastAsia="de-DE"/>
              </w:rPr>
            </w:pPr>
            <w:r w:rsidRPr="009B214E">
              <w:rPr>
                <w:snapToGrid w:val="0"/>
                <w:sz w:val="18"/>
                <w:szCs w:val="18"/>
                <w:lang w:val="en-US" w:eastAsia="de-DE"/>
              </w:rPr>
              <w:t>1.72 ° D</w:t>
            </w:r>
          </w:p>
        </w:tc>
        <w:tc>
          <w:tcPr>
            <w:tcW w:w="1276" w:type="dxa"/>
            <w:tcBorders>
              <w:top w:val="single" w:sz="12" w:space="0" w:color="auto"/>
              <w:left w:val="single" w:sz="4" w:space="0" w:color="auto"/>
              <w:bottom w:val="single" w:sz="4" w:space="0" w:color="auto"/>
              <w:right w:val="single" w:sz="4" w:space="0" w:color="auto"/>
            </w:tcBorders>
            <w:tcMar>
              <w:top w:w="28" w:type="dxa"/>
              <w:left w:w="30" w:type="dxa"/>
              <w:bottom w:w="28" w:type="dxa"/>
              <w:right w:w="30" w:type="dxa"/>
            </w:tcMar>
            <w:vAlign w:val="center"/>
            <w:hideMark/>
          </w:tcPr>
          <w:p w14:paraId="79281169" w14:textId="77777777" w:rsidR="009B214E" w:rsidRPr="009B214E" w:rsidRDefault="009B214E" w:rsidP="0072642E">
            <w:pPr>
              <w:suppressAutoHyphens/>
              <w:spacing w:before="20" w:after="20"/>
              <w:jc w:val="center"/>
              <w:rPr>
                <w:snapToGrid w:val="0"/>
                <w:sz w:val="18"/>
                <w:szCs w:val="18"/>
                <w:lang w:val="en-US" w:eastAsia="de-DE"/>
              </w:rPr>
            </w:pPr>
            <w:r w:rsidRPr="009B214E">
              <w:rPr>
                <w:snapToGrid w:val="0"/>
                <w:sz w:val="18"/>
                <w:szCs w:val="18"/>
                <w:lang w:val="en-US" w:eastAsia="de-DE"/>
              </w:rPr>
              <w:t>0.</w:t>
            </w:r>
            <w:r w:rsidRPr="009B214E">
              <w:rPr>
                <w:snapToGrid w:val="0"/>
                <w:spacing w:val="30"/>
                <w:sz w:val="18"/>
                <w:szCs w:val="18"/>
                <w:lang w:val="en-US" w:eastAsia="de-DE"/>
              </w:rPr>
              <w:t>5°</w:t>
            </w:r>
            <w:r w:rsidRPr="009B214E">
              <w:rPr>
                <w:snapToGrid w:val="0"/>
                <w:sz w:val="18"/>
                <w:szCs w:val="18"/>
                <w:lang w:val="en-US" w:eastAsia="de-DE"/>
              </w:rPr>
              <w:t>L</w:t>
            </w:r>
          </w:p>
          <w:p w14:paraId="1130E335" w14:textId="77777777" w:rsidR="009B214E" w:rsidRPr="009B214E" w:rsidRDefault="009B214E" w:rsidP="0072642E">
            <w:pPr>
              <w:suppressAutoHyphens/>
              <w:spacing w:before="20" w:after="20"/>
              <w:ind w:left="57"/>
              <w:jc w:val="center"/>
              <w:rPr>
                <w:snapToGrid w:val="0"/>
                <w:sz w:val="18"/>
                <w:szCs w:val="18"/>
                <w:lang w:val="en-US" w:eastAsia="de-DE"/>
              </w:rPr>
            </w:pPr>
            <w:r w:rsidRPr="009B214E">
              <w:rPr>
                <w:snapToGrid w:val="0"/>
                <w:sz w:val="18"/>
                <w:szCs w:val="18"/>
                <w:lang w:val="en-US" w:eastAsia="de-DE"/>
              </w:rPr>
              <w:t>to</w:t>
            </w:r>
          </w:p>
          <w:p w14:paraId="1B8917B0" w14:textId="77777777" w:rsidR="009B214E" w:rsidRPr="009B214E" w:rsidRDefault="009B214E" w:rsidP="0072642E">
            <w:pPr>
              <w:suppressAutoHyphens/>
              <w:spacing w:before="20" w:after="20"/>
              <w:ind w:left="57"/>
              <w:jc w:val="center"/>
              <w:rPr>
                <w:snapToGrid w:val="0"/>
                <w:sz w:val="18"/>
                <w:szCs w:val="18"/>
                <w:lang w:val="en-US" w:eastAsia="de-DE"/>
              </w:rPr>
            </w:pPr>
            <w:r w:rsidRPr="009B214E">
              <w:rPr>
                <w:snapToGrid w:val="0"/>
                <w:spacing w:val="30"/>
                <w:sz w:val="18"/>
                <w:szCs w:val="18"/>
                <w:lang w:val="en-US" w:eastAsia="de-DE"/>
              </w:rPr>
              <w:t>3°</w:t>
            </w:r>
            <w:r w:rsidRPr="009B214E">
              <w:rPr>
                <w:snapToGrid w:val="0"/>
                <w:sz w:val="18"/>
                <w:szCs w:val="18"/>
                <w:lang w:val="en-US" w:eastAsia="de-DE"/>
              </w:rPr>
              <w:t>R</w:t>
            </w:r>
          </w:p>
        </w:tc>
      </w:tr>
      <w:tr w:rsidR="009B214E" w:rsidRPr="009B214E" w14:paraId="08764213" w14:textId="77777777" w:rsidTr="009B214E">
        <w:trPr>
          <w:cantSplit/>
          <w:trHeight w:hRule="exact" w:val="656"/>
          <w:jc w:val="center"/>
        </w:trPr>
        <w:tc>
          <w:tcPr>
            <w:tcW w:w="272" w:type="dxa"/>
            <w:vMerge w:val="restart"/>
            <w:tcBorders>
              <w:top w:val="single" w:sz="4" w:space="0" w:color="auto"/>
              <w:left w:val="single" w:sz="4" w:space="0" w:color="auto"/>
              <w:bottom w:val="single" w:sz="12" w:space="0" w:color="auto"/>
              <w:right w:val="single" w:sz="4" w:space="0" w:color="auto"/>
            </w:tcBorders>
            <w:tcMar>
              <w:top w:w="28" w:type="dxa"/>
              <w:left w:w="30" w:type="dxa"/>
              <w:bottom w:w="28" w:type="dxa"/>
              <w:right w:w="30" w:type="dxa"/>
            </w:tcMar>
            <w:vAlign w:val="center"/>
            <w:hideMark/>
          </w:tcPr>
          <w:p w14:paraId="429F0B9A" w14:textId="77777777" w:rsidR="009B214E" w:rsidRPr="009B214E" w:rsidRDefault="009B214E" w:rsidP="0072642E">
            <w:pPr>
              <w:suppressAutoHyphens/>
              <w:spacing w:before="20" w:after="20"/>
              <w:rPr>
                <w:snapToGrid w:val="0"/>
                <w:sz w:val="18"/>
                <w:szCs w:val="18"/>
                <w:lang w:val="en-US" w:eastAsia="de-DE"/>
              </w:rPr>
            </w:pPr>
            <w:r w:rsidRPr="009B214E">
              <w:rPr>
                <w:snapToGrid w:val="0"/>
                <w:sz w:val="18"/>
                <w:szCs w:val="18"/>
                <w:lang w:val="en-US" w:eastAsia="de-DE"/>
              </w:rPr>
              <w:t>B</w:t>
            </w:r>
          </w:p>
        </w:tc>
        <w:tc>
          <w:tcPr>
            <w:tcW w:w="7803" w:type="dxa"/>
            <w:gridSpan w:val="3"/>
            <w:tcBorders>
              <w:top w:val="single" w:sz="4" w:space="0" w:color="auto"/>
              <w:left w:val="single" w:sz="4" w:space="0" w:color="auto"/>
              <w:bottom w:val="single" w:sz="4" w:space="0" w:color="auto"/>
              <w:right w:val="single" w:sz="4" w:space="0" w:color="auto"/>
            </w:tcBorders>
            <w:tcMar>
              <w:top w:w="28" w:type="dxa"/>
              <w:left w:w="30" w:type="dxa"/>
              <w:bottom w:w="28" w:type="dxa"/>
              <w:right w:w="30" w:type="dxa"/>
            </w:tcMar>
            <w:vAlign w:val="center"/>
            <w:hideMark/>
          </w:tcPr>
          <w:p w14:paraId="6A8CF360" w14:textId="77777777" w:rsidR="009B214E" w:rsidRPr="009B214E" w:rsidRDefault="009B214E" w:rsidP="0072642E">
            <w:pPr>
              <w:suppressAutoHyphens/>
              <w:spacing w:before="20" w:after="20"/>
              <w:rPr>
                <w:snapToGrid w:val="0"/>
                <w:sz w:val="18"/>
                <w:szCs w:val="18"/>
                <w:lang w:val="en-US" w:eastAsia="de-DE"/>
              </w:rPr>
            </w:pPr>
            <w:r w:rsidRPr="009B214E">
              <w:rPr>
                <w:snapToGrid w:val="0"/>
                <w:sz w:val="18"/>
                <w:szCs w:val="18"/>
                <w:lang w:val="en-US" w:eastAsia="de-DE"/>
              </w:rPr>
              <w:t>For Class C passing-beams the "cut-off" and part(s) of shall:</w:t>
            </w:r>
          </w:p>
          <w:p w14:paraId="3C61A150" w14:textId="77777777" w:rsidR="009B214E" w:rsidRPr="009B214E" w:rsidRDefault="009B214E" w:rsidP="0072642E">
            <w:pPr>
              <w:tabs>
                <w:tab w:val="left" w:pos="2939"/>
                <w:tab w:val="left" w:pos="3569"/>
              </w:tabs>
              <w:suppressAutoHyphens/>
              <w:spacing w:before="20" w:after="20"/>
              <w:ind w:left="112"/>
              <w:rPr>
                <w:snapToGrid w:val="0"/>
                <w:sz w:val="18"/>
                <w:szCs w:val="18"/>
                <w:lang w:val="en-US" w:eastAsia="de-DE"/>
              </w:rPr>
            </w:pPr>
            <w:r w:rsidRPr="009B214E">
              <w:rPr>
                <w:snapToGrid w:val="0"/>
                <w:sz w:val="18"/>
                <w:szCs w:val="18"/>
                <w:lang w:val="en-US" w:eastAsia="de-DE"/>
              </w:rPr>
              <w:t xml:space="preserve">(a) comply with the requirements of paragraph 1. of Annex 5 and </w:t>
            </w:r>
          </w:p>
        </w:tc>
      </w:tr>
      <w:tr w:rsidR="009B214E" w:rsidRPr="009B214E" w14:paraId="777AD1DE" w14:textId="77777777" w:rsidTr="009B214E">
        <w:trPr>
          <w:cantSplit/>
          <w:trHeight w:hRule="exact" w:val="312"/>
          <w:jc w:val="center"/>
        </w:trPr>
        <w:tc>
          <w:tcPr>
            <w:tcW w:w="272" w:type="dxa"/>
            <w:vMerge/>
            <w:tcBorders>
              <w:top w:val="single" w:sz="4" w:space="0" w:color="auto"/>
              <w:left w:val="single" w:sz="4" w:space="0" w:color="auto"/>
              <w:bottom w:val="single" w:sz="12" w:space="0" w:color="auto"/>
              <w:right w:val="single" w:sz="4" w:space="0" w:color="auto"/>
            </w:tcBorders>
            <w:vAlign w:val="center"/>
            <w:hideMark/>
          </w:tcPr>
          <w:p w14:paraId="3BD1755F" w14:textId="77777777" w:rsidR="009B214E" w:rsidRPr="009B214E" w:rsidRDefault="009B214E" w:rsidP="0072642E">
            <w:pPr>
              <w:spacing w:line="240" w:lineRule="auto"/>
              <w:rPr>
                <w:snapToGrid w:val="0"/>
                <w:sz w:val="18"/>
                <w:szCs w:val="18"/>
                <w:lang w:val="en-US" w:eastAsia="de-DE"/>
              </w:rPr>
            </w:pPr>
          </w:p>
        </w:tc>
        <w:tc>
          <w:tcPr>
            <w:tcW w:w="5110" w:type="dxa"/>
            <w:tcBorders>
              <w:top w:val="single" w:sz="4" w:space="0" w:color="auto"/>
              <w:left w:val="single" w:sz="4" w:space="0" w:color="auto"/>
              <w:bottom w:val="single" w:sz="12" w:space="0" w:color="auto"/>
              <w:right w:val="single" w:sz="4" w:space="0" w:color="auto"/>
            </w:tcBorders>
            <w:tcMar>
              <w:top w:w="28" w:type="dxa"/>
              <w:left w:w="30" w:type="dxa"/>
              <w:bottom w:w="28" w:type="dxa"/>
              <w:right w:w="30" w:type="dxa"/>
            </w:tcMar>
            <w:hideMark/>
          </w:tcPr>
          <w:p w14:paraId="6D908644" w14:textId="77777777" w:rsidR="009B214E" w:rsidRPr="009B214E" w:rsidRDefault="009B214E" w:rsidP="0072642E">
            <w:pPr>
              <w:tabs>
                <w:tab w:val="left" w:pos="2939"/>
                <w:tab w:val="left" w:pos="3569"/>
              </w:tabs>
              <w:suppressAutoHyphens/>
              <w:spacing w:before="20"/>
              <w:ind w:left="374" w:hanging="262"/>
              <w:rPr>
                <w:snapToGrid w:val="0"/>
                <w:sz w:val="18"/>
                <w:szCs w:val="18"/>
                <w:lang w:val="en-US" w:eastAsia="de-DE"/>
              </w:rPr>
            </w:pPr>
            <w:r w:rsidRPr="009B214E">
              <w:rPr>
                <w:snapToGrid w:val="0"/>
                <w:sz w:val="18"/>
                <w:szCs w:val="18"/>
                <w:lang w:val="en-US" w:eastAsia="de-DE"/>
              </w:rPr>
              <w:t>(b) be positioned with its "flat horizontal part" at</w:t>
            </w:r>
          </w:p>
        </w:tc>
        <w:tc>
          <w:tcPr>
            <w:tcW w:w="1417" w:type="dxa"/>
            <w:tcBorders>
              <w:top w:val="single" w:sz="4" w:space="0" w:color="auto"/>
              <w:left w:val="single" w:sz="4" w:space="0" w:color="auto"/>
              <w:bottom w:val="single" w:sz="12" w:space="0" w:color="auto"/>
              <w:right w:val="single" w:sz="4" w:space="0" w:color="auto"/>
            </w:tcBorders>
            <w:tcMar>
              <w:top w:w="28" w:type="dxa"/>
              <w:left w:w="30" w:type="dxa"/>
              <w:bottom w:w="28" w:type="dxa"/>
              <w:right w:w="30" w:type="dxa"/>
            </w:tcMar>
            <w:vAlign w:val="center"/>
            <w:hideMark/>
          </w:tcPr>
          <w:p w14:paraId="5C7BC6DA" w14:textId="77777777" w:rsidR="009B214E" w:rsidRPr="009B214E" w:rsidRDefault="009B214E" w:rsidP="0072642E">
            <w:pPr>
              <w:tabs>
                <w:tab w:val="left" w:pos="293"/>
              </w:tabs>
              <w:suppressAutoHyphens/>
              <w:spacing w:before="20" w:after="20"/>
              <w:ind w:left="57"/>
              <w:jc w:val="center"/>
              <w:rPr>
                <w:snapToGrid w:val="0"/>
                <w:sz w:val="18"/>
                <w:szCs w:val="18"/>
                <w:lang w:val="en-US" w:eastAsia="de-DE"/>
              </w:rPr>
            </w:pPr>
            <w:r w:rsidRPr="009B214E">
              <w:rPr>
                <w:snapToGrid w:val="0"/>
                <w:sz w:val="18"/>
                <w:szCs w:val="18"/>
                <w:lang w:val="en-US" w:eastAsia="de-DE"/>
              </w:rPr>
              <w:t>0.57 ° D</w:t>
            </w:r>
          </w:p>
        </w:tc>
        <w:tc>
          <w:tcPr>
            <w:tcW w:w="1276" w:type="dxa"/>
            <w:tcBorders>
              <w:top w:val="single" w:sz="4" w:space="0" w:color="auto"/>
              <w:left w:val="single" w:sz="4" w:space="0" w:color="auto"/>
              <w:bottom w:val="single" w:sz="12" w:space="0" w:color="auto"/>
              <w:right w:val="single" w:sz="4" w:space="0" w:color="auto"/>
            </w:tcBorders>
            <w:tcMar>
              <w:top w:w="28" w:type="dxa"/>
              <w:left w:w="30" w:type="dxa"/>
              <w:bottom w:w="28" w:type="dxa"/>
              <w:right w:w="30" w:type="dxa"/>
            </w:tcMar>
            <w:vAlign w:val="center"/>
            <w:hideMark/>
          </w:tcPr>
          <w:p w14:paraId="1388859F" w14:textId="77777777" w:rsidR="009B214E" w:rsidRPr="009B214E" w:rsidRDefault="009B214E" w:rsidP="0072642E">
            <w:pPr>
              <w:tabs>
                <w:tab w:val="left" w:pos="357"/>
                <w:tab w:val="left" w:pos="477"/>
              </w:tabs>
              <w:suppressAutoHyphens/>
              <w:spacing w:before="20" w:after="20"/>
              <w:ind w:left="57"/>
              <w:jc w:val="center"/>
              <w:rPr>
                <w:snapToGrid w:val="0"/>
                <w:sz w:val="18"/>
                <w:szCs w:val="18"/>
                <w:lang w:val="en-US" w:eastAsia="de-DE"/>
              </w:rPr>
            </w:pPr>
            <w:r w:rsidRPr="009B214E">
              <w:rPr>
                <w:snapToGrid w:val="0"/>
                <w:sz w:val="18"/>
                <w:szCs w:val="18"/>
                <w:lang w:val="en-US" w:eastAsia="de-DE"/>
              </w:rPr>
              <w:t>-</w:t>
            </w:r>
          </w:p>
        </w:tc>
      </w:tr>
    </w:tbl>
    <w:p w14:paraId="3DD218D3" w14:textId="77777777" w:rsidR="009B214E" w:rsidRPr="009B214E" w:rsidRDefault="009B214E" w:rsidP="0072642E">
      <w:pPr>
        <w:suppressAutoHyphens/>
        <w:ind w:right="850"/>
        <w:jc w:val="right"/>
        <w:rPr>
          <w:color w:val="000000"/>
          <w:lang w:val="en-US"/>
        </w:rPr>
      </w:pPr>
      <w:r w:rsidRPr="009B214E">
        <w:rPr>
          <w:color w:val="000000"/>
          <w:lang w:val="en-US"/>
        </w:rPr>
        <w:tab/>
        <w:t>”</w:t>
      </w:r>
    </w:p>
    <w:p w14:paraId="3FB37691" w14:textId="77777777" w:rsidR="008277D4" w:rsidRDefault="008277D4" w:rsidP="008277D4">
      <w:pPr>
        <w:spacing w:after="120"/>
        <w:ind w:left="1134"/>
        <w:jc w:val="both"/>
        <w:rPr>
          <w:i/>
          <w:iCs/>
        </w:rPr>
      </w:pPr>
      <w:r>
        <w:rPr>
          <w:i/>
          <w:iCs/>
        </w:rPr>
        <w:t>Table 25</w:t>
      </w:r>
      <w:r>
        <w:t>, amend to read:</w:t>
      </w:r>
    </w:p>
    <w:p w14:paraId="62D879B5" w14:textId="77777777" w:rsidR="008277D4" w:rsidRDefault="008277D4" w:rsidP="008277D4">
      <w:pPr>
        <w:pStyle w:val="a"/>
        <w:spacing w:before="120" w:after="0"/>
        <w:ind w:left="2268" w:firstLine="0"/>
      </w:pPr>
      <w:r>
        <w:t>“Table 25</w:t>
      </w:r>
    </w:p>
    <w:p w14:paraId="25C1F736" w14:textId="77777777" w:rsidR="008277D4" w:rsidRDefault="008277D4" w:rsidP="00284FC4">
      <w:pPr>
        <w:pStyle w:val="a"/>
        <w:ind w:left="2268" w:firstLine="0"/>
        <w:jc w:val="left"/>
        <w:rPr>
          <w:b/>
          <w:bCs/>
        </w:rPr>
      </w:pPr>
      <w:r>
        <w:rPr>
          <w:b/>
          <w:bCs/>
        </w:rPr>
        <w:t xml:space="preserve">Class V – Bend lighting – Category 1 – System Requirements </w:t>
      </w:r>
      <w:r>
        <w:rPr>
          <w:b/>
          <w:bCs/>
        </w:rPr>
        <w:br/>
        <w:t>(indicated for right-hand traffic)</w:t>
      </w:r>
    </w:p>
    <w:tbl>
      <w:tblPr>
        <w:tblW w:w="0" w:type="auto"/>
        <w:tblInd w:w="1134" w:type="dxa"/>
        <w:tblBorders>
          <w:top w:val="single" w:sz="4" w:space="0" w:color="auto"/>
          <w:bottom w:val="single" w:sz="12" w:space="0" w:color="auto"/>
        </w:tblBorders>
        <w:tblCellMar>
          <w:left w:w="0" w:type="dxa"/>
          <w:right w:w="0" w:type="dxa"/>
        </w:tblCellMar>
        <w:tblLook w:val="04A0" w:firstRow="1" w:lastRow="0" w:firstColumn="1" w:lastColumn="0" w:noHBand="0" w:noVBand="1"/>
      </w:tblPr>
      <w:tblGrid>
        <w:gridCol w:w="979"/>
        <w:gridCol w:w="859"/>
        <w:gridCol w:w="1134"/>
        <w:gridCol w:w="860"/>
        <w:gridCol w:w="850"/>
        <w:gridCol w:w="851"/>
        <w:gridCol w:w="850"/>
        <w:gridCol w:w="851"/>
        <w:gridCol w:w="850"/>
      </w:tblGrid>
      <w:tr w:rsidR="008277D4" w14:paraId="065D85F8" w14:textId="77777777" w:rsidTr="008277D4">
        <w:trPr>
          <w:trHeight w:val="261"/>
          <w:tblHeader/>
        </w:trPr>
        <w:tc>
          <w:tcPr>
            <w:tcW w:w="979" w:type="dxa"/>
            <w:vMerge w:val="restart"/>
            <w:tcBorders>
              <w:top w:val="single" w:sz="4" w:space="0" w:color="auto"/>
              <w:left w:val="single" w:sz="4" w:space="0" w:color="auto"/>
              <w:bottom w:val="single" w:sz="12" w:space="0" w:color="auto"/>
              <w:right w:val="single" w:sz="4" w:space="0" w:color="auto"/>
            </w:tcBorders>
            <w:noWrap/>
            <w:vAlign w:val="center"/>
            <w:hideMark/>
          </w:tcPr>
          <w:p w14:paraId="1D35A005" w14:textId="77777777" w:rsidR="008277D4" w:rsidRPr="007965D5" w:rsidRDefault="008277D4">
            <w:pPr>
              <w:spacing w:before="20" w:after="20"/>
              <w:ind w:left="57" w:right="57"/>
              <w:jc w:val="center"/>
              <w:rPr>
                <w:i/>
                <w:sz w:val="16"/>
                <w:szCs w:val="16"/>
                <w:lang w:val="fr-FR"/>
              </w:rPr>
            </w:pPr>
            <w:proofErr w:type="spellStart"/>
            <w:r w:rsidRPr="007965D5">
              <w:rPr>
                <w:i/>
                <w:iCs/>
                <w:sz w:val="16"/>
                <w:szCs w:val="16"/>
                <w:lang w:val="fr-FR"/>
              </w:rPr>
              <w:t>Element</w:t>
            </w:r>
            <w:proofErr w:type="spellEnd"/>
          </w:p>
        </w:tc>
        <w:tc>
          <w:tcPr>
            <w:tcW w:w="1993" w:type="dxa"/>
            <w:gridSpan w:val="2"/>
            <w:vMerge w:val="restart"/>
            <w:tcBorders>
              <w:top w:val="single" w:sz="4" w:space="0" w:color="auto"/>
              <w:left w:val="single" w:sz="4" w:space="0" w:color="auto"/>
              <w:bottom w:val="single" w:sz="2" w:space="0" w:color="auto"/>
              <w:right w:val="single" w:sz="4" w:space="0" w:color="auto"/>
            </w:tcBorders>
            <w:noWrap/>
            <w:vAlign w:val="center"/>
            <w:hideMark/>
          </w:tcPr>
          <w:p w14:paraId="2D48ABA5" w14:textId="77777777" w:rsidR="008277D4" w:rsidRPr="007965D5" w:rsidRDefault="008277D4">
            <w:pPr>
              <w:spacing w:before="20" w:after="20"/>
              <w:ind w:right="113"/>
              <w:jc w:val="center"/>
              <w:rPr>
                <w:rFonts w:eastAsia="HGSGothicM"/>
                <w:i/>
                <w:sz w:val="16"/>
                <w:szCs w:val="16"/>
                <w:lang w:val="fr-FR"/>
              </w:rPr>
            </w:pPr>
            <w:proofErr w:type="spellStart"/>
            <w:r w:rsidRPr="007965D5">
              <w:rPr>
                <w:rFonts w:eastAsia="HGSGothicM"/>
                <w:i/>
                <w:sz w:val="16"/>
                <w:szCs w:val="16"/>
                <w:lang w:val="fr-FR"/>
              </w:rPr>
              <w:t>Angular</w:t>
            </w:r>
            <w:proofErr w:type="spellEnd"/>
            <w:r w:rsidRPr="007965D5">
              <w:rPr>
                <w:rFonts w:eastAsia="HGSGothicM"/>
                <w:i/>
                <w:sz w:val="16"/>
                <w:szCs w:val="16"/>
                <w:lang w:val="fr-FR"/>
              </w:rPr>
              <w:t xml:space="preserve"> </w:t>
            </w:r>
            <w:proofErr w:type="spellStart"/>
            <w:r w:rsidRPr="007965D5">
              <w:rPr>
                <w:rFonts w:eastAsia="HGSGothicM"/>
                <w:i/>
                <w:sz w:val="16"/>
                <w:szCs w:val="16"/>
                <w:lang w:val="fr-FR"/>
              </w:rPr>
              <w:t>coordinates</w:t>
            </w:r>
            <w:proofErr w:type="spellEnd"/>
          </w:p>
          <w:p w14:paraId="57EDABE3" w14:textId="77777777" w:rsidR="008277D4" w:rsidRPr="007965D5" w:rsidRDefault="008277D4">
            <w:pPr>
              <w:spacing w:before="20" w:after="20"/>
              <w:ind w:right="113"/>
              <w:jc w:val="center"/>
              <w:rPr>
                <w:i/>
                <w:iCs/>
                <w:sz w:val="16"/>
                <w:szCs w:val="16"/>
                <w:lang w:val="fr-FR"/>
              </w:rPr>
            </w:pPr>
            <w:r w:rsidRPr="007965D5">
              <w:rPr>
                <w:rFonts w:eastAsia="HGSGothicM"/>
                <w:i/>
                <w:sz w:val="16"/>
                <w:szCs w:val="16"/>
                <w:lang w:val="fr-FR"/>
              </w:rPr>
              <w:t xml:space="preserve"> in </w:t>
            </w:r>
            <w:proofErr w:type="spellStart"/>
            <w:r w:rsidRPr="007965D5">
              <w:rPr>
                <w:rFonts w:eastAsia="HGSGothicM"/>
                <w:i/>
                <w:sz w:val="16"/>
                <w:szCs w:val="16"/>
                <w:lang w:val="fr-FR"/>
              </w:rPr>
              <w:t>deg</w:t>
            </w:r>
            <w:proofErr w:type="spellEnd"/>
          </w:p>
        </w:tc>
        <w:tc>
          <w:tcPr>
            <w:tcW w:w="5112" w:type="dxa"/>
            <w:gridSpan w:val="6"/>
            <w:tcBorders>
              <w:top w:val="single" w:sz="4" w:space="0" w:color="auto"/>
              <w:left w:val="single" w:sz="4" w:space="0" w:color="auto"/>
              <w:bottom w:val="single" w:sz="2" w:space="0" w:color="auto"/>
              <w:right w:val="single" w:sz="4" w:space="0" w:color="auto"/>
            </w:tcBorders>
            <w:vAlign w:val="center"/>
            <w:hideMark/>
          </w:tcPr>
          <w:p w14:paraId="53E8003A" w14:textId="77777777" w:rsidR="008277D4" w:rsidRPr="007965D5" w:rsidRDefault="008277D4">
            <w:pPr>
              <w:spacing w:before="20" w:after="20" w:line="276" w:lineRule="auto"/>
              <w:ind w:right="113"/>
              <w:jc w:val="center"/>
              <w:rPr>
                <w:i/>
                <w:iCs/>
                <w:sz w:val="16"/>
                <w:szCs w:val="16"/>
                <w:lang w:val="fr-FR"/>
              </w:rPr>
            </w:pPr>
            <w:proofErr w:type="spellStart"/>
            <w:r w:rsidRPr="007965D5">
              <w:rPr>
                <w:i/>
                <w:sz w:val="16"/>
                <w:szCs w:val="16"/>
                <w:lang w:val="fr-FR"/>
              </w:rPr>
              <w:t>Luminous</w:t>
            </w:r>
            <w:proofErr w:type="spellEnd"/>
            <w:r w:rsidRPr="007965D5">
              <w:rPr>
                <w:i/>
                <w:sz w:val="16"/>
                <w:szCs w:val="16"/>
                <w:lang w:val="fr-FR"/>
              </w:rPr>
              <w:t xml:space="preserve"> </w:t>
            </w:r>
            <w:proofErr w:type="spellStart"/>
            <w:r w:rsidRPr="007965D5">
              <w:rPr>
                <w:i/>
                <w:sz w:val="16"/>
                <w:szCs w:val="16"/>
                <w:lang w:val="fr-FR"/>
              </w:rPr>
              <w:t>intensity</w:t>
            </w:r>
            <w:proofErr w:type="spellEnd"/>
            <w:r w:rsidRPr="007965D5">
              <w:rPr>
                <w:i/>
                <w:sz w:val="16"/>
                <w:szCs w:val="16"/>
                <w:lang w:val="fr-FR"/>
              </w:rPr>
              <w:t xml:space="preserve"> in cd</w:t>
            </w:r>
          </w:p>
        </w:tc>
      </w:tr>
      <w:tr w:rsidR="008277D4" w14:paraId="67865ECE" w14:textId="77777777" w:rsidTr="008277D4">
        <w:trPr>
          <w:trHeight w:val="265"/>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4CE926DA" w14:textId="77777777" w:rsidR="008277D4" w:rsidRPr="007965D5" w:rsidRDefault="008277D4">
            <w:pPr>
              <w:spacing w:line="240" w:lineRule="auto"/>
              <w:rPr>
                <w:i/>
                <w:sz w:val="16"/>
                <w:szCs w:val="16"/>
                <w:lang w:val="fr-FR"/>
              </w:rPr>
            </w:pPr>
          </w:p>
        </w:tc>
        <w:tc>
          <w:tcPr>
            <w:tcW w:w="0" w:type="auto"/>
            <w:gridSpan w:val="2"/>
            <w:vMerge/>
            <w:tcBorders>
              <w:top w:val="single" w:sz="4" w:space="0" w:color="auto"/>
              <w:left w:val="single" w:sz="4" w:space="0" w:color="auto"/>
              <w:bottom w:val="single" w:sz="2" w:space="0" w:color="auto"/>
              <w:right w:val="single" w:sz="4" w:space="0" w:color="auto"/>
            </w:tcBorders>
            <w:vAlign w:val="center"/>
            <w:hideMark/>
          </w:tcPr>
          <w:p w14:paraId="27845609" w14:textId="77777777" w:rsidR="008277D4" w:rsidRPr="007965D5" w:rsidRDefault="008277D4">
            <w:pPr>
              <w:spacing w:line="240" w:lineRule="auto"/>
              <w:rPr>
                <w:i/>
                <w:iCs/>
                <w:sz w:val="16"/>
                <w:szCs w:val="16"/>
                <w:lang w:val="fr-FR"/>
              </w:rPr>
            </w:pPr>
          </w:p>
        </w:tc>
        <w:tc>
          <w:tcPr>
            <w:tcW w:w="1710" w:type="dxa"/>
            <w:gridSpan w:val="2"/>
            <w:tcBorders>
              <w:top w:val="single" w:sz="4" w:space="0" w:color="auto"/>
              <w:left w:val="single" w:sz="4" w:space="0" w:color="auto"/>
              <w:bottom w:val="single" w:sz="2" w:space="0" w:color="auto"/>
              <w:right w:val="single" w:sz="4" w:space="0" w:color="auto"/>
            </w:tcBorders>
            <w:noWrap/>
            <w:vAlign w:val="center"/>
            <w:hideMark/>
          </w:tcPr>
          <w:p w14:paraId="1AE54CC5" w14:textId="77777777" w:rsidR="008277D4" w:rsidRPr="007965D5" w:rsidRDefault="008277D4">
            <w:pPr>
              <w:spacing w:before="20" w:after="20" w:line="276" w:lineRule="auto"/>
              <w:ind w:right="113"/>
              <w:jc w:val="center"/>
              <w:rPr>
                <w:i/>
                <w:iCs/>
                <w:sz w:val="16"/>
                <w:szCs w:val="16"/>
                <w:lang w:val="fr-FR"/>
              </w:rPr>
            </w:pPr>
            <w:proofErr w:type="spellStart"/>
            <w:r w:rsidRPr="007965D5">
              <w:rPr>
                <w:i/>
                <w:iCs/>
                <w:sz w:val="16"/>
                <w:szCs w:val="16"/>
                <w:lang w:val="fr-FR"/>
              </w:rPr>
              <w:t>Column</w:t>
            </w:r>
            <w:proofErr w:type="spellEnd"/>
            <w:r w:rsidRPr="007965D5">
              <w:rPr>
                <w:i/>
                <w:iCs/>
                <w:sz w:val="16"/>
                <w:szCs w:val="16"/>
                <w:lang w:val="fr-FR"/>
              </w:rPr>
              <w:t xml:space="preserve"> A</w:t>
            </w:r>
          </w:p>
        </w:tc>
        <w:tc>
          <w:tcPr>
            <w:tcW w:w="1701" w:type="dxa"/>
            <w:gridSpan w:val="2"/>
            <w:tcBorders>
              <w:top w:val="single" w:sz="4" w:space="0" w:color="auto"/>
              <w:left w:val="single" w:sz="4" w:space="0" w:color="auto"/>
              <w:bottom w:val="single" w:sz="2" w:space="0" w:color="auto"/>
              <w:right w:val="single" w:sz="4" w:space="0" w:color="auto"/>
            </w:tcBorders>
            <w:noWrap/>
            <w:vAlign w:val="center"/>
            <w:hideMark/>
          </w:tcPr>
          <w:p w14:paraId="69BEEF91" w14:textId="77777777" w:rsidR="008277D4" w:rsidRPr="007965D5" w:rsidRDefault="008277D4">
            <w:pPr>
              <w:spacing w:before="20" w:after="20" w:line="276" w:lineRule="auto"/>
              <w:ind w:right="113"/>
              <w:jc w:val="center"/>
              <w:rPr>
                <w:i/>
                <w:iCs/>
                <w:sz w:val="16"/>
                <w:szCs w:val="16"/>
                <w:lang w:val="fr-FR"/>
              </w:rPr>
            </w:pPr>
            <w:proofErr w:type="spellStart"/>
            <w:r w:rsidRPr="007965D5">
              <w:rPr>
                <w:i/>
                <w:iCs/>
                <w:sz w:val="16"/>
                <w:szCs w:val="16"/>
                <w:lang w:val="fr-FR"/>
              </w:rPr>
              <w:t>Column</w:t>
            </w:r>
            <w:proofErr w:type="spellEnd"/>
            <w:r w:rsidRPr="007965D5">
              <w:rPr>
                <w:i/>
                <w:iCs/>
                <w:sz w:val="16"/>
                <w:szCs w:val="16"/>
                <w:lang w:val="fr-FR"/>
              </w:rPr>
              <w:t xml:space="preserve"> B</w:t>
            </w:r>
          </w:p>
        </w:tc>
        <w:tc>
          <w:tcPr>
            <w:tcW w:w="1701" w:type="dxa"/>
            <w:gridSpan w:val="2"/>
            <w:tcBorders>
              <w:top w:val="single" w:sz="4" w:space="0" w:color="auto"/>
              <w:left w:val="single" w:sz="4" w:space="0" w:color="auto"/>
              <w:bottom w:val="single" w:sz="2" w:space="0" w:color="auto"/>
              <w:right w:val="single" w:sz="4" w:space="0" w:color="auto"/>
            </w:tcBorders>
            <w:vAlign w:val="center"/>
            <w:hideMark/>
          </w:tcPr>
          <w:p w14:paraId="5CF96AE3" w14:textId="77777777" w:rsidR="008277D4" w:rsidRPr="007965D5" w:rsidRDefault="008277D4">
            <w:pPr>
              <w:spacing w:before="20" w:after="20" w:line="276" w:lineRule="auto"/>
              <w:ind w:right="113"/>
              <w:jc w:val="center"/>
              <w:rPr>
                <w:i/>
                <w:iCs/>
                <w:sz w:val="16"/>
                <w:szCs w:val="16"/>
                <w:lang w:val="fr-FR"/>
              </w:rPr>
            </w:pPr>
            <w:proofErr w:type="spellStart"/>
            <w:r w:rsidRPr="007965D5">
              <w:rPr>
                <w:i/>
                <w:iCs/>
                <w:sz w:val="16"/>
                <w:szCs w:val="16"/>
                <w:lang w:val="fr-FR"/>
              </w:rPr>
              <w:t>Column</w:t>
            </w:r>
            <w:proofErr w:type="spellEnd"/>
            <w:r w:rsidRPr="007965D5">
              <w:rPr>
                <w:i/>
                <w:iCs/>
                <w:sz w:val="16"/>
                <w:szCs w:val="16"/>
                <w:lang w:val="fr-FR"/>
              </w:rPr>
              <w:t xml:space="preserve"> C</w:t>
            </w:r>
          </w:p>
        </w:tc>
      </w:tr>
      <w:tr w:rsidR="008277D4" w14:paraId="0918CCC7" w14:textId="77777777" w:rsidTr="008277D4">
        <w:trPr>
          <w:trHeight w:val="146"/>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28EFE499" w14:textId="77777777" w:rsidR="008277D4" w:rsidRPr="007965D5" w:rsidRDefault="008277D4">
            <w:pPr>
              <w:spacing w:line="240" w:lineRule="auto"/>
              <w:rPr>
                <w:i/>
                <w:sz w:val="16"/>
                <w:szCs w:val="16"/>
                <w:lang w:val="fr-FR"/>
              </w:rPr>
            </w:pPr>
          </w:p>
        </w:tc>
        <w:tc>
          <w:tcPr>
            <w:tcW w:w="0" w:type="auto"/>
            <w:gridSpan w:val="2"/>
            <w:vMerge/>
            <w:tcBorders>
              <w:top w:val="single" w:sz="4" w:space="0" w:color="auto"/>
              <w:left w:val="single" w:sz="4" w:space="0" w:color="auto"/>
              <w:bottom w:val="single" w:sz="2" w:space="0" w:color="auto"/>
              <w:right w:val="single" w:sz="4" w:space="0" w:color="auto"/>
            </w:tcBorders>
            <w:vAlign w:val="center"/>
            <w:hideMark/>
          </w:tcPr>
          <w:p w14:paraId="16217A4E" w14:textId="77777777" w:rsidR="008277D4" w:rsidRPr="007965D5" w:rsidRDefault="008277D4">
            <w:pPr>
              <w:spacing w:line="240" w:lineRule="auto"/>
              <w:rPr>
                <w:i/>
                <w:iCs/>
                <w:sz w:val="16"/>
                <w:szCs w:val="16"/>
                <w:lang w:val="fr-FR"/>
              </w:rPr>
            </w:pPr>
          </w:p>
        </w:tc>
        <w:tc>
          <w:tcPr>
            <w:tcW w:w="1710" w:type="dxa"/>
            <w:gridSpan w:val="2"/>
            <w:tcBorders>
              <w:top w:val="single" w:sz="2" w:space="0" w:color="auto"/>
              <w:left w:val="single" w:sz="4" w:space="0" w:color="auto"/>
              <w:bottom w:val="single" w:sz="2" w:space="0" w:color="auto"/>
              <w:right w:val="single" w:sz="2" w:space="0" w:color="auto"/>
            </w:tcBorders>
            <w:noWrap/>
            <w:vAlign w:val="center"/>
            <w:hideMark/>
          </w:tcPr>
          <w:p w14:paraId="1D5DC912" w14:textId="77777777" w:rsidR="008277D4" w:rsidRPr="007965D5" w:rsidRDefault="008277D4">
            <w:pPr>
              <w:spacing w:before="20" w:after="20" w:line="276" w:lineRule="auto"/>
              <w:ind w:right="113"/>
              <w:jc w:val="center"/>
              <w:rPr>
                <w:i/>
                <w:iCs/>
                <w:sz w:val="16"/>
                <w:szCs w:val="16"/>
                <w:lang w:val="fr-FR"/>
              </w:rPr>
            </w:pPr>
            <w:r w:rsidRPr="007965D5">
              <w:rPr>
                <w:rFonts w:ascii="Cambria Math" w:hAnsi="Cambria Math"/>
                <w:i/>
                <w:iCs/>
                <w:sz w:val="16"/>
                <w:szCs w:val="16"/>
                <w:lang w:val="fr-FR"/>
              </w:rPr>
              <w:t>≙</w:t>
            </w:r>
            <w:r w:rsidRPr="007965D5">
              <w:rPr>
                <w:i/>
                <w:iCs/>
                <w:sz w:val="16"/>
                <w:szCs w:val="16"/>
                <w:lang w:val="fr-FR"/>
              </w:rPr>
              <w:t xml:space="preserve"> 0% </w:t>
            </w:r>
            <w:proofErr w:type="spellStart"/>
            <w:r w:rsidRPr="007965D5">
              <w:rPr>
                <w:i/>
                <w:iCs/>
                <w:sz w:val="16"/>
                <w:szCs w:val="16"/>
                <w:lang w:val="fr-FR"/>
              </w:rPr>
              <w:t>CoP</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hideMark/>
          </w:tcPr>
          <w:p w14:paraId="31F77D00" w14:textId="77777777" w:rsidR="008277D4" w:rsidRPr="007965D5" w:rsidRDefault="008277D4">
            <w:pPr>
              <w:spacing w:before="20" w:after="20" w:line="276" w:lineRule="auto"/>
              <w:ind w:right="113"/>
              <w:jc w:val="center"/>
              <w:rPr>
                <w:i/>
                <w:iCs/>
                <w:sz w:val="16"/>
                <w:szCs w:val="16"/>
                <w:lang w:val="fr-FR"/>
              </w:rPr>
            </w:pPr>
            <w:r w:rsidRPr="007965D5">
              <w:rPr>
                <w:rFonts w:ascii="Cambria Math" w:hAnsi="Cambria Math"/>
                <w:i/>
                <w:iCs/>
                <w:sz w:val="16"/>
                <w:szCs w:val="16"/>
                <w:lang w:val="fr-FR"/>
              </w:rPr>
              <w:t>≙</w:t>
            </w:r>
            <w:r w:rsidRPr="007965D5">
              <w:rPr>
                <w:i/>
                <w:iCs/>
                <w:sz w:val="16"/>
                <w:szCs w:val="16"/>
                <w:lang w:val="fr-FR"/>
              </w:rPr>
              <w:t xml:space="preserve"> 20% </w:t>
            </w:r>
            <w:proofErr w:type="spellStart"/>
            <w:r w:rsidRPr="007965D5">
              <w:rPr>
                <w:i/>
                <w:iCs/>
                <w:sz w:val="16"/>
                <w:szCs w:val="16"/>
                <w:lang w:val="fr-FR"/>
              </w:rPr>
              <w:t>CoP</w:t>
            </w:r>
            <w:proofErr w:type="spellEnd"/>
          </w:p>
        </w:tc>
        <w:tc>
          <w:tcPr>
            <w:tcW w:w="1701" w:type="dxa"/>
            <w:gridSpan w:val="2"/>
            <w:tcBorders>
              <w:top w:val="single" w:sz="2" w:space="0" w:color="auto"/>
              <w:left w:val="single" w:sz="2" w:space="0" w:color="auto"/>
              <w:bottom w:val="single" w:sz="2" w:space="0" w:color="auto"/>
              <w:right w:val="single" w:sz="2" w:space="0" w:color="auto"/>
            </w:tcBorders>
            <w:vAlign w:val="center"/>
            <w:hideMark/>
          </w:tcPr>
          <w:p w14:paraId="7E832B15" w14:textId="77777777" w:rsidR="008277D4" w:rsidRPr="007965D5" w:rsidRDefault="008277D4">
            <w:pPr>
              <w:spacing w:before="20" w:after="20" w:line="276" w:lineRule="auto"/>
              <w:ind w:right="113"/>
              <w:jc w:val="center"/>
              <w:rPr>
                <w:i/>
                <w:iCs/>
                <w:sz w:val="16"/>
                <w:szCs w:val="16"/>
                <w:lang w:val="fr-FR"/>
              </w:rPr>
            </w:pPr>
            <w:r w:rsidRPr="007965D5">
              <w:rPr>
                <w:rFonts w:ascii="Cambria Math" w:hAnsi="Cambria Math"/>
                <w:i/>
                <w:iCs/>
                <w:sz w:val="16"/>
                <w:szCs w:val="16"/>
                <w:lang w:val="fr-FR"/>
              </w:rPr>
              <w:t>≙</w:t>
            </w:r>
            <w:r w:rsidRPr="007965D5">
              <w:rPr>
                <w:i/>
                <w:iCs/>
                <w:sz w:val="16"/>
                <w:szCs w:val="16"/>
                <w:lang w:val="fr-FR"/>
              </w:rPr>
              <w:t xml:space="preserve"> 30% </w:t>
            </w:r>
            <w:proofErr w:type="spellStart"/>
            <w:r w:rsidRPr="007965D5">
              <w:rPr>
                <w:i/>
                <w:iCs/>
                <w:sz w:val="16"/>
                <w:szCs w:val="16"/>
                <w:lang w:val="fr-FR"/>
              </w:rPr>
              <w:t>CoP</w:t>
            </w:r>
            <w:proofErr w:type="spellEnd"/>
          </w:p>
        </w:tc>
      </w:tr>
      <w:tr w:rsidR="008277D4" w14:paraId="164D9C7C" w14:textId="77777777" w:rsidTr="008277D4">
        <w:trPr>
          <w:trHeight w:val="288"/>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1774A36C" w14:textId="77777777" w:rsidR="008277D4" w:rsidRPr="007965D5" w:rsidRDefault="008277D4">
            <w:pPr>
              <w:spacing w:line="240" w:lineRule="auto"/>
              <w:rPr>
                <w:i/>
                <w:sz w:val="16"/>
                <w:szCs w:val="16"/>
                <w:lang w:val="fr-FR"/>
              </w:rPr>
            </w:pPr>
          </w:p>
        </w:tc>
        <w:tc>
          <w:tcPr>
            <w:tcW w:w="859" w:type="dxa"/>
            <w:tcBorders>
              <w:top w:val="single" w:sz="2" w:space="0" w:color="auto"/>
              <w:left w:val="single" w:sz="4" w:space="0" w:color="auto"/>
              <w:bottom w:val="single" w:sz="12" w:space="0" w:color="auto"/>
              <w:right w:val="single" w:sz="2" w:space="0" w:color="auto"/>
            </w:tcBorders>
            <w:noWrap/>
            <w:vAlign w:val="center"/>
            <w:hideMark/>
          </w:tcPr>
          <w:p w14:paraId="70AE1164" w14:textId="77777777" w:rsidR="008277D4" w:rsidRPr="007965D5" w:rsidRDefault="008277D4">
            <w:pPr>
              <w:spacing w:before="20" w:after="20"/>
              <w:ind w:right="113"/>
              <w:jc w:val="center"/>
              <w:rPr>
                <w:i/>
                <w:iCs/>
                <w:sz w:val="16"/>
                <w:szCs w:val="16"/>
                <w:lang w:val="fr-FR"/>
              </w:rPr>
            </w:pPr>
            <w:r w:rsidRPr="007965D5">
              <w:rPr>
                <w:i/>
                <w:iCs/>
                <w:sz w:val="16"/>
                <w:szCs w:val="16"/>
                <w:lang w:val="fr-FR"/>
              </w:rPr>
              <w:t>vertical</w:t>
            </w:r>
          </w:p>
        </w:tc>
        <w:tc>
          <w:tcPr>
            <w:tcW w:w="1134" w:type="dxa"/>
            <w:tcBorders>
              <w:top w:val="single" w:sz="2" w:space="0" w:color="auto"/>
              <w:left w:val="single" w:sz="2" w:space="0" w:color="auto"/>
              <w:bottom w:val="single" w:sz="12" w:space="0" w:color="auto"/>
              <w:right w:val="single" w:sz="2" w:space="0" w:color="auto"/>
            </w:tcBorders>
            <w:noWrap/>
            <w:vAlign w:val="center"/>
            <w:hideMark/>
          </w:tcPr>
          <w:p w14:paraId="60DE1B24" w14:textId="77777777" w:rsidR="008277D4" w:rsidRPr="007965D5" w:rsidRDefault="008277D4">
            <w:pPr>
              <w:spacing w:before="20" w:after="20"/>
              <w:ind w:right="113"/>
              <w:jc w:val="center"/>
              <w:rPr>
                <w:i/>
                <w:iCs/>
                <w:sz w:val="16"/>
                <w:szCs w:val="16"/>
                <w:lang w:val="fr-FR"/>
              </w:rPr>
            </w:pPr>
            <w:r w:rsidRPr="007965D5">
              <w:rPr>
                <w:i/>
                <w:iCs/>
                <w:sz w:val="16"/>
                <w:szCs w:val="16"/>
                <w:lang w:val="fr-FR"/>
              </w:rPr>
              <w:t>horizontal</w:t>
            </w:r>
          </w:p>
        </w:tc>
        <w:tc>
          <w:tcPr>
            <w:tcW w:w="860" w:type="dxa"/>
            <w:tcBorders>
              <w:top w:val="single" w:sz="2" w:space="0" w:color="auto"/>
              <w:left w:val="single" w:sz="2" w:space="0" w:color="auto"/>
              <w:bottom w:val="single" w:sz="12" w:space="0" w:color="auto"/>
              <w:right w:val="single" w:sz="2" w:space="0" w:color="auto"/>
            </w:tcBorders>
            <w:noWrap/>
            <w:vAlign w:val="center"/>
            <w:hideMark/>
          </w:tcPr>
          <w:p w14:paraId="43C430FC" w14:textId="77777777" w:rsidR="008277D4" w:rsidRPr="007965D5" w:rsidRDefault="008277D4">
            <w:pPr>
              <w:spacing w:before="20" w:after="20"/>
              <w:ind w:right="113"/>
              <w:jc w:val="center"/>
              <w:rPr>
                <w:i/>
                <w:iCs/>
                <w:sz w:val="16"/>
                <w:szCs w:val="16"/>
                <w:lang w:val="fr-FR"/>
              </w:rPr>
            </w:pPr>
            <w:r w:rsidRPr="007965D5">
              <w:rPr>
                <w:i/>
                <w:iCs/>
                <w:sz w:val="16"/>
                <w:szCs w:val="16"/>
                <w:lang w:val="fr-FR"/>
              </w:rPr>
              <w:t>min</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58980584" w14:textId="77777777" w:rsidR="008277D4" w:rsidRPr="007965D5" w:rsidRDefault="008277D4">
            <w:pPr>
              <w:spacing w:before="20" w:after="20"/>
              <w:ind w:right="113"/>
              <w:jc w:val="center"/>
              <w:rPr>
                <w:i/>
                <w:iCs/>
                <w:sz w:val="16"/>
                <w:szCs w:val="16"/>
                <w:lang w:val="fr-FR"/>
              </w:rPr>
            </w:pPr>
            <w:r w:rsidRPr="007965D5">
              <w:rPr>
                <w:i/>
                <w:iCs/>
                <w:sz w:val="16"/>
                <w:szCs w:val="16"/>
                <w:lang w:val="fr-FR"/>
              </w:rPr>
              <w:t>max</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5B188E37" w14:textId="77777777" w:rsidR="008277D4" w:rsidRPr="007965D5" w:rsidRDefault="008277D4">
            <w:pPr>
              <w:spacing w:before="20" w:after="20"/>
              <w:ind w:right="113"/>
              <w:jc w:val="center"/>
              <w:rPr>
                <w:i/>
                <w:iCs/>
                <w:sz w:val="16"/>
                <w:szCs w:val="16"/>
                <w:lang w:val="fr-FR"/>
              </w:rPr>
            </w:pPr>
            <w:r w:rsidRPr="007965D5">
              <w:rPr>
                <w:i/>
                <w:iCs/>
                <w:sz w:val="16"/>
                <w:szCs w:val="16"/>
                <w:lang w:val="fr-FR"/>
              </w:rPr>
              <w:t>min</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5814B815" w14:textId="77777777" w:rsidR="008277D4" w:rsidRPr="007965D5" w:rsidRDefault="008277D4">
            <w:pPr>
              <w:spacing w:before="20" w:after="20"/>
              <w:ind w:right="113"/>
              <w:jc w:val="center"/>
              <w:rPr>
                <w:i/>
                <w:iCs/>
                <w:sz w:val="16"/>
                <w:szCs w:val="16"/>
                <w:lang w:val="fr-FR"/>
              </w:rPr>
            </w:pPr>
            <w:r w:rsidRPr="007965D5">
              <w:rPr>
                <w:i/>
                <w:iCs/>
                <w:sz w:val="16"/>
                <w:szCs w:val="16"/>
                <w:lang w:val="fr-FR"/>
              </w:rPr>
              <w:t>max</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2DE6F13F" w14:textId="77777777" w:rsidR="008277D4" w:rsidRPr="007965D5" w:rsidRDefault="008277D4">
            <w:pPr>
              <w:spacing w:before="20" w:after="20"/>
              <w:ind w:right="113"/>
              <w:jc w:val="center"/>
              <w:rPr>
                <w:i/>
                <w:iCs/>
                <w:sz w:val="16"/>
                <w:szCs w:val="16"/>
                <w:lang w:val="fr-FR"/>
              </w:rPr>
            </w:pPr>
            <w:r w:rsidRPr="007965D5">
              <w:rPr>
                <w:i/>
                <w:iCs/>
                <w:sz w:val="16"/>
                <w:szCs w:val="16"/>
                <w:lang w:val="fr-FR"/>
              </w:rPr>
              <w:t>min</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0FC1BBC8" w14:textId="77777777" w:rsidR="008277D4" w:rsidRPr="007965D5" w:rsidRDefault="008277D4">
            <w:pPr>
              <w:spacing w:before="20" w:after="20"/>
              <w:ind w:right="113"/>
              <w:jc w:val="center"/>
              <w:rPr>
                <w:i/>
                <w:iCs/>
                <w:sz w:val="16"/>
                <w:szCs w:val="16"/>
                <w:lang w:val="fr-FR"/>
              </w:rPr>
            </w:pPr>
            <w:r w:rsidRPr="007965D5">
              <w:rPr>
                <w:i/>
                <w:iCs/>
                <w:sz w:val="16"/>
                <w:szCs w:val="16"/>
                <w:lang w:val="fr-FR"/>
              </w:rPr>
              <w:t>max</w:t>
            </w:r>
          </w:p>
        </w:tc>
      </w:tr>
      <w:tr w:rsidR="008277D4" w14:paraId="588853C3" w14:textId="77777777" w:rsidTr="008277D4">
        <w:trPr>
          <w:trHeight w:val="288"/>
        </w:trPr>
        <w:tc>
          <w:tcPr>
            <w:tcW w:w="979" w:type="dxa"/>
            <w:tcBorders>
              <w:top w:val="single" w:sz="2" w:space="0" w:color="auto"/>
              <w:left w:val="single" w:sz="2" w:space="0" w:color="auto"/>
              <w:bottom w:val="single" w:sz="2" w:space="0" w:color="auto"/>
              <w:right w:val="single" w:sz="2" w:space="0" w:color="auto"/>
            </w:tcBorders>
            <w:noWrap/>
            <w:vAlign w:val="center"/>
            <w:hideMark/>
          </w:tcPr>
          <w:p w14:paraId="3A78F6B2" w14:textId="77777777" w:rsidR="008277D4" w:rsidRDefault="008277D4">
            <w:pPr>
              <w:spacing w:before="20" w:after="20"/>
              <w:ind w:left="57" w:right="57"/>
              <w:rPr>
                <w:bCs/>
                <w:sz w:val="18"/>
                <w:szCs w:val="18"/>
                <w:lang w:val="fr-FR"/>
              </w:rPr>
            </w:pPr>
            <w:r>
              <w:rPr>
                <w:sz w:val="18"/>
                <w:szCs w:val="18"/>
                <w:lang w:val="fr-FR"/>
              </w:rPr>
              <w:t>BR</w:t>
            </w:r>
          </w:p>
        </w:tc>
        <w:tc>
          <w:tcPr>
            <w:tcW w:w="859" w:type="dxa"/>
            <w:tcBorders>
              <w:top w:val="single" w:sz="2" w:space="0" w:color="auto"/>
              <w:left w:val="single" w:sz="2" w:space="0" w:color="auto"/>
              <w:bottom w:val="single" w:sz="2" w:space="0" w:color="auto"/>
              <w:right w:val="single" w:sz="2" w:space="0" w:color="auto"/>
            </w:tcBorders>
            <w:noWrap/>
            <w:vAlign w:val="center"/>
            <w:hideMark/>
          </w:tcPr>
          <w:p w14:paraId="4D9CE69A" w14:textId="77777777" w:rsidR="008277D4" w:rsidRDefault="008277D4">
            <w:pPr>
              <w:spacing w:before="20" w:after="20"/>
              <w:ind w:right="113"/>
              <w:jc w:val="center"/>
              <w:rPr>
                <w:sz w:val="18"/>
                <w:szCs w:val="18"/>
                <w:lang w:val="fr-FR"/>
              </w:rPr>
            </w:pPr>
            <w:r>
              <w:rPr>
                <w:sz w:val="18"/>
                <w:szCs w:val="18"/>
                <w:lang w:val="fr-FR"/>
              </w:rPr>
              <w:t>1°U</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74776EB" w14:textId="77777777" w:rsidR="008277D4" w:rsidRDefault="008277D4">
            <w:pPr>
              <w:spacing w:before="20" w:after="20"/>
              <w:ind w:right="113"/>
              <w:jc w:val="center"/>
              <w:rPr>
                <w:sz w:val="18"/>
                <w:szCs w:val="18"/>
                <w:lang w:val="fr-FR"/>
              </w:rPr>
            </w:pPr>
            <w:r>
              <w:rPr>
                <w:sz w:val="18"/>
                <w:szCs w:val="18"/>
                <w:lang w:val="fr-FR"/>
              </w:rPr>
              <w:t>2.5°R</w:t>
            </w:r>
          </w:p>
        </w:tc>
        <w:tc>
          <w:tcPr>
            <w:tcW w:w="860" w:type="dxa"/>
            <w:tcBorders>
              <w:top w:val="single" w:sz="2" w:space="0" w:color="auto"/>
              <w:left w:val="single" w:sz="2" w:space="0" w:color="auto"/>
              <w:bottom w:val="single" w:sz="2" w:space="0" w:color="auto"/>
              <w:right w:val="single" w:sz="2" w:space="0" w:color="auto"/>
            </w:tcBorders>
            <w:noWrap/>
            <w:vAlign w:val="center"/>
            <w:hideMark/>
          </w:tcPr>
          <w:p w14:paraId="2BA9C819"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B6E3FCC" w14:textId="77777777" w:rsidR="008277D4" w:rsidRDefault="008277D4">
            <w:pPr>
              <w:spacing w:before="20" w:after="20"/>
              <w:ind w:right="113"/>
              <w:jc w:val="center"/>
              <w:rPr>
                <w:sz w:val="18"/>
                <w:szCs w:val="18"/>
                <w:lang w:val="fr-FR"/>
              </w:rPr>
            </w:pPr>
            <w:r>
              <w:rPr>
                <w:sz w:val="18"/>
                <w:szCs w:val="18"/>
                <w:lang w:val="fr-FR"/>
              </w:rPr>
              <w:t>1.75∙10</w:t>
            </w:r>
            <w:r>
              <w:rPr>
                <w:sz w:val="18"/>
                <w:szCs w:val="18"/>
                <w:vertAlign w:val="superscript"/>
                <w:lang w:val="fr-FR"/>
              </w:rPr>
              <w:t>3</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3F925159"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B478DCF" w14:textId="77777777" w:rsidR="008277D4" w:rsidRDefault="008277D4">
            <w:pPr>
              <w:spacing w:before="20" w:after="20"/>
              <w:ind w:right="113"/>
              <w:jc w:val="center"/>
              <w:rPr>
                <w:sz w:val="18"/>
                <w:szCs w:val="18"/>
                <w:lang w:val="fr-FR"/>
              </w:rPr>
            </w:pPr>
            <w:r>
              <w:rPr>
                <w:sz w:val="18"/>
                <w:szCs w:val="18"/>
                <w:lang w:val="fr-FR"/>
              </w:rPr>
              <w:t>2.10∙10</w:t>
            </w:r>
            <w:r>
              <w:rPr>
                <w:sz w:val="18"/>
                <w:szCs w:val="18"/>
                <w:vertAlign w:val="superscript"/>
                <w:lang w:val="fr-FR"/>
              </w:rPr>
              <w:t>3</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33182D2B"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189A4E9" w14:textId="77777777" w:rsidR="008277D4" w:rsidRDefault="008277D4">
            <w:pPr>
              <w:spacing w:before="20" w:after="20"/>
              <w:ind w:right="113"/>
              <w:jc w:val="center"/>
              <w:rPr>
                <w:sz w:val="18"/>
                <w:szCs w:val="18"/>
                <w:lang w:val="fr-FR"/>
              </w:rPr>
            </w:pPr>
            <w:r>
              <w:rPr>
                <w:sz w:val="18"/>
                <w:szCs w:val="18"/>
                <w:lang w:val="fr-FR"/>
              </w:rPr>
              <w:t>2.28∙10</w:t>
            </w:r>
            <w:r>
              <w:rPr>
                <w:sz w:val="18"/>
                <w:szCs w:val="18"/>
                <w:vertAlign w:val="superscript"/>
                <w:lang w:val="fr-FR"/>
              </w:rPr>
              <w:t>3</w:t>
            </w:r>
          </w:p>
        </w:tc>
      </w:tr>
      <w:tr w:rsidR="008277D4" w14:paraId="4DB15E4F" w14:textId="77777777" w:rsidTr="008277D4">
        <w:trPr>
          <w:trHeight w:val="288"/>
        </w:trPr>
        <w:tc>
          <w:tcPr>
            <w:tcW w:w="979" w:type="dxa"/>
            <w:tcBorders>
              <w:top w:val="single" w:sz="2" w:space="0" w:color="auto"/>
              <w:left w:val="single" w:sz="2" w:space="0" w:color="auto"/>
              <w:bottom w:val="single" w:sz="2" w:space="0" w:color="auto"/>
              <w:right w:val="single" w:sz="2" w:space="0" w:color="auto"/>
            </w:tcBorders>
            <w:noWrap/>
            <w:vAlign w:val="center"/>
            <w:hideMark/>
          </w:tcPr>
          <w:p w14:paraId="010246DF" w14:textId="77777777" w:rsidR="008277D4" w:rsidRDefault="008277D4">
            <w:pPr>
              <w:spacing w:before="20" w:after="20"/>
              <w:ind w:left="57" w:right="57"/>
              <w:rPr>
                <w:bCs/>
                <w:sz w:val="18"/>
                <w:szCs w:val="18"/>
                <w:lang w:val="fr-FR"/>
              </w:rPr>
            </w:pPr>
            <w:r>
              <w:rPr>
                <w:bCs/>
                <w:sz w:val="18"/>
                <w:szCs w:val="18"/>
                <w:lang w:val="fr-FR"/>
              </w:rPr>
              <w:t>Point</w:t>
            </w:r>
            <w:r>
              <w:rPr>
                <w:sz w:val="18"/>
                <w:szCs w:val="18"/>
                <w:lang w:val="fr-FR"/>
              </w:rPr>
              <w:t xml:space="preserve"> BLL</w:t>
            </w:r>
          </w:p>
        </w:tc>
        <w:tc>
          <w:tcPr>
            <w:tcW w:w="859" w:type="dxa"/>
            <w:tcBorders>
              <w:top w:val="single" w:sz="2" w:space="0" w:color="auto"/>
              <w:left w:val="single" w:sz="2" w:space="0" w:color="auto"/>
              <w:bottom w:val="single" w:sz="2" w:space="0" w:color="auto"/>
              <w:right w:val="single" w:sz="2" w:space="0" w:color="auto"/>
            </w:tcBorders>
            <w:noWrap/>
            <w:vAlign w:val="center"/>
            <w:hideMark/>
          </w:tcPr>
          <w:p w14:paraId="4F65831F" w14:textId="77777777" w:rsidR="008277D4" w:rsidRDefault="008277D4">
            <w:pPr>
              <w:spacing w:before="20" w:after="20"/>
              <w:ind w:right="113"/>
              <w:jc w:val="center"/>
              <w:rPr>
                <w:sz w:val="18"/>
                <w:szCs w:val="18"/>
                <w:lang w:val="fr-FR"/>
              </w:rPr>
            </w:pPr>
            <w:r>
              <w:rPr>
                <w:sz w:val="18"/>
                <w:szCs w:val="18"/>
                <w:lang w:val="fr-FR"/>
              </w:rPr>
              <w:t>0.57°U</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4641941" w14:textId="77777777" w:rsidR="008277D4" w:rsidRDefault="008277D4">
            <w:pPr>
              <w:spacing w:before="20" w:after="20"/>
              <w:ind w:right="113"/>
              <w:jc w:val="center"/>
              <w:rPr>
                <w:sz w:val="18"/>
                <w:szCs w:val="18"/>
                <w:lang w:val="fr-FR"/>
              </w:rPr>
            </w:pPr>
            <w:r>
              <w:rPr>
                <w:sz w:val="18"/>
                <w:szCs w:val="18"/>
                <w:lang w:val="fr-FR"/>
              </w:rPr>
              <w:t>8°L</w:t>
            </w:r>
          </w:p>
        </w:tc>
        <w:tc>
          <w:tcPr>
            <w:tcW w:w="860" w:type="dxa"/>
            <w:tcBorders>
              <w:top w:val="single" w:sz="2" w:space="0" w:color="auto"/>
              <w:left w:val="single" w:sz="2" w:space="0" w:color="auto"/>
              <w:bottom w:val="single" w:sz="2" w:space="0" w:color="auto"/>
              <w:right w:val="single" w:sz="2" w:space="0" w:color="auto"/>
            </w:tcBorders>
            <w:noWrap/>
            <w:vAlign w:val="center"/>
            <w:hideMark/>
          </w:tcPr>
          <w:p w14:paraId="0F297B27"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F6E6BE4" w14:textId="77777777" w:rsidR="008277D4" w:rsidRPr="009F2A0D" w:rsidRDefault="008277D4">
            <w:pPr>
              <w:spacing w:before="20" w:after="20"/>
              <w:ind w:right="113"/>
              <w:jc w:val="center"/>
              <w:rPr>
                <w:sz w:val="18"/>
                <w:szCs w:val="18"/>
                <w:lang w:val="fr-FR"/>
              </w:rPr>
            </w:pPr>
            <w:r w:rsidRPr="009F2A0D">
              <w:rPr>
                <w:sz w:val="18"/>
                <w:szCs w:val="18"/>
                <w:lang w:val="fr-FR"/>
              </w:rPr>
              <w:t>6.25∙10</w:t>
            </w:r>
            <w:r w:rsidRPr="009F2A0D">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4A2E1472" w14:textId="77777777" w:rsidR="008277D4" w:rsidRPr="009F2A0D" w:rsidRDefault="008277D4">
            <w:pPr>
              <w:spacing w:before="20" w:after="20"/>
              <w:ind w:right="113"/>
              <w:jc w:val="center"/>
              <w:rPr>
                <w:sz w:val="18"/>
                <w:szCs w:val="18"/>
                <w:lang w:val="fr-FR"/>
              </w:rPr>
            </w:pPr>
            <w:r w:rsidRPr="009F2A0D">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59B93B4" w14:textId="77777777" w:rsidR="008277D4" w:rsidRPr="009F2A0D" w:rsidRDefault="008277D4">
            <w:pPr>
              <w:spacing w:before="20" w:after="20"/>
              <w:ind w:right="113"/>
              <w:jc w:val="center"/>
              <w:rPr>
                <w:sz w:val="18"/>
                <w:szCs w:val="18"/>
                <w:lang w:val="fr-FR"/>
              </w:rPr>
            </w:pPr>
            <w:r w:rsidRPr="009F2A0D">
              <w:rPr>
                <w:sz w:val="18"/>
                <w:szCs w:val="18"/>
                <w:lang w:val="fr-FR"/>
              </w:rPr>
              <w:t>8.80∙10</w:t>
            </w:r>
            <w:r w:rsidRPr="009F2A0D">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0C7E0DBA" w14:textId="77777777" w:rsidR="008277D4" w:rsidRPr="009F2A0D" w:rsidRDefault="008277D4">
            <w:pPr>
              <w:spacing w:before="20" w:after="20"/>
              <w:ind w:right="113"/>
              <w:jc w:val="center"/>
              <w:rPr>
                <w:sz w:val="18"/>
                <w:szCs w:val="18"/>
                <w:lang w:val="fr-FR"/>
              </w:rPr>
            </w:pPr>
            <w:r w:rsidRPr="009F2A0D">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F912126" w14:textId="77777777" w:rsidR="008277D4" w:rsidRPr="009F2A0D" w:rsidRDefault="008277D4">
            <w:pPr>
              <w:spacing w:before="20" w:after="20"/>
              <w:ind w:right="113"/>
              <w:jc w:val="center"/>
              <w:rPr>
                <w:sz w:val="18"/>
                <w:szCs w:val="18"/>
                <w:lang w:val="fr-FR"/>
              </w:rPr>
            </w:pPr>
            <w:r w:rsidRPr="009F2A0D">
              <w:rPr>
                <w:sz w:val="18"/>
                <w:szCs w:val="18"/>
                <w:lang w:val="fr-FR"/>
              </w:rPr>
              <w:t>1.01∙10</w:t>
            </w:r>
            <w:r w:rsidRPr="009F2A0D">
              <w:rPr>
                <w:sz w:val="18"/>
                <w:szCs w:val="18"/>
                <w:vertAlign w:val="superscript"/>
                <w:lang w:val="fr-FR"/>
              </w:rPr>
              <w:t>3</w:t>
            </w:r>
          </w:p>
        </w:tc>
      </w:tr>
      <w:tr w:rsidR="008277D4" w14:paraId="4FCD850B" w14:textId="77777777" w:rsidTr="008277D4">
        <w:trPr>
          <w:trHeight w:val="288"/>
        </w:trPr>
        <w:tc>
          <w:tcPr>
            <w:tcW w:w="979" w:type="dxa"/>
            <w:tcBorders>
              <w:top w:val="single" w:sz="2" w:space="0" w:color="auto"/>
              <w:left w:val="single" w:sz="2" w:space="0" w:color="auto"/>
              <w:bottom w:val="single" w:sz="2" w:space="0" w:color="auto"/>
              <w:right w:val="single" w:sz="2" w:space="0" w:color="auto"/>
            </w:tcBorders>
            <w:noWrap/>
            <w:vAlign w:val="center"/>
            <w:hideMark/>
          </w:tcPr>
          <w:p w14:paraId="287BDCAF" w14:textId="77777777" w:rsidR="008277D4" w:rsidRDefault="008277D4">
            <w:pPr>
              <w:spacing w:before="20" w:after="20"/>
              <w:ind w:left="57" w:right="57"/>
              <w:rPr>
                <w:bCs/>
                <w:sz w:val="18"/>
                <w:szCs w:val="18"/>
                <w:lang w:val="fr-FR"/>
              </w:rPr>
            </w:pPr>
            <w:r>
              <w:rPr>
                <w:sz w:val="18"/>
                <w:szCs w:val="18"/>
                <w:lang w:val="fr-FR"/>
              </w:rPr>
              <w:t>B50L</w:t>
            </w:r>
          </w:p>
        </w:tc>
        <w:tc>
          <w:tcPr>
            <w:tcW w:w="859" w:type="dxa"/>
            <w:tcBorders>
              <w:top w:val="single" w:sz="2" w:space="0" w:color="auto"/>
              <w:left w:val="single" w:sz="2" w:space="0" w:color="auto"/>
              <w:bottom w:val="single" w:sz="2" w:space="0" w:color="auto"/>
              <w:right w:val="single" w:sz="2" w:space="0" w:color="auto"/>
            </w:tcBorders>
            <w:noWrap/>
            <w:vAlign w:val="center"/>
            <w:hideMark/>
          </w:tcPr>
          <w:p w14:paraId="32CDF333" w14:textId="77777777" w:rsidR="008277D4" w:rsidRDefault="008277D4">
            <w:pPr>
              <w:spacing w:before="20" w:after="20"/>
              <w:ind w:right="113"/>
              <w:jc w:val="center"/>
              <w:rPr>
                <w:sz w:val="18"/>
                <w:szCs w:val="18"/>
                <w:lang w:val="fr-FR"/>
              </w:rPr>
            </w:pPr>
            <w:r>
              <w:rPr>
                <w:sz w:val="18"/>
                <w:szCs w:val="18"/>
                <w:lang w:val="fr-FR"/>
              </w:rPr>
              <w:t>0.57°U</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1F7CC43" w14:textId="77777777" w:rsidR="008277D4" w:rsidRDefault="008277D4">
            <w:pPr>
              <w:spacing w:before="20" w:after="20"/>
              <w:ind w:right="113"/>
              <w:jc w:val="center"/>
              <w:rPr>
                <w:sz w:val="18"/>
                <w:szCs w:val="18"/>
                <w:lang w:val="fr-FR"/>
              </w:rPr>
            </w:pPr>
            <w:r>
              <w:rPr>
                <w:sz w:val="18"/>
                <w:szCs w:val="18"/>
                <w:lang w:val="fr-FR"/>
              </w:rPr>
              <w:t>3.43°L</w:t>
            </w:r>
          </w:p>
        </w:tc>
        <w:tc>
          <w:tcPr>
            <w:tcW w:w="860" w:type="dxa"/>
            <w:tcBorders>
              <w:top w:val="single" w:sz="2" w:space="0" w:color="auto"/>
              <w:left w:val="single" w:sz="2" w:space="0" w:color="auto"/>
              <w:bottom w:val="single" w:sz="2" w:space="0" w:color="auto"/>
              <w:right w:val="single" w:sz="2" w:space="0" w:color="auto"/>
            </w:tcBorders>
            <w:noWrap/>
            <w:vAlign w:val="center"/>
            <w:hideMark/>
          </w:tcPr>
          <w:p w14:paraId="3A63ECEC"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684F79F" w14:textId="77777777" w:rsidR="008277D4" w:rsidRDefault="008277D4">
            <w:pPr>
              <w:spacing w:before="20" w:after="20"/>
              <w:ind w:right="113"/>
              <w:jc w:val="center"/>
              <w:rPr>
                <w:sz w:val="18"/>
                <w:szCs w:val="18"/>
                <w:lang w:val="fr-FR"/>
              </w:rPr>
            </w:pPr>
            <w:r>
              <w:rPr>
                <w:sz w:val="18"/>
                <w:szCs w:val="18"/>
                <w:lang w:val="fr-FR"/>
              </w:rPr>
              <w:t>5.30∙10</w:t>
            </w:r>
            <w:r>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561C5917"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892A864" w14:textId="77777777" w:rsidR="008277D4" w:rsidRDefault="008277D4">
            <w:pPr>
              <w:spacing w:before="20" w:after="20"/>
              <w:ind w:right="113"/>
              <w:jc w:val="center"/>
              <w:rPr>
                <w:sz w:val="18"/>
                <w:szCs w:val="18"/>
                <w:lang w:val="fr-FR"/>
              </w:rPr>
            </w:pPr>
            <w:r>
              <w:rPr>
                <w:sz w:val="18"/>
                <w:szCs w:val="18"/>
                <w:lang w:val="fr-FR"/>
              </w:rPr>
              <w:t>7.00∙10</w:t>
            </w:r>
            <w:r>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4D52C06C"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AACBCA2" w14:textId="77777777" w:rsidR="008277D4" w:rsidRDefault="008277D4">
            <w:pPr>
              <w:spacing w:before="20" w:after="20"/>
              <w:ind w:right="113"/>
              <w:jc w:val="center"/>
              <w:rPr>
                <w:sz w:val="18"/>
                <w:szCs w:val="18"/>
                <w:lang w:val="fr-FR"/>
              </w:rPr>
            </w:pPr>
            <w:r>
              <w:rPr>
                <w:sz w:val="18"/>
                <w:szCs w:val="18"/>
                <w:lang w:val="fr-FR"/>
              </w:rPr>
              <w:t>7.85∙10</w:t>
            </w:r>
            <w:r>
              <w:rPr>
                <w:sz w:val="18"/>
                <w:szCs w:val="18"/>
                <w:vertAlign w:val="superscript"/>
                <w:lang w:val="fr-FR"/>
              </w:rPr>
              <w:t>2</w:t>
            </w:r>
          </w:p>
        </w:tc>
      </w:tr>
      <w:tr w:rsidR="008277D4" w14:paraId="6A58E16E" w14:textId="77777777" w:rsidTr="008277D4">
        <w:trPr>
          <w:trHeight w:val="288"/>
        </w:trPr>
        <w:tc>
          <w:tcPr>
            <w:tcW w:w="979" w:type="dxa"/>
            <w:tcBorders>
              <w:top w:val="single" w:sz="2" w:space="0" w:color="auto"/>
              <w:left w:val="single" w:sz="2" w:space="0" w:color="auto"/>
              <w:bottom w:val="single" w:sz="2" w:space="0" w:color="auto"/>
              <w:right w:val="single" w:sz="2" w:space="0" w:color="auto"/>
            </w:tcBorders>
            <w:noWrap/>
            <w:vAlign w:val="center"/>
            <w:hideMark/>
          </w:tcPr>
          <w:p w14:paraId="1A75C9F2" w14:textId="77777777" w:rsidR="008277D4" w:rsidRDefault="008277D4">
            <w:pPr>
              <w:spacing w:before="20" w:after="20"/>
              <w:ind w:left="57" w:right="57"/>
              <w:rPr>
                <w:sz w:val="18"/>
                <w:szCs w:val="18"/>
                <w:lang w:val="fr-FR"/>
              </w:rPr>
            </w:pPr>
            <w:r>
              <w:rPr>
                <w:bCs/>
                <w:sz w:val="18"/>
                <w:szCs w:val="18"/>
                <w:lang w:val="fr-FR"/>
              </w:rPr>
              <w:t>Line</w:t>
            </w:r>
            <w:r>
              <w:rPr>
                <w:sz w:val="18"/>
                <w:szCs w:val="18"/>
                <w:lang w:val="fr-FR"/>
              </w:rPr>
              <w:t xml:space="preserve"> III</w:t>
            </w:r>
          </w:p>
        </w:tc>
        <w:tc>
          <w:tcPr>
            <w:tcW w:w="859" w:type="dxa"/>
            <w:tcBorders>
              <w:top w:val="single" w:sz="2" w:space="0" w:color="auto"/>
              <w:left w:val="single" w:sz="2" w:space="0" w:color="auto"/>
              <w:bottom w:val="single" w:sz="2" w:space="0" w:color="auto"/>
              <w:right w:val="single" w:sz="2" w:space="0" w:color="auto"/>
            </w:tcBorders>
            <w:noWrap/>
            <w:vAlign w:val="center"/>
            <w:hideMark/>
          </w:tcPr>
          <w:p w14:paraId="33D0FF50" w14:textId="77777777" w:rsidR="008277D4" w:rsidRDefault="008277D4">
            <w:pPr>
              <w:spacing w:before="20" w:after="20"/>
              <w:ind w:right="113"/>
              <w:jc w:val="center"/>
              <w:rPr>
                <w:sz w:val="18"/>
                <w:szCs w:val="18"/>
                <w:lang w:val="fr-FR"/>
              </w:rPr>
            </w:pPr>
            <w:r>
              <w:rPr>
                <w:sz w:val="18"/>
                <w:szCs w:val="18"/>
                <w:lang w:val="fr-FR"/>
              </w:rPr>
              <w:t>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3DF74F4" w14:textId="77777777" w:rsidR="008277D4" w:rsidRDefault="008277D4">
            <w:pPr>
              <w:spacing w:before="20" w:after="20"/>
              <w:ind w:right="113"/>
              <w:jc w:val="center"/>
              <w:rPr>
                <w:sz w:val="18"/>
                <w:szCs w:val="18"/>
                <w:lang w:val="fr-FR"/>
              </w:rPr>
            </w:pPr>
            <w:r>
              <w:rPr>
                <w:sz w:val="18"/>
                <w:szCs w:val="18"/>
                <w:lang w:val="fr-FR"/>
              </w:rPr>
              <w:t>4°L to 0°</w:t>
            </w:r>
          </w:p>
        </w:tc>
        <w:tc>
          <w:tcPr>
            <w:tcW w:w="860" w:type="dxa"/>
            <w:tcBorders>
              <w:top w:val="single" w:sz="2" w:space="0" w:color="auto"/>
              <w:left w:val="single" w:sz="2" w:space="0" w:color="auto"/>
              <w:bottom w:val="single" w:sz="2" w:space="0" w:color="auto"/>
              <w:right w:val="single" w:sz="2" w:space="0" w:color="auto"/>
            </w:tcBorders>
            <w:noWrap/>
            <w:vAlign w:val="center"/>
            <w:hideMark/>
          </w:tcPr>
          <w:p w14:paraId="5E96AD20"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57C8176" w14:textId="77777777" w:rsidR="008277D4" w:rsidRDefault="008277D4">
            <w:pPr>
              <w:spacing w:before="20" w:after="20"/>
              <w:ind w:right="113"/>
              <w:jc w:val="center"/>
              <w:rPr>
                <w:sz w:val="18"/>
                <w:szCs w:val="18"/>
                <w:lang w:val="fr-FR"/>
              </w:rPr>
            </w:pPr>
            <w:r>
              <w:rPr>
                <w:sz w:val="18"/>
                <w:szCs w:val="18"/>
                <w:lang w:val="fr-FR"/>
              </w:rPr>
              <w:t>8.80∙10</w:t>
            </w:r>
            <w:r>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247F67BB"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6BB3EEF" w14:textId="77777777" w:rsidR="008277D4" w:rsidRDefault="008277D4">
            <w:pPr>
              <w:spacing w:before="20" w:after="20"/>
              <w:ind w:right="113"/>
              <w:jc w:val="center"/>
              <w:rPr>
                <w:sz w:val="18"/>
                <w:szCs w:val="18"/>
                <w:lang w:val="fr-FR"/>
              </w:rPr>
            </w:pPr>
            <w:r>
              <w:rPr>
                <w:sz w:val="18"/>
                <w:szCs w:val="18"/>
                <w:lang w:val="fr-FR"/>
              </w:rPr>
              <w:t>1.14∙10</w:t>
            </w:r>
            <w:r>
              <w:rPr>
                <w:sz w:val="18"/>
                <w:szCs w:val="18"/>
                <w:vertAlign w:val="superscript"/>
                <w:lang w:val="fr-FR"/>
              </w:rPr>
              <w:t>3</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186A340A"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D5B159C" w14:textId="77777777" w:rsidR="008277D4" w:rsidRDefault="008277D4">
            <w:pPr>
              <w:spacing w:before="20" w:after="20"/>
              <w:ind w:right="113"/>
              <w:jc w:val="center"/>
              <w:rPr>
                <w:sz w:val="18"/>
                <w:szCs w:val="18"/>
                <w:lang w:val="fr-FR"/>
              </w:rPr>
            </w:pPr>
            <w:r>
              <w:rPr>
                <w:sz w:val="18"/>
                <w:szCs w:val="18"/>
                <w:lang w:val="fr-FR"/>
              </w:rPr>
              <w:t>1.26∙10</w:t>
            </w:r>
            <w:r>
              <w:rPr>
                <w:sz w:val="18"/>
                <w:szCs w:val="18"/>
                <w:vertAlign w:val="superscript"/>
                <w:lang w:val="fr-FR"/>
              </w:rPr>
              <w:t>3</w:t>
            </w:r>
          </w:p>
        </w:tc>
      </w:tr>
      <w:tr w:rsidR="008277D4" w14:paraId="77DFA9DD" w14:textId="77777777" w:rsidTr="008277D4">
        <w:trPr>
          <w:trHeight w:val="288"/>
        </w:trPr>
        <w:tc>
          <w:tcPr>
            <w:tcW w:w="979" w:type="dxa"/>
            <w:tcBorders>
              <w:top w:val="single" w:sz="2" w:space="0" w:color="auto"/>
              <w:left w:val="single" w:sz="2" w:space="0" w:color="auto"/>
              <w:bottom w:val="single" w:sz="2" w:space="0" w:color="auto"/>
              <w:right w:val="single" w:sz="2" w:space="0" w:color="auto"/>
            </w:tcBorders>
            <w:noWrap/>
            <w:vAlign w:val="center"/>
            <w:hideMark/>
          </w:tcPr>
          <w:p w14:paraId="6ECD180B" w14:textId="77777777" w:rsidR="008277D4" w:rsidRDefault="008277D4">
            <w:pPr>
              <w:spacing w:before="20" w:after="20"/>
              <w:ind w:left="57" w:right="57"/>
              <w:rPr>
                <w:sz w:val="18"/>
                <w:szCs w:val="18"/>
                <w:lang w:val="fr-FR"/>
              </w:rPr>
            </w:pPr>
            <w:r>
              <w:rPr>
                <w:sz w:val="18"/>
                <w:szCs w:val="18"/>
                <w:lang w:val="fr-FR"/>
              </w:rPr>
              <w:t>50L</w:t>
            </w:r>
          </w:p>
        </w:tc>
        <w:tc>
          <w:tcPr>
            <w:tcW w:w="859" w:type="dxa"/>
            <w:tcBorders>
              <w:top w:val="single" w:sz="2" w:space="0" w:color="auto"/>
              <w:left w:val="single" w:sz="2" w:space="0" w:color="auto"/>
              <w:bottom w:val="single" w:sz="2" w:space="0" w:color="auto"/>
              <w:right w:val="single" w:sz="2" w:space="0" w:color="auto"/>
            </w:tcBorders>
            <w:noWrap/>
            <w:vAlign w:val="center"/>
            <w:hideMark/>
          </w:tcPr>
          <w:p w14:paraId="4D204B17" w14:textId="77777777" w:rsidR="008277D4" w:rsidRDefault="008277D4">
            <w:pPr>
              <w:spacing w:before="20" w:after="20"/>
              <w:ind w:right="-5"/>
              <w:jc w:val="center"/>
              <w:rPr>
                <w:sz w:val="18"/>
                <w:szCs w:val="18"/>
                <w:lang w:val="fr-FR"/>
              </w:rPr>
            </w:pPr>
            <w:r>
              <w:rPr>
                <w:sz w:val="18"/>
                <w:szCs w:val="18"/>
                <w:lang w:val="fr-FR"/>
              </w:rPr>
              <w:t>0.86°D</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AED9D2D" w14:textId="77777777" w:rsidR="008277D4" w:rsidRDefault="008277D4">
            <w:pPr>
              <w:spacing w:before="20" w:after="20"/>
              <w:ind w:right="113"/>
              <w:jc w:val="center"/>
              <w:rPr>
                <w:sz w:val="18"/>
                <w:szCs w:val="18"/>
                <w:lang w:val="fr-FR"/>
              </w:rPr>
            </w:pPr>
            <w:r>
              <w:rPr>
                <w:sz w:val="18"/>
                <w:szCs w:val="18"/>
                <w:lang w:val="fr-FR"/>
              </w:rPr>
              <w:t>3.43°L</w:t>
            </w:r>
          </w:p>
        </w:tc>
        <w:tc>
          <w:tcPr>
            <w:tcW w:w="860" w:type="dxa"/>
            <w:tcBorders>
              <w:top w:val="single" w:sz="2" w:space="0" w:color="auto"/>
              <w:left w:val="single" w:sz="2" w:space="0" w:color="auto"/>
              <w:bottom w:val="single" w:sz="2" w:space="0" w:color="auto"/>
              <w:right w:val="single" w:sz="2" w:space="0" w:color="auto"/>
            </w:tcBorders>
            <w:noWrap/>
            <w:vAlign w:val="center"/>
            <w:hideMark/>
          </w:tcPr>
          <w:p w14:paraId="38B3AFCC" w14:textId="77777777" w:rsidR="008277D4" w:rsidRDefault="008277D4">
            <w:pPr>
              <w:spacing w:before="20" w:after="20"/>
              <w:ind w:right="113"/>
              <w:jc w:val="center"/>
              <w:rPr>
                <w:sz w:val="18"/>
                <w:szCs w:val="18"/>
                <w:lang w:val="fr-FR"/>
              </w:rPr>
            </w:pPr>
            <w:r>
              <w:rPr>
                <w:sz w:val="18"/>
                <w:szCs w:val="18"/>
                <w:lang w:val="fr-FR"/>
              </w:rPr>
              <w:t>1.70∙10</w:t>
            </w:r>
            <w:r>
              <w:rPr>
                <w:sz w:val="18"/>
                <w:szCs w:val="18"/>
                <w:vertAlign w:val="superscript"/>
                <w:lang w:val="fr-FR"/>
              </w:rPr>
              <w:t>3</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06C070A" w14:textId="77777777" w:rsidR="008277D4" w:rsidRDefault="008277D4">
            <w:pPr>
              <w:spacing w:before="20" w:after="20"/>
              <w:ind w:right="113"/>
              <w:jc w:val="center"/>
              <w:rPr>
                <w:sz w:val="18"/>
                <w:szCs w:val="18"/>
                <w:lang w:val="fr-FR"/>
              </w:rPr>
            </w:pPr>
            <w:r>
              <w:rPr>
                <w:sz w:val="18"/>
                <w:szCs w:val="18"/>
                <w:lang w:val="fr-FR"/>
              </w:rPr>
              <w:t>-</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2B56F3FC" w14:textId="77777777" w:rsidR="008277D4" w:rsidRDefault="008277D4">
            <w:pPr>
              <w:spacing w:before="20" w:after="20"/>
              <w:ind w:right="113"/>
              <w:jc w:val="center"/>
              <w:rPr>
                <w:sz w:val="18"/>
                <w:szCs w:val="18"/>
                <w:lang w:val="fr-FR"/>
              </w:rPr>
            </w:pPr>
            <w:r>
              <w:rPr>
                <w:sz w:val="18"/>
                <w:szCs w:val="18"/>
                <w:lang w:val="fr-FR"/>
              </w:rPr>
              <w:t>1.36∙10</w:t>
            </w:r>
            <w:r>
              <w:rPr>
                <w:sz w:val="18"/>
                <w:szCs w:val="18"/>
                <w:vertAlign w:val="superscript"/>
                <w:lang w:val="fr-FR"/>
              </w:rPr>
              <w:t>3</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1DACCDC" w14:textId="77777777" w:rsidR="008277D4" w:rsidRDefault="008277D4">
            <w:pPr>
              <w:spacing w:before="20" w:after="20"/>
              <w:ind w:right="113"/>
              <w:jc w:val="center"/>
              <w:rPr>
                <w:sz w:val="18"/>
                <w:szCs w:val="18"/>
                <w:lang w:val="fr-FR"/>
              </w:rPr>
            </w:pPr>
            <w:r>
              <w:rPr>
                <w:sz w:val="18"/>
                <w:szCs w:val="18"/>
                <w:lang w:val="fr-FR"/>
              </w:rPr>
              <w:t>-</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01F1E440" w14:textId="77777777" w:rsidR="008277D4" w:rsidRDefault="008277D4">
            <w:pPr>
              <w:spacing w:before="20" w:after="20"/>
              <w:ind w:right="113"/>
              <w:jc w:val="center"/>
              <w:rPr>
                <w:sz w:val="18"/>
                <w:szCs w:val="18"/>
                <w:lang w:val="fr-FR"/>
              </w:rPr>
            </w:pPr>
            <w:r>
              <w:rPr>
                <w:sz w:val="18"/>
                <w:szCs w:val="18"/>
                <w:lang w:val="fr-FR"/>
              </w:rPr>
              <w:t>1.19∙10</w:t>
            </w:r>
            <w:r>
              <w:rPr>
                <w:sz w:val="18"/>
                <w:szCs w:val="18"/>
                <w:vertAlign w:val="superscript"/>
                <w:lang w:val="fr-FR"/>
              </w:rPr>
              <w:t>3</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7CE13F0" w14:textId="77777777" w:rsidR="008277D4" w:rsidRDefault="008277D4">
            <w:pPr>
              <w:spacing w:before="20" w:after="20"/>
              <w:ind w:right="113"/>
              <w:jc w:val="center"/>
              <w:rPr>
                <w:sz w:val="18"/>
                <w:szCs w:val="18"/>
                <w:lang w:val="fr-FR"/>
              </w:rPr>
            </w:pPr>
            <w:r>
              <w:rPr>
                <w:sz w:val="18"/>
                <w:szCs w:val="18"/>
                <w:lang w:val="fr-FR"/>
              </w:rPr>
              <w:t>-</w:t>
            </w:r>
          </w:p>
        </w:tc>
      </w:tr>
      <w:tr w:rsidR="008277D4" w14:paraId="3B363AC7" w14:textId="77777777" w:rsidTr="008277D4">
        <w:trPr>
          <w:trHeight w:val="288"/>
        </w:trPr>
        <w:tc>
          <w:tcPr>
            <w:tcW w:w="979" w:type="dxa"/>
            <w:tcBorders>
              <w:top w:val="single" w:sz="2" w:space="0" w:color="auto"/>
              <w:left w:val="single" w:sz="2" w:space="0" w:color="auto"/>
              <w:bottom w:val="single" w:sz="12" w:space="0" w:color="auto"/>
              <w:right w:val="single" w:sz="2" w:space="0" w:color="auto"/>
            </w:tcBorders>
            <w:noWrap/>
            <w:vAlign w:val="center"/>
            <w:hideMark/>
          </w:tcPr>
          <w:p w14:paraId="5A8485A9" w14:textId="77777777" w:rsidR="008277D4" w:rsidRDefault="008277D4">
            <w:pPr>
              <w:spacing w:before="20" w:after="20"/>
              <w:ind w:left="57" w:right="57"/>
              <w:rPr>
                <w:sz w:val="18"/>
                <w:szCs w:val="18"/>
                <w:lang w:val="fr-FR"/>
              </w:rPr>
            </w:pPr>
            <w:r>
              <w:rPr>
                <w:sz w:val="18"/>
                <w:szCs w:val="18"/>
                <w:lang w:val="fr-FR"/>
              </w:rPr>
              <w:t>50R</w:t>
            </w:r>
          </w:p>
        </w:tc>
        <w:tc>
          <w:tcPr>
            <w:tcW w:w="859" w:type="dxa"/>
            <w:tcBorders>
              <w:top w:val="single" w:sz="2" w:space="0" w:color="auto"/>
              <w:left w:val="single" w:sz="2" w:space="0" w:color="auto"/>
              <w:bottom w:val="single" w:sz="12" w:space="0" w:color="auto"/>
              <w:right w:val="single" w:sz="2" w:space="0" w:color="auto"/>
            </w:tcBorders>
            <w:noWrap/>
            <w:vAlign w:val="center"/>
            <w:hideMark/>
          </w:tcPr>
          <w:p w14:paraId="29088055" w14:textId="77777777" w:rsidR="008277D4" w:rsidRDefault="008277D4">
            <w:pPr>
              <w:spacing w:before="20" w:after="20"/>
              <w:ind w:right="113"/>
              <w:jc w:val="center"/>
              <w:rPr>
                <w:sz w:val="18"/>
                <w:szCs w:val="18"/>
                <w:lang w:val="fr-FR"/>
              </w:rPr>
            </w:pPr>
            <w:r>
              <w:rPr>
                <w:sz w:val="18"/>
                <w:szCs w:val="18"/>
                <w:lang w:val="fr-FR"/>
              </w:rPr>
              <w:t>0.86°D</w:t>
            </w:r>
          </w:p>
        </w:tc>
        <w:tc>
          <w:tcPr>
            <w:tcW w:w="1134" w:type="dxa"/>
            <w:tcBorders>
              <w:top w:val="single" w:sz="2" w:space="0" w:color="auto"/>
              <w:left w:val="single" w:sz="2" w:space="0" w:color="auto"/>
              <w:bottom w:val="single" w:sz="12" w:space="0" w:color="auto"/>
              <w:right w:val="single" w:sz="2" w:space="0" w:color="auto"/>
            </w:tcBorders>
            <w:noWrap/>
            <w:vAlign w:val="center"/>
            <w:hideMark/>
          </w:tcPr>
          <w:p w14:paraId="463011D9" w14:textId="77777777" w:rsidR="008277D4" w:rsidRDefault="008277D4">
            <w:pPr>
              <w:spacing w:before="20" w:after="20"/>
              <w:ind w:right="113"/>
              <w:jc w:val="center"/>
              <w:rPr>
                <w:sz w:val="18"/>
                <w:szCs w:val="18"/>
                <w:lang w:val="fr-FR"/>
              </w:rPr>
            </w:pPr>
            <w:r>
              <w:rPr>
                <w:sz w:val="18"/>
                <w:szCs w:val="18"/>
                <w:lang w:val="fr-FR"/>
              </w:rPr>
              <w:t>1.72°R</w:t>
            </w:r>
          </w:p>
        </w:tc>
        <w:tc>
          <w:tcPr>
            <w:tcW w:w="860" w:type="dxa"/>
            <w:tcBorders>
              <w:top w:val="single" w:sz="2" w:space="0" w:color="auto"/>
              <w:left w:val="single" w:sz="2" w:space="0" w:color="auto"/>
              <w:bottom w:val="single" w:sz="12" w:space="0" w:color="auto"/>
              <w:right w:val="single" w:sz="2" w:space="0" w:color="auto"/>
            </w:tcBorders>
            <w:noWrap/>
            <w:vAlign w:val="center"/>
            <w:hideMark/>
          </w:tcPr>
          <w:p w14:paraId="3D298AEC" w14:textId="77777777" w:rsidR="008277D4" w:rsidRDefault="008277D4">
            <w:pPr>
              <w:spacing w:before="20" w:after="20"/>
              <w:ind w:right="113"/>
              <w:jc w:val="center"/>
              <w:rPr>
                <w:sz w:val="18"/>
                <w:szCs w:val="18"/>
                <w:lang w:val="fr-FR"/>
              </w:rPr>
            </w:pPr>
            <w:r>
              <w:rPr>
                <w:sz w:val="18"/>
                <w:szCs w:val="18"/>
                <w:lang w:val="fr-FR"/>
              </w:rPr>
              <w:t>5.10∙10</w:t>
            </w:r>
            <w:r>
              <w:rPr>
                <w:sz w:val="18"/>
                <w:szCs w:val="18"/>
                <w:vertAlign w:val="superscript"/>
                <w:lang w:val="fr-FR"/>
              </w:rPr>
              <w:t>3</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7DC35872" w14:textId="77777777" w:rsidR="008277D4" w:rsidRDefault="008277D4">
            <w:pPr>
              <w:spacing w:before="20" w:after="20"/>
              <w:ind w:right="113"/>
              <w:jc w:val="center"/>
              <w:rPr>
                <w:sz w:val="18"/>
                <w:szCs w:val="18"/>
                <w:lang w:val="fr-FR"/>
              </w:rPr>
            </w:pPr>
            <w:r>
              <w:rPr>
                <w:sz w:val="18"/>
                <w:szCs w:val="18"/>
                <w:lang w:val="fr-FR"/>
              </w:rPr>
              <w:t>4.41∙10</w:t>
            </w:r>
            <w:r>
              <w:rPr>
                <w:sz w:val="18"/>
                <w:szCs w:val="18"/>
                <w:vertAlign w:val="superscript"/>
                <w:lang w:val="fr-FR"/>
              </w:rPr>
              <w:t>4</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4A251004" w14:textId="77777777" w:rsidR="008277D4" w:rsidRDefault="008277D4">
            <w:pPr>
              <w:spacing w:before="20" w:after="20"/>
              <w:ind w:right="113"/>
              <w:jc w:val="center"/>
              <w:rPr>
                <w:sz w:val="18"/>
                <w:szCs w:val="18"/>
                <w:lang w:val="fr-FR"/>
              </w:rPr>
            </w:pPr>
            <w:r>
              <w:rPr>
                <w:sz w:val="18"/>
                <w:szCs w:val="18"/>
                <w:lang w:val="fr-FR"/>
              </w:rPr>
              <w:t>4.08∙10</w:t>
            </w:r>
            <w:r>
              <w:rPr>
                <w:sz w:val="18"/>
                <w:szCs w:val="18"/>
                <w:vertAlign w:val="superscript"/>
                <w:lang w:val="fr-FR"/>
              </w:rPr>
              <w:t>3</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0AE43403" w14:textId="77777777" w:rsidR="008277D4" w:rsidRDefault="008277D4">
            <w:pPr>
              <w:spacing w:before="20" w:after="20"/>
              <w:ind w:right="113"/>
              <w:jc w:val="center"/>
              <w:rPr>
                <w:sz w:val="18"/>
                <w:szCs w:val="18"/>
                <w:lang w:val="fr-FR"/>
              </w:rPr>
            </w:pPr>
            <w:r>
              <w:rPr>
                <w:sz w:val="18"/>
                <w:szCs w:val="18"/>
                <w:lang w:val="fr-FR"/>
              </w:rPr>
              <w:t>5.29∙10</w:t>
            </w:r>
            <w:r>
              <w:rPr>
                <w:sz w:val="18"/>
                <w:szCs w:val="18"/>
                <w:vertAlign w:val="superscript"/>
                <w:lang w:val="fr-FR"/>
              </w:rPr>
              <w:t>4</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6FAC004C" w14:textId="77777777" w:rsidR="008277D4" w:rsidRDefault="008277D4">
            <w:pPr>
              <w:spacing w:before="20" w:after="20"/>
              <w:ind w:right="113"/>
              <w:jc w:val="center"/>
              <w:rPr>
                <w:sz w:val="18"/>
                <w:szCs w:val="18"/>
                <w:lang w:val="fr-FR"/>
              </w:rPr>
            </w:pPr>
            <w:r>
              <w:rPr>
                <w:sz w:val="18"/>
                <w:szCs w:val="18"/>
                <w:lang w:val="fr-FR"/>
              </w:rPr>
              <w:t>3.57∙10</w:t>
            </w:r>
            <w:r>
              <w:rPr>
                <w:sz w:val="18"/>
                <w:szCs w:val="18"/>
                <w:vertAlign w:val="superscript"/>
                <w:lang w:val="fr-FR"/>
              </w:rPr>
              <w:t>3</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34946011" w14:textId="77777777" w:rsidR="008277D4" w:rsidRDefault="008277D4">
            <w:pPr>
              <w:spacing w:before="20" w:after="20"/>
              <w:ind w:right="113"/>
              <w:jc w:val="center"/>
              <w:rPr>
                <w:sz w:val="18"/>
                <w:szCs w:val="18"/>
                <w:lang w:val="fr-FR"/>
              </w:rPr>
            </w:pPr>
            <w:r>
              <w:rPr>
                <w:sz w:val="18"/>
                <w:szCs w:val="18"/>
                <w:lang w:val="fr-FR"/>
              </w:rPr>
              <w:t>5.73∙10</w:t>
            </w:r>
            <w:r>
              <w:rPr>
                <w:sz w:val="18"/>
                <w:szCs w:val="18"/>
                <w:vertAlign w:val="superscript"/>
                <w:lang w:val="fr-FR"/>
              </w:rPr>
              <w:t>4</w:t>
            </w:r>
          </w:p>
        </w:tc>
      </w:tr>
    </w:tbl>
    <w:p w14:paraId="2A79AC87" w14:textId="77777777" w:rsidR="008277D4" w:rsidRDefault="008277D4" w:rsidP="008277D4">
      <w:pPr>
        <w:pStyle w:val="Default"/>
        <w:spacing w:after="120"/>
        <w:ind w:left="2268" w:right="283"/>
        <w:jc w:val="right"/>
        <w:rPr>
          <w:lang w:val="en-GB"/>
        </w:rPr>
      </w:pPr>
      <w:r>
        <w:rPr>
          <w:lang w:val="en-GB"/>
        </w:rPr>
        <w:t xml:space="preserve">   ”</w:t>
      </w:r>
    </w:p>
    <w:p w14:paraId="18DC6E6B" w14:textId="77777777" w:rsidR="008277D4" w:rsidRDefault="008277D4" w:rsidP="008277D4">
      <w:pPr>
        <w:spacing w:after="120"/>
        <w:ind w:left="1134"/>
        <w:jc w:val="both"/>
        <w:rPr>
          <w:i/>
          <w:iCs/>
        </w:rPr>
      </w:pPr>
      <w:r>
        <w:rPr>
          <w:i/>
          <w:iCs/>
        </w:rPr>
        <w:t>Table 26</w:t>
      </w:r>
      <w:r>
        <w:t>, amend to read:</w:t>
      </w:r>
    </w:p>
    <w:p w14:paraId="5B84BB43" w14:textId="77777777" w:rsidR="008277D4" w:rsidRDefault="008277D4" w:rsidP="008277D4">
      <w:pPr>
        <w:pStyle w:val="a"/>
        <w:spacing w:after="0"/>
        <w:ind w:left="2268" w:firstLine="0"/>
        <w:rPr>
          <w:b/>
        </w:rPr>
      </w:pPr>
      <w:r>
        <w:t>“Table 26</w:t>
      </w:r>
    </w:p>
    <w:p w14:paraId="0E10E29E" w14:textId="77777777" w:rsidR="008277D4" w:rsidRDefault="008277D4" w:rsidP="00284FC4">
      <w:pPr>
        <w:pStyle w:val="a"/>
        <w:ind w:left="2268" w:firstLine="0"/>
        <w:jc w:val="left"/>
        <w:rPr>
          <w:b/>
          <w:bCs/>
        </w:rPr>
      </w:pPr>
      <w:r>
        <w:rPr>
          <w:b/>
          <w:bCs/>
        </w:rPr>
        <w:t xml:space="preserve">Class V – Bend lighting – Category 2 – System Requirements </w:t>
      </w:r>
      <w:r>
        <w:rPr>
          <w:b/>
          <w:bCs/>
        </w:rPr>
        <w:br/>
        <w:t>(indicated for right-hand traffic)</w:t>
      </w:r>
    </w:p>
    <w:tbl>
      <w:tblPr>
        <w:tblW w:w="0" w:type="auto"/>
        <w:tblInd w:w="1134" w:type="dxa"/>
        <w:tblBorders>
          <w:top w:val="single" w:sz="4" w:space="0" w:color="auto"/>
          <w:bottom w:val="single" w:sz="12" w:space="0" w:color="auto"/>
        </w:tblBorders>
        <w:tblCellMar>
          <w:left w:w="0" w:type="dxa"/>
          <w:right w:w="0" w:type="dxa"/>
        </w:tblCellMar>
        <w:tblLook w:val="04A0" w:firstRow="1" w:lastRow="0" w:firstColumn="1" w:lastColumn="0" w:noHBand="0" w:noVBand="1"/>
      </w:tblPr>
      <w:tblGrid>
        <w:gridCol w:w="979"/>
        <w:gridCol w:w="859"/>
        <w:gridCol w:w="1134"/>
        <w:gridCol w:w="851"/>
        <w:gridCol w:w="850"/>
        <w:gridCol w:w="851"/>
        <w:gridCol w:w="850"/>
        <w:gridCol w:w="851"/>
        <w:gridCol w:w="850"/>
      </w:tblGrid>
      <w:tr w:rsidR="008277D4" w14:paraId="3798D50F" w14:textId="77777777" w:rsidTr="008277D4">
        <w:trPr>
          <w:trHeight w:val="163"/>
          <w:tblHeader/>
        </w:trPr>
        <w:tc>
          <w:tcPr>
            <w:tcW w:w="979" w:type="dxa"/>
            <w:vMerge w:val="restart"/>
            <w:tcBorders>
              <w:top w:val="single" w:sz="4" w:space="0" w:color="auto"/>
              <w:left w:val="single" w:sz="4" w:space="0" w:color="auto"/>
              <w:bottom w:val="single" w:sz="12" w:space="0" w:color="auto"/>
              <w:right w:val="single" w:sz="4" w:space="0" w:color="auto"/>
            </w:tcBorders>
            <w:noWrap/>
            <w:vAlign w:val="center"/>
            <w:hideMark/>
          </w:tcPr>
          <w:p w14:paraId="38D282BE" w14:textId="77777777" w:rsidR="008277D4" w:rsidRPr="007965D5" w:rsidRDefault="008277D4">
            <w:pPr>
              <w:spacing w:before="20" w:after="20"/>
              <w:ind w:left="57" w:right="57"/>
              <w:jc w:val="center"/>
              <w:rPr>
                <w:i/>
                <w:sz w:val="16"/>
                <w:szCs w:val="16"/>
                <w:lang w:val="fr-FR"/>
              </w:rPr>
            </w:pPr>
            <w:proofErr w:type="spellStart"/>
            <w:r w:rsidRPr="007965D5">
              <w:rPr>
                <w:i/>
                <w:iCs/>
                <w:sz w:val="16"/>
                <w:szCs w:val="16"/>
                <w:lang w:val="fr-FR"/>
              </w:rPr>
              <w:t>Element</w:t>
            </w:r>
            <w:proofErr w:type="spellEnd"/>
          </w:p>
        </w:tc>
        <w:tc>
          <w:tcPr>
            <w:tcW w:w="1993" w:type="dxa"/>
            <w:gridSpan w:val="2"/>
            <w:vMerge w:val="restart"/>
            <w:tcBorders>
              <w:top w:val="single" w:sz="4" w:space="0" w:color="auto"/>
              <w:left w:val="single" w:sz="4" w:space="0" w:color="auto"/>
              <w:bottom w:val="single" w:sz="2" w:space="0" w:color="auto"/>
              <w:right w:val="single" w:sz="4" w:space="0" w:color="auto"/>
            </w:tcBorders>
            <w:noWrap/>
            <w:vAlign w:val="center"/>
            <w:hideMark/>
          </w:tcPr>
          <w:p w14:paraId="7EEE8777" w14:textId="77777777" w:rsidR="008277D4" w:rsidRPr="007965D5" w:rsidRDefault="008277D4">
            <w:pPr>
              <w:spacing w:before="20" w:after="20"/>
              <w:ind w:right="113"/>
              <w:jc w:val="center"/>
              <w:rPr>
                <w:rFonts w:eastAsia="HGSGothicM"/>
                <w:i/>
                <w:sz w:val="16"/>
                <w:szCs w:val="16"/>
                <w:lang w:val="fr-FR"/>
              </w:rPr>
            </w:pPr>
            <w:proofErr w:type="spellStart"/>
            <w:r w:rsidRPr="007965D5">
              <w:rPr>
                <w:rFonts w:eastAsia="HGSGothicM"/>
                <w:i/>
                <w:sz w:val="16"/>
                <w:szCs w:val="16"/>
                <w:lang w:val="fr-FR"/>
              </w:rPr>
              <w:t>Angular</w:t>
            </w:r>
            <w:proofErr w:type="spellEnd"/>
            <w:r w:rsidRPr="007965D5">
              <w:rPr>
                <w:rFonts w:eastAsia="HGSGothicM"/>
                <w:i/>
                <w:sz w:val="16"/>
                <w:szCs w:val="16"/>
                <w:lang w:val="fr-FR"/>
              </w:rPr>
              <w:t xml:space="preserve"> </w:t>
            </w:r>
            <w:proofErr w:type="spellStart"/>
            <w:r w:rsidRPr="007965D5">
              <w:rPr>
                <w:rFonts w:eastAsia="HGSGothicM"/>
                <w:i/>
                <w:sz w:val="16"/>
                <w:szCs w:val="16"/>
                <w:lang w:val="fr-FR"/>
              </w:rPr>
              <w:t>coordinates</w:t>
            </w:r>
            <w:proofErr w:type="spellEnd"/>
          </w:p>
          <w:p w14:paraId="1FCFD545" w14:textId="77777777" w:rsidR="008277D4" w:rsidRPr="007965D5" w:rsidRDefault="008277D4">
            <w:pPr>
              <w:spacing w:before="20" w:after="20"/>
              <w:ind w:right="113"/>
              <w:jc w:val="center"/>
              <w:rPr>
                <w:i/>
                <w:iCs/>
                <w:sz w:val="16"/>
                <w:szCs w:val="16"/>
                <w:lang w:val="fr-FR"/>
              </w:rPr>
            </w:pPr>
            <w:r w:rsidRPr="007965D5">
              <w:rPr>
                <w:rFonts w:eastAsia="HGSGothicM"/>
                <w:i/>
                <w:sz w:val="16"/>
                <w:szCs w:val="16"/>
                <w:lang w:val="fr-FR"/>
              </w:rPr>
              <w:t xml:space="preserve"> in </w:t>
            </w:r>
            <w:proofErr w:type="spellStart"/>
            <w:r w:rsidRPr="007965D5">
              <w:rPr>
                <w:rFonts w:eastAsia="HGSGothicM"/>
                <w:i/>
                <w:sz w:val="16"/>
                <w:szCs w:val="16"/>
                <w:lang w:val="fr-FR"/>
              </w:rPr>
              <w:t>deg</w:t>
            </w:r>
            <w:proofErr w:type="spellEnd"/>
          </w:p>
        </w:tc>
        <w:tc>
          <w:tcPr>
            <w:tcW w:w="5103" w:type="dxa"/>
            <w:gridSpan w:val="6"/>
            <w:tcBorders>
              <w:top w:val="single" w:sz="4" w:space="0" w:color="auto"/>
              <w:left w:val="single" w:sz="4" w:space="0" w:color="auto"/>
              <w:bottom w:val="single" w:sz="2" w:space="0" w:color="auto"/>
              <w:right w:val="single" w:sz="4" w:space="0" w:color="auto"/>
            </w:tcBorders>
            <w:vAlign w:val="center"/>
            <w:hideMark/>
          </w:tcPr>
          <w:p w14:paraId="0335876B" w14:textId="77777777" w:rsidR="008277D4" w:rsidRPr="007965D5" w:rsidRDefault="008277D4">
            <w:pPr>
              <w:spacing w:before="20" w:after="20" w:line="276" w:lineRule="auto"/>
              <w:ind w:right="113"/>
              <w:jc w:val="center"/>
              <w:rPr>
                <w:i/>
                <w:iCs/>
                <w:sz w:val="16"/>
                <w:szCs w:val="16"/>
                <w:lang w:val="fr-FR"/>
              </w:rPr>
            </w:pPr>
            <w:proofErr w:type="spellStart"/>
            <w:r w:rsidRPr="007965D5">
              <w:rPr>
                <w:i/>
                <w:sz w:val="16"/>
                <w:szCs w:val="16"/>
                <w:lang w:val="fr-FR"/>
              </w:rPr>
              <w:t>Luminous</w:t>
            </w:r>
            <w:proofErr w:type="spellEnd"/>
            <w:r w:rsidRPr="007965D5">
              <w:rPr>
                <w:i/>
                <w:sz w:val="16"/>
                <w:szCs w:val="16"/>
                <w:lang w:val="fr-FR"/>
              </w:rPr>
              <w:t xml:space="preserve"> </w:t>
            </w:r>
            <w:proofErr w:type="spellStart"/>
            <w:r w:rsidRPr="007965D5">
              <w:rPr>
                <w:i/>
                <w:sz w:val="16"/>
                <w:szCs w:val="16"/>
                <w:lang w:val="fr-FR"/>
              </w:rPr>
              <w:t>intensity</w:t>
            </w:r>
            <w:proofErr w:type="spellEnd"/>
            <w:r w:rsidRPr="007965D5">
              <w:rPr>
                <w:i/>
                <w:sz w:val="16"/>
                <w:szCs w:val="16"/>
                <w:lang w:val="fr-FR"/>
              </w:rPr>
              <w:t xml:space="preserve"> in cd</w:t>
            </w:r>
          </w:p>
        </w:tc>
      </w:tr>
      <w:tr w:rsidR="008277D4" w14:paraId="2AF7C2B0" w14:textId="77777777" w:rsidTr="008277D4">
        <w:trPr>
          <w:trHeight w:val="56"/>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D327B56" w14:textId="77777777" w:rsidR="008277D4" w:rsidRPr="007965D5" w:rsidRDefault="008277D4">
            <w:pPr>
              <w:spacing w:line="240" w:lineRule="auto"/>
              <w:rPr>
                <w:i/>
                <w:sz w:val="16"/>
                <w:szCs w:val="16"/>
                <w:lang w:val="fr-FR"/>
              </w:rPr>
            </w:pPr>
          </w:p>
        </w:tc>
        <w:tc>
          <w:tcPr>
            <w:tcW w:w="0" w:type="auto"/>
            <w:gridSpan w:val="2"/>
            <w:vMerge/>
            <w:tcBorders>
              <w:top w:val="single" w:sz="4" w:space="0" w:color="auto"/>
              <w:left w:val="single" w:sz="4" w:space="0" w:color="auto"/>
              <w:bottom w:val="single" w:sz="2" w:space="0" w:color="auto"/>
              <w:right w:val="single" w:sz="4" w:space="0" w:color="auto"/>
            </w:tcBorders>
            <w:vAlign w:val="center"/>
            <w:hideMark/>
          </w:tcPr>
          <w:p w14:paraId="14B28FC0" w14:textId="77777777" w:rsidR="008277D4" w:rsidRPr="007965D5" w:rsidRDefault="008277D4">
            <w:pPr>
              <w:spacing w:line="240" w:lineRule="auto"/>
              <w:rPr>
                <w:i/>
                <w:iCs/>
                <w:sz w:val="16"/>
                <w:szCs w:val="16"/>
                <w:lang w:val="fr-FR"/>
              </w:rPr>
            </w:pPr>
          </w:p>
        </w:tc>
        <w:tc>
          <w:tcPr>
            <w:tcW w:w="1701" w:type="dxa"/>
            <w:gridSpan w:val="2"/>
            <w:tcBorders>
              <w:top w:val="single" w:sz="4" w:space="0" w:color="auto"/>
              <w:left w:val="single" w:sz="4" w:space="0" w:color="auto"/>
              <w:bottom w:val="single" w:sz="2" w:space="0" w:color="auto"/>
              <w:right w:val="single" w:sz="4" w:space="0" w:color="auto"/>
            </w:tcBorders>
            <w:noWrap/>
            <w:vAlign w:val="center"/>
            <w:hideMark/>
          </w:tcPr>
          <w:p w14:paraId="214175D2" w14:textId="77777777" w:rsidR="008277D4" w:rsidRPr="007965D5" w:rsidRDefault="008277D4">
            <w:pPr>
              <w:spacing w:before="20" w:after="20" w:line="276" w:lineRule="auto"/>
              <w:ind w:right="113"/>
              <w:jc w:val="center"/>
              <w:rPr>
                <w:i/>
                <w:iCs/>
                <w:sz w:val="16"/>
                <w:szCs w:val="16"/>
                <w:lang w:val="fr-FR"/>
              </w:rPr>
            </w:pPr>
            <w:proofErr w:type="spellStart"/>
            <w:r w:rsidRPr="007965D5">
              <w:rPr>
                <w:i/>
                <w:iCs/>
                <w:sz w:val="16"/>
                <w:szCs w:val="16"/>
                <w:lang w:val="fr-FR"/>
              </w:rPr>
              <w:t>Column</w:t>
            </w:r>
            <w:proofErr w:type="spellEnd"/>
            <w:r w:rsidRPr="007965D5">
              <w:rPr>
                <w:i/>
                <w:iCs/>
                <w:sz w:val="16"/>
                <w:szCs w:val="16"/>
                <w:lang w:val="fr-FR"/>
              </w:rPr>
              <w:t xml:space="preserve"> A</w:t>
            </w:r>
          </w:p>
        </w:tc>
        <w:tc>
          <w:tcPr>
            <w:tcW w:w="1701" w:type="dxa"/>
            <w:gridSpan w:val="2"/>
            <w:tcBorders>
              <w:top w:val="single" w:sz="4" w:space="0" w:color="auto"/>
              <w:left w:val="single" w:sz="4" w:space="0" w:color="auto"/>
              <w:bottom w:val="single" w:sz="2" w:space="0" w:color="auto"/>
              <w:right w:val="single" w:sz="4" w:space="0" w:color="auto"/>
            </w:tcBorders>
            <w:noWrap/>
            <w:vAlign w:val="center"/>
            <w:hideMark/>
          </w:tcPr>
          <w:p w14:paraId="6751AE30" w14:textId="77777777" w:rsidR="008277D4" w:rsidRPr="007965D5" w:rsidRDefault="008277D4">
            <w:pPr>
              <w:spacing w:before="20" w:after="20" w:line="276" w:lineRule="auto"/>
              <w:ind w:right="113"/>
              <w:jc w:val="center"/>
              <w:rPr>
                <w:i/>
                <w:iCs/>
                <w:sz w:val="16"/>
                <w:szCs w:val="16"/>
                <w:lang w:val="fr-FR"/>
              </w:rPr>
            </w:pPr>
            <w:proofErr w:type="spellStart"/>
            <w:r w:rsidRPr="007965D5">
              <w:rPr>
                <w:i/>
                <w:iCs/>
                <w:sz w:val="16"/>
                <w:szCs w:val="16"/>
                <w:lang w:val="fr-FR"/>
              </w:rPr>
              <w:t>Column</w:t>
            </w:r>
            <w:proofErr w:type="spellEnd"/>
            <w:r w:rsidRPr="007965D5">
              <w:rPr>
                <w:i/>
                <w:iCs/>
                <w:sz w:val="16"/>
                <w:szCs w:val="16"/>
                <w:lang w:val="fr-FR"/>
              </w:rPr>
              <w:t xml:space="preserve"> B</w:t>
            </w:r>
          </w:p>
        </w:tc>
        <w:tc>
          <w:tcPr>
            <w:tcW w:w="1701" w:type="dxa"/>
            <w:gridSpan w:val="2"/>
            <w:tcBorders>
              <w:top w:val="single" w:sz="4" w:space="0" w:color="auto"/>
              <w:left w:val="single" w:sz="4" w:space="0" w:color="auto"/>
              <w:bottom w:val="single" w:sz="2" w:space="0" w:color="auto"/>
              <w:right w:val="single" w:sz="4" w:space="0" w:color="auto"/>
            </w:tcBorders>
            <w:vAlign w:val="center"/>
            <w:hideMark/>
          </w:tcPr>
          <w:p w14:paraId="43944A6B" w14:textId="77777777" w:rsidR="008277D4" w:rsidRPr="007965D5" w:rsidRDefault="008277D4">
            <w:pPr>
              <w:spacing w:before="20" w:after="20" w:line="276" w:lineRule="auto"/>
              <w:ind w:right="113"/>
              <w:jc w:val="center"/>
              <w:rPr>
                <w:i/>
                <w:iCs/>
                <w:sz w:val="16"/>
                <w:szCs w:val="16"/>
                <w:lang w:val="fr-FR"/>
              </w:rPr>
            </w:pPr>
            <w:proofErr w:type="spellStart"/>
            <w:r w:rsidRPr="007965D5">
              <w:rPr>
                <w:i/>
                <w:iCs/>
                <w:sz w:val="16"/>
                <w:szCs w:val="16"/>
                <w:lang w:val="fr-FR"/>
              </w:rPr>
              <w:t>Column</w:t>
            </w:r>
            <w:proofErr w:type="spellEnd"/>
            <w:r w:rsidRPr="007965D5">
              <w:rPr>
                <w:i/>
                <w:iCs/>
                <w:sz w:val="16"/>
                <w:szCs w:val="16"/>
                <w:lang w:val="fr-FR"/>
              </w:rPr>
              <w:t xml:space="preserve"> C</w:t>
            </w:r>
          </w:p>
        </w:tc>
      </w:tr>
      <w:tr w:rsidR="008277D4" w14:paraId="73CF7A40" w14:textId="77777777" w:rsidTr="008277D4">
        <w:trPr>
          <w:trHeight w:val="220"/>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DF4AF47" w14:textId="77777777" w:rsidR="008277D4" w:rsidRPr="007965D5" w:rsidRDefault="008277D4">
            <w:pPr>
              <w:spacing w:line="240" w:lineRule="auto"/>
              <w:rPr>
                <w:i/>
                <w:sz w:val="16"/>
                <w:szCs w:val="16"/>
                <w:lang w:val="fr-FR"/>
              </w:rPr>
            </w:pPr>
          </w:p>
        </w:tc>
        <w:tc>
          <w:tcPr>
            <w:tcW w:w="0" w:type="auto"/>
            <w:gridSpan w:val="2"/>
            <w:vMerge/>
            <w:tcBorders>
              <w:top w:val="single" w:sz="4" w:space="0" w:color="auto"/>
              <w:left w:val="single" w:sz="4" w:space="0" w:color="auto"/>
              <w:bottom w:val="single" w:sz="2" w:space="0" w:color="auto"/>
              <w:right w:val="single" w:sz="4" w:space="0" w:color="auto"/>
            </w:tcBorders>
            <w:vAlign w:val="center"/>
            <w:hideMark/>
          </w:tcPr>
          <w:p w14:paraId="2EF532BA" w14:textId="77777777" w:rsidR="008277D4" w:rsidRPr="007965D5" w:rsidRDefault="008277D4">
            <w:pPr>
              <w:spacing w:line="240" w:lineRule="auto"/>
              <w:rPr>
                <w:i/>
                <w:iCs/>
                <w:sz w:val="16"/>
                <w:szCs w:val="16"/>
                <w:lang w:val="fr-FR"/>
              </w:rPr>
            </w:pPr>
          </w:p>
        </w:tc>
        <w:tc>
          <w:tcPr>
            <w:tcW w:w="1701" w:type="dxa"/>
            <w:gridSpan w:val="2"/>
            <w:tcBorders>
              <w:top w:val="single" w:sz="2" w:space="0" w:color="auto"/>
              <w:left w:val="single" w:sz="4" w:space="0" w:color="auto"/>
              <w:bottom w:val="single" w:sz="2" w:space="0" w:color="auto"/>
              <w:right w:val="single" w:sz="2" w:space="0" w:color="auto"/>
            </w:tcBorders>
            <w:noWrap/>
            <w:vAlign w:val="center"/>
            <w:hideMark/>
          </w:tcPr>
          <w:p w14:paraId="0FA7CDD5" w14:textId="77777777" w:rsidR="008277D4" w:rsidRPr="007965D5" w:rsidRDefault="008277D4">
            <w:pPr>
              <w:spacing w:before="20" w:after="20" w:line="276" w:lineRule="auto"/>
              <w:ind w:right="113"/>
              <w:jc w:val="center"/>
              <w:rPr>
                <w:i/>
                <w:iCs/>
                <w:sz w:val="16"/>
                <w:szCs w:val="16"/>
                <w:lang w:val="fr-FR"/>
              </w:rPr>
            </w:pPr>
            <w:r w:rsidRPr="007965D5">
              <w:rPr>
                <w:rFonts w:ascii="Cambria Math" w:hAnsi="Cambria Math"/>
                <w:i/>
                <w:iCs/>
                <w:sz w:val="16"/>
                <w:szCs w:val="16"/>
                <w:lang w:val="fr-FR"/>
              </w:rPr>
              <w:t>≙</w:t>
            </w:r>
            <w:r w:rsidRPr="007965D5">
              <w:rPr>
                <w:i/>
                <w:iCs/>
                <w:sz w:val="16"/>
                <w:szCs w:val="16"/>
                <w:lang w:val="fr-FR"/>
              </w:rPr>
              <w:t xml:space="preserve"> 0% </w:t>
            </w:r>
            <w:proofErr w:type="spellStart"/>
            <w:r w:rsidRPr="007965D5">
              <w:rPr>
                <w:i/>
                <w:iCs/>
                <w:sz w:val="16"/>
                <w:szCs w:val="16"/>
                <w:lang w:val="fr-FR"/>
              </w:rPr>
              <w:t>CoP</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hideMark/>
          </w:tcPr>
          <w:p w14:paraId="33902A10" w14:textId="77777777" w:rsidR="008277D4" w:rsidRPr="007965D5" w:rsidRDefault="008277D4">
            <w:pPr>
              <w:spacing w:before="20" w:after="20" w:line="276" w:lineRule="auto"/>
              <w:ind w:right="113"/>
              <w:jc w:val="center"/>
              <w:rPr>
                <w:i/>
                <w:iCs/>
                <w:sz w:val="16"/>
                <w:szCs w:val="16"/>
                <w:lang w:val="fr-FR"/>
              </w:rPr>
            </w:pPr>
            <w:r w:rsidRPr="007965D5">
              <w:rPr>
                <w:rFonts w:ascii="Cambria Math" w:hAnsi="Cambria Math"/>
                <w:i/>
                <w:iCs/>
                <w:sz w:val="16"/>
                <w:szCs w:val="16"/>
                <w:lang w:val="fr-FR"/>
              </w:rPr>
              <w:t>≙</w:t>
            </w:r>
            <w:r w:rsidRPr="007965D5">
              <w:rPr>
                <w:i/>
                <w:iCs/>
                <w:sz w:val="16"/>
                <w:szCs w:val="16"/>
                <w:lang w:val="fr-FR"/>
              </w:rPr>
              <w:t xml:space="preserve"> 20% </w:t>
            </w:r>
            <w:proofErr w:type="spellStart"/>
            <w:r w:rsidRPr="007965D5">
              <w:rPr>
                <w:i/>
                <w:iCs/>
                <w:sz w:val="16"/>
                <w:szCs w:val="16"/>
                <w:lang w:val="fr-FR"/>
              </w:rPr>
              <w:t>CoP</w:t>
            </w:r>
            <w:proofErr w:type="spellEnd"/>
          </w:p>
        </w:tc>
        <w:tc>
          <w:tcPr>
            <w:tcW w:w="1701" w:type="dxa"/>
            <w:gridSpan w:val="2"/>
            <w:tcBorders>
              <w:top w:val="single" w:sz="2" w:space="0" w:color="auto"/>
              <w:left w:val="single" w:sz="2" w:space="0" w:color="auto"/>
              <w:bottom w:val="single" w:sz="2" w:space="0" w:color="auto"/>
              <w:right w:val="single" w:sz="2" w:space="0" w:color="auto"/>
            </w:tcBorders>
            <w:vAlign w:val="center"/>
            <w:hideMark/>
          </w:tcPr>
          <w:p w14:paraId="3CAA7ECE" w14:textId="77777777" w:rsidR="008277D4" w:rsidRPr="007965D5" w:rsidRDefault="008277D4">
            <w:pPr>
              <w:spacing w:before="20" w:after="20" w:line="276" w:lineRule="auto"/>
              <w:ind w:right="113"/>
              <w:jc w:val="center"/>
              <w:rPr>
                <w:i/>
                <w:iCs/>
                <w:sz w:val="16"/>
                <w:szCs w:val="16"/>
                <w:lang w:val="fr-FR"/>
              </w:rPr>
            </w:pPr>
            <w:r w:rsidRPr="007965D5">
              <w:rPr>
                <w:rFonts w:ascii="Cambria Math" w:hAnsi="Cambria Math"/>
                <w:i/>
                <w:iCs/>
                <w:sz w:val="16"/>
                <w:szCs w:val="16"/>
                <w:lang w:val="fr-FR"/>
              </w:rPr>
              <w:t>≙</w:t>
            </w:r>
            <w:r w:rsidRPr="007965D5">
              <w:rPr>
                <w:i/>
                <w:iCs/>
                <w:sz w:val="16"/>
                <w:szCs w:val="16"/>
                <w:lang w:val="fr-FR"/>
              </w:rPr>
              <w:t xml:space="preserve"> 30% </w:t>
            </w:r>
            <w:proofErr w:type="spellStart"/>
            <w:r w:rsidRPr="007965D5">
              <w:rPr>
                <w:i/>
                <w:iCs/>
                <w:sz w:val="16"/>
                <w:szCs w:val="16"/>
                <w:lang w:val="fr-FR"/>
              </w:rPr>
              <w:t>CoP</w:t>
            </w:r>
            <w:proofErr w:type="spellEnd"/>
          </w:p>
        </w:tc>
      </w:tr>
      <w:tr w:rsidR="008277D4" w14:paraId="58676095" w14:textId="77777777" w:rsidTr="008277D4">
        <w:trPr>
          <w:trHeight w:val="288"/>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991EC26" w14:textId="77777777" w:rsidR="008277D4" w:rsidRPr="007965D5" w:rsidRDefault="008277D4">
            <w:pPr>
              <w:spacing w:line="240" w:lineRule="auto"/>
              <w:rPr>
                <w:i/>
                <w:sz w:val="16"/>
                <w:szCs w:val="16"/>
                <w:lang w:val="fr-FR"/>
              </w:rPr>
            </w:pPr>
          </w:p>
        </w:tc>
        <w:tc>
          <w:tcPr>
            <w:tcW w:w="859" w:type="dxa"/>
            <w:tcBorders>
              <w:top w:val="single" w:sz="2" w:space="0" w:color="auto"/>
              <w:left w:val="single" w:sz="4" w:space="0" w:color="auto"/>
              <w:bottom w:val="single" w:sz="12" w:space="0" w:color="auto"/>
              <w:right w:val="single" w:sz="2" w:space="0" w:color="auto"/>
            </w:tcBorders>
            <w:noWrap/>
            <w:vAlign w:val="center"/>
            <w:hideMark/>
          </w:tcPr>
          <w:p w14:paraId="6E1D543B" w14:textId="77777777" w:rsidR="008277D4" w:rsidRPr="007965D5" w:rsidRDefault="008277D4">
            <w:pPr>
              <w:spacing w:before="20" w:after="20"/>
              <w:ind w:right="113"/>
              <w:jc w:val="center"/>
              <w:rPr>
                <w:i/>
                <w:iCs/>
                <w:sz w:val="16"/>
                <w:szCs w:val="16"/>
                <w:lang w:val="fr-FR"/>
              </w:rPr>
            </w:pPr>
            <w:r w:rsidRPr="007965D5">
              <w:rPr>
                <w:i/>
                <w:iCs/>
                <w:sz w:val="16"/>
                <w:szCs w:val="16"/>
                <w:lang w:val="fr-FR"/>
              </w:rPr>
              <w:t>vertical</w:t>
            </w:r>
          </w:p>
        </w:tc>
        <w:tc>
          <w:tcPr>
            <w:tcW w:w="1134" w:type="dxa"/>
            <w:tcBorders>
              <w:top w:val="single" w:sz="2" w:space="0" w:color="auto"/>
              <w:left w:val="single" w:sz="2" w:space="0" w:color="auto"/>
              <w:bottom w:val="single" w:sz="12" w:space="0" w:color="auto"/>
              <w:right w:val="single" w:sz="2" w:space="0" w:color="auto"/>
            </w:tcBorders>
            <w:noWrap/>
            <w:vAlign w:val="center"/>
            <w:hideMark/>
          </w:tcPr>
          <w:p w14:paraId="763540F5" w14:textId="77777777" w:rsidR="008277D4" w:rsidRPr="007965D5" w:rsidRDefault="008277D4">
            <w:pPr>
              <w:spacing w:before="20" w:after="20"/>
              <w:ind w:right="113"/>
              <w:jc w:val="center"/>
              <w:rPr>
                <w:i/>
                <w:iCs/>
                <w:sz w:val="16"/>
                <w:szCs w:val="16"/>
                <w:lang w:val="fr-FR"/>
              </w:rPr>
            </w:pPr>
            <w:r w:rsidRPr="007965D5">
              <w:rPr>
                <w:i/>
                <w:iCs/>
                <w:sz w:val="16"/>
                <w:szCs w:val="16"/>
                <w:lang w:val="fr-FR"/>
              </w:rPr>
              <w:t>horizontal</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7409FC00" w14:textId="77777777" w:rsidR="008277D4" w:rsidRPr="007965D5" w:rsidRDefault="008277D4">
            <w:pPr>
              <w:spacing w:before="20" w:after="20"/>
              <w:ind w:right="113"/>
              <w:jc w:val="center"/>
              <w:rPr>
                <w:i/>
                <w:iCs/>
                <w:sz w:val="16"/>
                <w:szCs w:val="16"/>
                <w:lang w:val="fr-FR"/>
              </w:rPr>
            </w:pPr>
            <w:r w:rsidRPr="007965D5">
              <w:rPr>
                <w:i/>
                <w:iCs/>
                <w:sz w:val="16"/>
                <w:szCs w:val="16"/>
                <w:lang w:val="fr-FR"/>
              </w:rPr>
              <w:t>min</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3E1575B9" w14:textId="77777777" w:rsidR="008277D4" w:rsidRPr="007965D5" w:rsidRDefault="008277D4">
            <w:pPr>
              <w:spacing w:before="20" w:after="20"/>
              <w:ind w:right="113"/>
              <w:jc w:val="center"/>
              <w:rPr>
                <w:i/>
                <w:iCs/>
                <w:sz w:val="16"/>
                <w:szCs w:val="16"/>
                <w:lang w:val="fr-FR"/>
              </w:rPr>
            </w:pPr>
            <w:r w:rsidRPr="007965D5">
              <w:rPr>
                <w:i/>
                <w:iCs/>
                <w:sz w:val="16"/>
                <w:szCs w:val="16"/>
                <w:lang w:val="fr-FR"/>
              </w:rPr>
              <w:t>max</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58521F6F" w14:textId="77777777" w:rsidR="008277D4" w:rsidRPr="007965D5" w:rsidRDefault="008277D4">
            <w:pPr>
              <w:spacing w:before="20" w:after="20"/>
              <w:ind w:right="113"/>
              <w:jc w:val="center"/>
              <w:rPr>
                <w:i/>
                <w:iCs/>
                <w:sz w:val="16"/>
                <w:szCs w:val="16"/>
                <w:lang w:val="fr-FR"/>
              </w:rPr>
            </w:pPr>
            <w:r w:rsidRPr="007965D5">
              <w:rPr>
                <w:i/>
                <w:iCs/>
                <w:sz w:val="16"/>
                <w:szCs w:val="16"/>
                <w:lang w:val="fr-FR"/>
              </w:rPr>
              <w:t>min</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618CCE5F" w14:textId="77777777" w:rsidR="008277D4" w:rsidRPr="007965D5" w:rsidRDefault="008277D4">
            <w:pPr>
              <w:spacing w:before="20" w:after="20"/>
              <w:ind w:right="113"/>
              <w:jc w:val="center"/>
              <w:rPr>
                <w:i/>
                <w:iCs/>
                <w:sz w:val="16"/>
                <w:szCs w:val="16"/>
                <w:lang w:val="fr-FR"/>
              </w:rPr>
            </w:pPr>
            <w:r w:rsidRPr="007965D5">
              <w:rPr>
                <w:i/>
                <w:iCs/>
                <w:sz w:val="16"/>
                <w:szCs w:val="16"/>
                <w:lang w:val="fr-FR"/>
              </w:rPr>
              <w:t>max</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71D605AC" w14:textId="77777777" w:rsidR="008277D4" w:rsidRPr="007965D5" w:rsidRDefault="008277D4">
            <w:pPr>
              <w:spacing w:before="20" w:after="20"/>
              <w:ind w:right="113"/>
              <w:jc w:val="center"/>
              <w:rPr>
                <w:i/>
                <w:iCs/>
                <w:sz w:val="16"/>
                <w:szCs w:val="16"/>
                <w:lang w:val="fr-FR"/>
              </w:rPr>
            </w:pPr>
            <w:r w:rsidRPr="007965D5">
              <w:rPr>
                <w:i/>
                <w:iCs/>
                <w:sz w:val="16"/>
                <w:szCs w:val="16"/>
                <w:lang w:val="fr-FR"/>
              </w:rPr>
              <w:t>min</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3AA49EA8" w14:textId="77777777" w:rsidR="008277D4" w:rsidRPr="007965D5" w:rsidRDefault="008277D4">
            <w:pPr>
              <w:spacing w:before="20" w:after="20"/>
              <w:ind w:right="113"/>
              <w:jc w:val="center"/>
              <w:rPr>
                <w:i/>
                <w:iCs/>
                <w:sz w:val="16"/>
                <w:szCs w:val="16"/>
                <w:lang w:val="fr-FR"/>
              </w:rPr>
            </w:pPr>
            <w:r w:rsidRPr="007965D5">
              <w:rPr>
                <w:i/>
                <w:iCs/>
                <w:sz w:val="16"/>
                <w:szCs w:val="16"/>
                <w:lang w:val="fr-FR"/>
              </w:rPr>
              <w:t>max</w:t>
            </w:r>
          </w:p>
        </w:tc>
      </w:tr>
      <w:tr w:rsidR="008277D4" w14:paraId="044FDD34" w14:textId="77777777" w:rsidTr="008277D4">
        <w:trPr>
          <w:trHeight w:val="288"/>
        </w:trPr>
        <w:tc>
          <w:tcPr>
            <w:tcW w:w="979" w:type="dxa"/>
            <w:tcBorders>
              <w:top w:val="single" w:sz="12" w:space="0" w:color="auto"/>
              <w:left w:val="single" w:sz="2" w:space="0" w:color="auto"/>
              <w:bottom w:val="single" w:sz="2" w:space="0" w:color="auto"/>
              <w:right w:val="single" w:sz="2" w:space="0" w:color="auto"/>
            </w:tcBorders>
            <w:noWrap/>
            <w:vAlign w:val="center"/>
            <w:hideMark/>
          </w:tcPr>
          <w:p w14:paraId="10F10DE5" w14:textId="77777777" w:rsidR="008277D4" w:rsidRDefault="008277D4">
            <w:pPr>
              <w:spacing w:before="20" w:after="20"/>
              <w:ind w:left="57" w:right="57"/>
              <w:rPr>
                <w:sz w:val="18"/>
                <w:szCs w:val="18"/>
                <w:lang w:val="fr-FR"/>
              </w:rPr>
            </w:pPr>
            <w:r>
              <w:rPr>
                <w:sz w:val="18"/>
                <w:szCs w:val="18"/>
                <w:lang w:val="fr-FR"/>
              </w:rPr>
              <w:t>BR</w:t>
            </w:r>
          </w:p>
        </w:tc>
        <w:tc>
          <w:tcPr>
            <w:tcW w:w="859" w:type="dxa"/>
            <w:tcBorders>
              <w:top w:val="single" w:sz="12" w:space="0" w:color="auto"/>
              <w:left w:val="single" w:sz="2" w:space="0" w:color="auto"/>
              <w:bottom w:val="single" w:sz="2" w:space="0" w:color="auto"/>
              <w:right w:val="single" w:sz="2" w:space="0" w:color="auto"/>
            </w:tcBorders>
            <w:noWrap/>
            <w:vAlign w:val="center"/>
            <w:hideMark/>
          </w:tcPr>
          <w:p w14:paraId="0AAED4E6" w14:textId="77777777" w:rsidR="008277D4" w:rsidRDefault="008277D4">
            <w:pPr>
              <w:spacing w:before="20" w:after="20"/>
              <w:ind w:right="113"/>
              <w:jc w:val="center"/>
              <w:rPr>
                <w:sz w:val="18"/>
                <w:szCs w:val="18"/>
                <w:lang w:val="fr-FR"/>
              </w:rPr>
            </w:pPr>
            <w:r>
              <w:rPr>
                <w:sz w:val="18"/>
                <w:szCs w:val="18"/>
                <w:lang w:val="fr-FR"/>
              </w:rPr>
              <w:t>1°U</w:t>
            </w:r>
          </w:p>
        </w:tc>
        <w:tc>
          <w:tcPr>
            <w:tcW w:w="1134" w:type="dxa"/>
            <w:tcBorders>
              <w:top w:val="single" w:sz="12" w:space="0" w:color="auto"/>
              <w:left w:val="single" w:sz="2" w:space="0" w:color="auto"/>
              <w:bottom w:val="single" w:sz="2" w:space="0" w:color="auto"/>
              <w:right w:val="single" w:sz="2" w:space="0" w:color="auto"/>
            </w:tcBorders>
            <w:noWrap/>
            <w:vAlign w:val="center"/>
            <w:hideMark/>
          </w:tcPr>
          <w:p w14:paraId="702A32B3" w14:textId="77777777" w:rsidR="008277D4" w:rsidRDefault="008277D4">
            <w:pPr>
              <w:spacing w:before="20" w:after="20"/>
              <w:ind w:right="113"/>
              <w:jc w:val="center"/>
              <w:rPr>
                <w:sz w:val="18"/>
                <w:szCs w:val="18"/>
                <w:lang w:val="fr-FR"/>
              </w:rPr>
            </w:pPr>
            <w:r>
              <w:rPr>
                <w:sz w:val="18"/>
                <w:szCs w:val="18"/>
                <w:lang w:val="fr-FR"/>
              </w:rPr>
              <w:t>2.5°R</w:t>
            </w:r>
          </w:p>
        </w:tc>
        <w:tc>
          <w:tcPr>
            <w:tcW w:w="851" w:type="dxa"/>
            <w:tcBorders>
              <w:top w:val="single" w:sz="12" w:space="0" w:color="auto"/>
              <w:left w:val="single" w:sz="2" w:space="0" w:color="auto"/>
              <w:bottom w:val="single" w:sz="2" w:space="0" w:color="auto"/>
              <w:right w:val="single" w:sz="2" w:space="0" w:color="auto"/>
            </w:tcBorders>
            <w:noWrap/>
            <w:vAlign w:val="center"/>
            <w:hideMark/>
          </w:tcPr>
          <w:p w14:paraId="1DE7F13E"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12" w:space="0" w:color="auto"/>
              <w:left w:val="single" w:sz="2" w:space="0" w:color="auto"/>
              <w:bottom w:val="single" w:sz="2" w:space="0" w:color="auto"/>
              <w:right w:val="single" w:sz="2" w:space="0" w:color="auto"/>
            </w:tcBorders>
            <w:noWrap/>
            <w:vAlign w:val="center"/>
            <w:hideMark/>
          </w:tcPr>
          <w:p w14:paraId="661EA6DF" w14:textId="77777777" w:rsidR="008277D4" w:rsidRDefault="008277D4">
            <w:pPr>
              <w:spacing w:before="20" w:after="20"/>
              <w:ind w:right="113"/>
              <w:jc w:val="center"/>
              <w:rPr>
                <w:sz w:val="18"/>
                <w:szCs w:val="18"/>
                <w:lang w:val="fr-FR"/>
              </w:rPr>
            </w:pPr>
            <w:r>
              <w:rPr>
                <w:sz w:val="18"/>
                <w:szCs w:val="18"/>
                <w:lang w:val="fr-FR"/>
              </w:rPr>
              <w:t>1.75∙10</w:t>
            </w:r>
            <w:r>
              <w:rPr>
                <w:sz w:val="18"/>
                <w:szCs w:val="18"/>
                <w:vertAlign w:val="superscript"/>
                <w:lang w:val="fr-FR"/>
              </w:rPr>
              <w:t>3</w:t>
            </w:r>
          </w:p>
        </w:tc>
        <w:tc>
          <w:tcPr>
            <w:tcW w:w="851" w:type="dxa"/>
            <w:tcBorders>
              <w:top w:val="single" w:sz="12" w:space="0" w:color="auto"/>
              <w:left w:val="single" w:sz="2" w:space="0" w:color="auto"/>
              <w:bottom w:val="single" w:sz="2" w:space="0" w:color="auto"/>
              <w:right w:val="single" w:sz="2" w:space="0" w:color="auto"/>
            </w:tcBorders>
            <w:noWrap/>
            <w:vAlign w:val="center"/>
            <w:hideMark/>
          </w:tcPr>
          <w:p w14:paraId="40F4A090"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12" w:space="0" w:color="auto"/>
              <w:left w:val="single" w:sz="2" w:space="0" w:color="auto"/>
              <w:bottom w:val="single" w:sz="2" w:space="0" w:color="auto"/>
              <w:right w:val="single" w:sz="2" w:space="0" w:color="auto"/>
            </w:tcBorders>
            <w:noWrap/>
            <w:vAlign w:val="center"/>
            <w:hideMark/>
          </w:tcPr>
          <w:p w14:paraId="03C08F34" w14:textId="77777777" w:rsidR="008277D4" w:rsidRDefault="008277D4">
            <w:pPr>
              <w:spacing w:before="20" w:after="20"/>
              <w:ind w:right="113"/>
              <w:jc w:val="center"/>
              <w:rPr>
                <w:sz w:val="18"/>
                <w:szCs w:val="18"/>
                <w:lang w:val="fr-FR"/>
              </w:rPr>
            </w:pPr>
            <w:r>
              <w:rPr>
                <w:sz w:val="18"/>
                <w:szCs w:val="18"/>
                <w:lang w:val="fr-FR"/>
              </w:rPr>
              <w:t>2.10∙10</w:t>
            </w:r>
            <w:r>
              <w:rPr>
                <w:sz w:val="18"/>
                <w:szCs w:val="18"/>
                <w:vertAlign w:val="superscript"/>
                <w:lang w:val="fr-FR"/>
              </w:rPr>
              <w:t>3</w:t>
            </w:r>
          </w:p>
        </w:tc>
        <w:tc>
          <w:tcPr>
            <w:tcW w:w="851" w:type="dxa"/>
            <w:tcBorders>
              <w:top w:val="single" w:sz="12" w:space="0" w:color="auto"/>
              <w:left w:val="single" w:sz="2" w:space="0" w:color="auto"/>
              <w:bottom w:val="single" w:sz="2" w:space="0" w:color="auto"/>
              <w:right w:val="single" w:sz="2" w:space="0" w:color="auto"/>
            </w:tcBorders>
            <w:noWrap/>
            <w:vAlign w:val="center"/>
            <w:hideMark/>
          </w:tcPr>
          <w:p w14:paraId="0D427E08"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12" w:space="0" w:color="auto"/>
              <w:left w:val="single" w:sz="2" w:space="0" w:color="auto"/>
              <w:bottom w:val="single" w:sz="2" w:space="0" w:color="auto"/>
              <w:right w:val="single" w:sz="2" w:space="0" w:color="auto"/>
            </w:tcBorders>
            <w:noWrap/>
            <w:vAlign w:val="center"/>
            <w:hideMark/>
          </w:tcPr>
          <w:p w14:paraId="4AE9BEF7" w14:textId="77777777" w:rsidR="008277D4" w:rsidRDefault="008277D4">
            <w:pPr>
              <w:spacing w:before="20" w:after="20"/>
              <w:ind w:right="113"/>
              <w:jc w:val="center"/>
              <w:rPr>
                <w:sz w:val="18"/>
                <w:szCs w:val="18"/>
                <w:lang w:val="fr-FR"/>
              </w:rPr>
            </w:pPr>
            <w:r>
              <w:rPr>
                <w:sz w:val="18"/>
                <w:szCs w:val="18"/>
                <w:lang w:val="fr-FR"/>
              </w:rPr>
              <w:t>2.28∙10</w:t>
            </w:r>
            <w:r>
              <w:rPr>
                <w:sz w:val="18"/>
                <w:szCs w:val="18"/>
                <w:vertAlign w:val="superscript"/>
                <w:lang w:val="fr-FR"/>
              </w:rPr>
              <w:t>3</w:t>
            </w:r>
          </w:p>
        </w:tc>
      </w:tr>
      <w:tr w:rsidR="008277D4" w14:paraId="2304AFA7" w14:textId="77777777" w:rsidTr="008277D4">
        <w:trPr>
          <w:trHeight w:val="288"/>
        </w:trPr>
        <w:tc>
          <w:tcPr>
            <w:tcW w:w="979" w:type="dxa"/>
            <w:tcBorders>
              <w:top w:val="single" w:sz="2" w:space="0" w:color="auto"/>
              <w:left w:val="single" w:sz="2" w:space="0" w:color="auto"/>
              <w:bottom w:val="single" w:sz="2" w:space="0" w:color="auto"/>
              <w:right w:val="single" w:sz="2" w:space="0" w:color="auto"/>
            </w:tcBorders>
            <w:noWrap/>
            <w:vAlign w:val="center"/>
            <w:hideMark/>
          </w:tcPr>
          <w:p w14:paraId="06E5D4B5" w14:textId="77777777" w:rsidR="008277D4" w:rsidRDefault="008277D4">
            <w:pPr>
              <w:spacing w:before="20" w:after="20"/>
              <w:ind w:left="57" w:right="57"/>
              <w:rPr>
                <w:sz w:val="18"/>
                <w:szCs w:val="18"/>
                <w:lang w:val="fr-FR"/>
              </w:rPr>
            </w:pPr>
            <w:r>
              <w:rPr>
                <w:bCs/>
                <w:sz w:val="18"/>
                <w:szCs w:val="18"/>
                <w:lang w:val="fr-FR"/>
              </w:rPr>
              <w:t>Line</w:t>
            </w:r>
            <w:r>
              <w:rPr>
                <w:sz w:val="18"/>
                <w:szCs w:val="18"/>
                <w:lang w:val="fr-FR"/>
              </w:rPr>
              <w:t xml:space="preserve"> BLL</w:t>
            </w:r>
          </w:p>
        </w:tc>
        <w:tc>
          <w:tcPr>
            <w:tcW w:w="859" w:type="dxa"/>
            <w:tcBorders>
              <w:top w:val="single" w:sz="2" w:space="0" w:color="auto"/>
              <w:left w:val="single" w:sz="2" w:space="0" w:color="auto"/>
              <w:bottom w:val="single" w:sz="2" w:space="0" w:color="auto"/>
              <w:right w:val="single" w:sz="2" w:space="0" w:color="auto"/>
            </w:tcBorders>
            <w:noWrap/>
            <w:vAlign w:val="center"/>
            <w:hideMark/>
          </w:tcPr>
          <w:p w14:paraId="3A1DDBCD" w14:textId="77777777" w:rsidR="008277D4" w:rsidRDefault="008277D4">
            <w:pPr>
              <w:spacing w:before="20" w:after="20"/>
              <w:ind w:right="113"/>
              <w:jc w:val="center"/>
              <w:rPr>
                <w:sz w:val="18"/>
                <w:szCs w:val="18"/>
                <w:lang w:val="fr-FR"/>
              </w:rPr>
            </w:pPr>
            <w:r>
              <w:rPr>
                <w:sz w:val="18"/>
                <w:szCs w:val="18"/>
                <w:lang w:val="fr-FR"/>
              </w:rPr>
              <w:t>0.57° U</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6861C38" w14:textId="77777777" w:rsidR="008277D4" w:rsidRDefault="008277D4">
            <w:pPr>
              <w:spacing w:before="20" w:after="20"/>
              <w:ind w:right="113"/>
              <w:jc w:val="center"/>
              <w:rPr>
                <w:sz w:val="18"/>
                <w:szCs w:val="18"/>
                <w:lang w:val="fr-FR"/>
              </w:rPr>
            </w:pPr>
            <w:r>
              <w:rPr>
                <w:sz w:val="18"/>
                <w:szCs w:val="18"/>
                <w:lang w:val="fr-FR"/>
              </w:rPr>
              <w:t>20°L to 8°L</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01F55488"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57D1461" w14:textId="77777777" w:rsidR="008277D4" w:rsidRPr="007965D5" w:rsidRDefault="008277D4">
            <w:pPr>
              <w:spacing w:before="20" w:after="20"/>
              <w:ind w:right="113"/>
              <w:jc w:val="center"/>
              <w:rPr>
                <w:sz w:val="18"/>
                <w:szCs w:val="18"/>
                <w:lang w:val="fr-FR"/>
              </w:rPr>
            </w:pPr>
            <w:r w:rsidRPr="007965D5">
              <w:rPr>
                <w:sz w:val="18"/>
                <w:szCs w:val="18"/>
                <w:lang w:val="fr-FR"/>
              </w:rPr>
              <w:t>6.25∙10</w:t>
            </w:r>
            <w:r w:rsidRPr="007965D5">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1A8392ED" w14:textId="77777777" w:rsidR="008277D4" w:rsidRPr="007965D5" w:rsidRDefault="008277D4">
            <w:pPr>
              <w:spacing w:before="20" w:after="20"/>
              <w:ind w:right="113"/>
              <w:jc w:val="center"/>
              <w:rPr>
                <w:sz w:val="18"/>
                <w:szCs w:val="18"/>
                <w:lang w:val="fr-FR"/>
              </w:rPr>
            </w:pPr>
            <w:r w:rsidRPr="007965D5">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57B3AFE" w14:textId="77777777" w:rsidR="008277D4" w:rsidRPr="007965D5" w:rsidRDefault="008277D4">
            <w:pPr>
              <w:spacing w:before="20" w:after="20"/>
              <w:ind w:right="113"/>
              <w:jc w:val="center"/>
              <w:rPr>
                <w:sz w:val="18"/>
                <w:szCs w:val="18"/>
                <w:lang w:val="fr-FR"/>
              </w:rPr>
            </w:pPr>
            <w:r w:rsidRPr="007965D5">
              <w:rPr>
                <w:sz w:val="18"/>
                <w:szCs w:val="18"/>
                <w:lang w:val="fr-FR"/>
              </w:rPr>
              <w:t>8.80∙10</w:t>
            </w:r>
            <w:r w:rsidRPr="007965D5">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6392D872" w14:textId="77777777" w:rsidR="008277D4" w:rsidRPr="007965D5" w:rsidRDefault="008277D4">
            <w:pPr>
              <w:spacing w:before="20" w:after="20"/>
              <w:ind w:right="113"/>
              <w:jc w:val="center"/>
              <w:rPr>
                <w:sz w:val="18"/>
                <w:szCs w:val="18"/>
                <w:lang w:val="fr-FR"/>
              </w:rPr>
            </w:pPr>
            <w:r w:rsidRPr="007965D5">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81404B1" w14:textId="77777777" w:rsidR="008277D4" w:rsidRPr="007965D5" w:rsidRDefault="008277D4">
            <w:pPr>
              <w:spacing w:before="20" w:after="20"/>
              <w:ind w:right="113"/>
              <w:jc w:val="center"/>
              <w:rPr>
                <w:sz w:val="18"/>
                <w:szCs w:val="18"/>
                <w:lang w:val="fr-FR"/>
              </w:rPr>
            </w:pPr>
            <w:r w:rsidRPr="007965D5">
              <w:rPr>
                <w:sz w:val="18"/>
                <w:szCs w:val="18"/>
                <w:lang w:val="fr-FR"/>
              </w:rPr>
              <w:t>1.01∙10</w:t>
            </w:r>
            <w:r w:rsidRPr="007965D5">
              <w:rPr>
                <w:sz w:val="18"/>
                <w:szCs w:val="18"/>
                <w:vertAlign w:val="superscript"/>
                <w:lang w:val="fr-FR"/>
              </w:rPr>
              <w:t>3</w:t>
            </w:r>
          </w:p>
        </w:tc>
      </w:tr>
      <w:tr w:rsidR="008277D4" w14:paraId="657EA610" w14:textId="77777777" w:rsidTr="008277D4">
        <w:trPr>
          <w:trHeight w:val="288"/>
        </w:trPr>
        <w:tc>
          <w:tcPr>
            <w:tcW w:w="979" w:type="dxa"/>
            <w:tcBorders>
              <w:top w:val="single" w:sz="2" w:space="0" w:color="auto"/>
              <w:left w:val="single" w:sz="2" w:space="0" w:color="auto"/>
              <w:bottom w:val="single" w:sz="2" w:space="0" w:color="auto"/>
              <w:right w:val="single" w:sz="2" w:space="0" w:color="auto"/>
            </w:tcBorders>
            <w:noWrap/>
            <w:vAlign w:val="center"/>
            <w:hideMark/>
          </w:tcPr>
          <w:p w14:paraId="05D359BC" w14:textId="77777777" w:rsidR="008277D4" w:rsidRDefault="008277D4">
            <w:pPr>
              <w:spacing w:before="20" w:after="20"/>
              <w:ind w:left="57" w:right="57"/>
              <w:rPr>
                <w:sz w:val="18"/>
                <w:szCs w:val="18"/>
                <w:lang w:val="fr-FR"/>
              </w:rPr>
            </w:pPr>
            <w:r>
              <w:rPr>
                <w:sz w:val="18"/>
                <w:szCs w:val="18"/>
                <w:lang w:val="fr-FR"/>
              </w:rPr>
              <w:t>B50L</w:t>
            </w:r>
          </w:p>
        </w:tc>
        <w:tc>
          <w:tcPr>
            <w:tcW w:w="859" w:type="dxa"/>
            <w:tcBorders>
              <w:top w:val="single" w:sz="2" w:space="0" w:color="auto"/>
              <w:left w:val="single" w:sz="2" w:space="0" w:color="auto"/>
              <w:bottom w:val="single" w:sz="2" w:space="0" w:color="auto"/>
              <w:right w:val="single" w:sz="2" w:space="0" w:color="auto"/>
            </w:tcBorders>
            <w:noWrap/>
            <w:vAlign w:val="center"/>
            <w:hideMark/>
          </w:tcPr>
          <w:p w14:paraId="18264064" w14:textId="77777777" w:rsidR="008277D4" w:rsidRDefault="008277D4">
            <w:pPr>
              <w:spacing w:before="20" w:after="20"/>
              <w:ind w:right="-5"/>
              <w:jc w:val="center"/>
              <w:rPr>
                <w:sz w:val="18"/>
                <w:szCs w:val="18"/>
                <w:lang w:val="fr-FR"/>
              </w:rPr>
            </w:pPr>
            <w:r>
              <w:rPr>
                <w:sz w:val="18"/>
                <w:szCs w:val="18"/>
                <w:lang w:val="fr-FR"/>
              </w:rPr>
              <w:t>0.57° U</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E80ED8F" w14:textId="77777777" w:rsidR="008277D4" w:rsidRDefault="008277D4">
            <w:pPr>
              <w:spacing w:before="20" w:after="20"/>
              <w:ind w:right="113"/>
              <w:jc w:val="center"/>
              <w:rPr>
                <w:sz w:val="18"/>
                <w:szCs w:val="18"/>
                <w:lang w:val="fr-FR"/>
              </w:rPr>
            </w:pPr>
            <w:r>
              <w:rPr>
                <w:sz w:val="18"/>
                <w:szCs w:val="18"/>
                <w:lang w:val="fr-FR"/>
              </w:rPr>
              <w:t>3.43°L</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03264764"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E8D82E5" w14:textId="77777777" w:rsidR="008277D4" w:rsidRDefault="008277D4">
            <w:pPr>
              <w:spacing w:before="20" w:after="20"/>
              <w:ind w:right="113"/>
              <w:jc w:val="center"/>
              <w:rPr>
                <w:sz w:val="18"/>
                <w:szCs w:val="18"/>
                <w:lang w:val="fr-FR"/>
              </w:rPr>
            </w:pPr>
            <w:r>
              <w:rPr>
                <w:sz w:val="18"/>
                <w:szCs w:val="18"/>
                <w:lang w:val="fr-FR"/>
              </w:rPr>
              <w:t>5.30∙10</w:t>
            </w:r>
            <w:r>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45E3748B"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1FAD1E3" w14:textId="77777777" w:rsidR="008277D4" w:rsidRDefault="008277D4">
            <w:pPr>
              <w:spacing w:before="20" w:after="20"/>
              <w:ind w:right="113"/>
              <w:jc w:val="center"/>
              <w:rPr>
                <w:sz w:val="18"/>
                <w:szCs w:val="18"/>
                <w:lang w:val="fr-FR"/>
              </w:rPr>
            </w:pPr>
            <w:r>
              <w:rPr>
                <w:sz w:val="18"/>
                <w:szCs w:val="18"/>
                <w:lang w:val="fr-FR"/>
              </w:rPr>
              <w:t>7.00∙10</w:t>
            </w:r>
            <w:r>
              <w:rPr>
                <w:sz w:val="18"/>
                <w:szCs w:val="18"/>
                <w:vertAlign w:val="superscript"/>
                <w:lang w:val="fr-FR"/>
              </w:rPr>
              <w:t>2</w:t>
            </w:r>
          </w:p>
        </w:tc>
        <w:tc>
          <w:tcPr>
            <w:tcW w:w="851" w:type="dxa"/>
            <w:tcBorders>
              <w:top w:val="single" w:sz="2" w:space="0" w:color="auto"/>
              <w:left w:val="single" w:sz="2" w:space="0" w:color="auto"/>
              <w:bottom w:val="single" w:sz="2" w:space="0" w:color="auto"/>
              <w:right w:val="single" w:sz="2" w:space="0" w:color="auto"/>
            </w:tcBorders>
            <w:noWrap/>
            <w:vAlign w:val="center"/>
            <w:hideMark/>
          </w:tcPr>
          <w:p w14:paraId="4E52BFB0"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790B50D" w14:textId="77777777" w:rsidR="008277D4" w:rsidRDefault="008277D4">
            <w:pPr>
              <w:spacing w:before="20" w:after="20"/>
              <w:ind w:right="113"/>
              <w:jc w:val="center"/>
              <w:rPr>
                <w:sz w:val="18"/>
                <w:szCs w:val="18"/>
                <w:lang w:val="fr-FR"/>
              </w:rPr>
            </w:pPr>
            <w:r>
              <w:rPr>
                <w:sz w:val="18"/>
                <w:szCs w:val="18"/>
                <w:lang w:val="fr-FR"/>
              </w:rPr>
              <w:t>7.85∙10</w:t>
            </w:r>
            <w:r>
              <w:rPr>
                <w:sz w:val="18"/>
                <w:szCs w:val="18"/>
                <w:vertAlign w:val="superscript"/>
                <w:lang w:val="fr-FR"/>
              </w:rPr>
              <w:t>2</w:t>
            </w:r>
          </w:p>
        </w:tc>
      </w:tr>
      <w:tr w:rsidR="008277D4" w14:paraId="1C4B05AC" w14:textId="77777777" w:rsidTr="008277D4">
        <w:trPr>
          <w:trHeight w:val="61"/>
        </w:trPr>
        <w:tc>
          <w:tcPr>
            <w:tcW w:w="979" w:type="dxa"/>
            <w:tcBorders>
              <w:top w:val="single" w:sz="2" w:space="0" w:color="auto"/>
              <w:left w:val="single" w:sz="2" w:space="0" w:color="auto"/>
              <w:bottom w:val="single" w:sz="12" w:space="0" w:color="auto"/>
              <w:right w:val="single" w:sz="2" w:space="0" w:color="auto"/>
            </w:tcBorders>
            <w:noWrap/>
            <w:vAlign w:val="center"/>
            <w:hideMark/>
          </w:tcPr>
          <w:p w14:paraId="46B594B2" w14:textId="77777777" w:rsidR="008277D4" w:rsidRDefault="008277D4">
            <w:pPr>
              <w:spacing w:before="20" w:after="20"/>
              <w:ind w:left="57" w:right="57"/>
              <w:rPr>
                <w:sz w:val="18"/>
                <w:szCs w:val="18"/>
                <w:lang w:val="fr-FR"/>
              </w:rPr>
            </w:pPr>
            <w:r>
              <w:rPr>
                <w:bCs/>
                <w:sz w:val="18"/>
                <w:szCs w:val="18"/>
                <w:lang w:val="fr-FR"/>
              </w:rPr>
              <w:t>Line</w:t>
            </w:r>
            <w:r>
              <w:rPr>
                <w:sz w:val="18"/>
                <w:szCs w:val="18"/>
                <w:lang w:val="fr-FR"/>
              </w:rPr>
              <w:t xml:space="preserve"> III</w:t>
            </w:r>
          </w:p>
        </w:tc>
        <w:tc>
          <w:tcPr>
            <w:tcW w:w="859" w:type="dxa"/>
            <w:tcBorders>
              <w:top w:val="single" w:sz="2" w:space="0" w:color="auto"/>
              <w:left w:val="single" w:sz="2" w:space="0" w:color="auto"/>
              <w:bottom w:val="single" w:sz="12" w:space="0" w:color="auto"/>
              <w:right w:val="single" w:sz="2" w:space="0" w:color="auto"/>
            </w:tcBorders>
            <w:noWrap/>
            <w:vAlign w:val="center"/>
            <w:hideMark/>
          </w:tcPr>
          <w:p w14:paraId="3F16452F" w14:textId="77777777" w:rsidR="008277D4" w:rsidRDefault="008277D4">
            <w:pPr>
              <w:spacing w:before="20" w:after="20"/>
              <w:ind w:right="113"/>
              <w:jc w:val="center"/>
              <w:rPr>
                <w:sz w:val="18"/>
                <w:szCs w:val="18"/>
                <w:lang w:val="fr-FR"/>
              </w:rPr>
            </w:pPr>
            <w:r>
              <w:rPr>
                <w:sz w:val="18"/>
                <w:szCs w:val="18"/>
                <w:lang w:val="fr-FR"/>
              </w:rPr>
              <w:t>0°</w:t>
            </w:r>
          </w:p>
        </w:tc>
        <w:tc>
          <w:tcPr>
            <w:tcW w:w="1134" w:type="dxa"/>
            <w:tcBorders>
              <w:top w:val="single" w:sz="2" w:space="0" w:color="auto"/>
              <w:left w:val="single" w:sz="2" w:space="0" w:color="auto"/>
              <w:bottom w:val="single" w:sz="12" w:space="0" w:color="auto"/>
              <w:right w:val="single" w:sz="2" w:space="0" w:color="auto"/>
            </w:tcBorders>
            <w:noWrap/>
            <w:vAlign w:val="center"/>
            <w:hideMark/>
          </w:tcPr>
          <w:p w14:paraId="5468F1B7" w14:textId="77777777" w:rsidR="008277D4" w:rsidRDefault="008277D4">
            <w:pPr>
              <w:spacing w:before="20" w:after="20"/>
              <w:ind w:right="113"/>
              <w:jc w:val="center"/>
              <w:rPr>
                <w:sz w:val="18"/>
                <w:szCs w:val="18"/>
                <w:lang w:val="fr-FR"/>
              </w:rPr>
            </w:pPr>
            <w:r>
              <w:rPr>
                <w:sz w:val="18"/>
                <w:szCs w:val="18"/>
                <w:lang w:val="fr-FR"/>
              </w:rPr>
              <w:t>4° L to 0°</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590DEAEC"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05FA39BA" w14:textId="77777777" w:rsidR="008277D4" w:rsidRDefault="008277D4">
            <w:pPr>
              <w:spacing w:before="20" w:after="20"/>
              <w:ind w:right="113"/>
              <w:jc w:val="center"/>
              <w:rPr>
                <w:sz w:val="18"/>
                <w:szCs w:val="18"/>
                <w:lang w:val="fr-FR"/>
              </w:rPr>
            </w:pPr>
            <w:r>
              <w:rPr>
                <w:sz w:val="18"/>
                <w:szCs w:val="18"/>
                <w:lang w:val="fr-FR"/>
              </w:rPr>
              <w:t>8.80∙10</w:t>
            </w:r>
            <w:r>
              <w:rPr>
                <w:sz w:val="18"/>
                <w:szCs w:val="18"/>
                <w:vertAlign w:val="superscript"/>
                <w:lang w:val="fr-FR"/>
              </w:rPr>
              <w:t>2</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6B854DD0"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74071C12" w14:textId="77777777" w:rsidR="008277D4" w:rsidRDefault="008277D4">
            <w:pPr>
              <w:spacing w:before="20" w:after="20"/>
              <w:ind w:right="113"/>
              <w:jc w:val="center"/>
              <w:rPr>
                <w:sz w:val="18"/>
                <w:szCs w:val="18"/>
                <w:lang w:val="fr-FR"/>
              </w:rPr>
            </w:pPr>
            <w:r>
              <w:rPr>
                <w:sz w:val="18"/>
                <w:szCs w:val="18"/>
                <w:lang w:val="fr-FR"/>
              </w:rPr>
              <w:t>1.14∙10</w:t>
            </w:r>
            <w:r>
              <w:rPr>
                <w:sz w:val="18"/>
                <w:szCs w:val="18"/>
                <w:vertAlign w:val="superscript"/>
                <w:lang w:val="fr-FR"/>
              </w:rPr>
              <w:t>3</w:t>
            </w:r>
          </w:p>
        </w:tc>
        <w:tc>
          <w:tcPr>
            <w:tcW w:w="851" w:type="dxa"/>
            <w:tcBorders>
              <w:top w:val="single" w:sz="2" w:space="0" w:color="auto"/>
              <w:left w:val="single" w:sz="2" w:space="0" w:color="auto"/>
              <w:bottom w:val="single" w:sz="12" w:space="0" w:color="auto"/>
              <w:right w:val="single" w:sz="2" w:space="0" w:color="auto"/>
            </w:tcBorders>
            <w:noWrap/>
            <w:vAlign w:val="center"/>
            <w:hideMark/>
          </w:tcPr>
          <w:p w14:paraId="4FCCD3F3" w14:textId="77777777" w:rsidR="008277D4" w:rsidRDefault="008277D4">
            <w:pPr>
              <w:spacing w:before="20" w:after="20"/>
              <w:ind w:right="113"/>
              <w:jc w:val="center"/>
              <w:rPr>
                <w:sz w:val="18"/>
                <w:szCs w:val="18"/>
                <w:lang w:val="fr-FR"/>
              </w:rPr>
            </w:pPr>
            <w:r>
              <w:rPr>
                <w:sz w:val="18"/>
                <w:szCs w:val="18"/>
                <w:lang w:val="fr-FR"/>
              </w:rPr>
              <w:t>-</w:t>
            </w:r>
          </w:p>
        </w:tc>
        <w:tc>
          <w:tcPr>
            <w:tcW w:w="850" w:type="dxa"/>
            <w:tcBorders>
              <w:top w:val="single" w:sz="2" w:space="0" w:color="auto"/>
              <w:left w:val="single" w:sz="2" w:space="0" w:color="auto"/>
              <w:bottom w:val="single" w:sz="12" w:space="0" w:color="auto"/>
              <w:right w:val="single" w:sz="2" w:space="0" w:color="auto"/>
            </w:tcBorders>
            <w:noWrap/>
            <w:vAlign w:val="center"/>
            <w:hideMark/>
          </w:tcPr>
          <w:p w14:paraId="7FEC0364" w14:textId="77777777" w:rsidR="008277D4" w:rsidRDefault="008277D4">
            <w:pPr>
              <w:spacing w:before="20" w:after="20"/>
              <w:ind w:right="113"/>
              <w:jc w:val="center"/>
              <w:rPr>
                <w:sz w:val="18"/>
                <w:szCs w:val="18"/>
                <w:lang w:val="fr-FR"/>
              </w:rPr>
            </w:pPr>
            <w:r>
              <w:rPr>
                <w:sz w:val="18"/>
                <w:szCs w:val="18"/>
                <w:lang w:val="fr-FR"/>
              </w:rPr>
              <w:t>1.26∙10</w:t>
            </w:r>
            <w:r>
              <w:rPr>
                <w:sz w:val="18"/>
                <w:szCs w:val="18"/>
                <w:vertAlign w:val="superscript"/>
                <w:lang w:val="fr-FR"/>
              </w:rPr>
              <w:t>3</w:t>
            </w:r>
          </w:p>
        </w:tc>
      </w:tr>
    </w:tbl>
    <w:p w14:paraId="05255228" w14:textId="77777777" w:rsidR="008277D4" w:rsidRDefault="008277D4" w:rsidP="008277D4">
      <w:pPr>
        <w:pStyle w:val="a"/>
        <w:spacing w:before="120" w:after="0"/>
        <w:ind w:left="2268" w:right="283" w:firstLine="0"/>
        <w:jc w:val="right"/>
      </w:pPr>
      <w:r>
        <w:t xml:space="preserve">   ”</w:t>
      </w:r>
    </w:p>
    <w:p w14:paraId="451F8BE8" w14:textId="77777777" w:rsidR="00DE7939" w:rsidRDefault="00DE7939" w:rsidP="00DE7939">
      <w:pPr>
        <w:pStyle w:val="Default"/>
        <w:spacing w:after="120"/>
        <w:ind w:left="2268" w:right="1395" w:hanging="1134"/>
        <w:jc w:val="both"/>
        <w:rPr>
          <w:i/>
          <w:iCs/>
          <w:color w:val="auto"/>
          <w:sz w:val="20"/>
          <w:szCs w:val="20"/>
          <w:lang w:val="en-GB"/>
        </w:rPr>
      </w:pPr>
      <w:r w:rsidRPr="000552A2">
        <w:rPr>
          <w:i/>
          <w:iCs/>
          <w:color w:val="auto"/>
          <w:sz w:val="20"/>
          <w:szCs w:val="20"/>
          <w:lang w:val="en-GB"/>
        </w:rPr>
        <w:t xml:space="preserve">Annex 1, </w:t>
      </w:r>
    </w:p>
    <w:p w14:paraId="66472AD5" w14:textId="77777777" w:rsidR="00DE7939" w:rsidRPr="000552A2" w:rsidRDefault="00DE7939" w:rsidP="00DE7939">
      <w:pPr>
        <w:pStyle w:val="Default"/>
        <w:spacing w:after="120"/>
        <w:ind w:left="2268" w:right="1395" w:hanging="1134"/>
        <w:jc w:val="both"/>
        <w:rPr>
          <w:color w:val="auto"/>
          <w:sz w:val="20"/>
          <w:szCs w:val="20"/>
          <w:lang w:val="en-GB"/>
        </w:rPr>
      </w:pPr>
      <w:r w:rsidRPr="009D2193">
        <w:rPr>
          <w:i/>
          <w:iCs/>
          <w:color w:val="auto"/>
          <w:sz w:val="20"/>
          <w:szCs w:val="20"/>
          <w:lang w:val="en-GB"/>
        </w:rPr>
        <w:t>Insert a new item 9.1.13.,</w:t>
      </w:r>
      <w:r>
        <w:rPr>
          <w:color w:val="auto"/>
          <w:sz w:val="20"/>
          <w:szCs w:val="20"/>
          <w:lang w:val="en-GB"/>
        </w:rPr>
        <w:t xml:space="preserve"> to read</w:t>
      </w:r>
      <w:r w:rsidRPr="000552A2">
        <w:rPr>
          <w:color w:val="auto"/>
          <w:sz w:val="20"/>
          <w:szCs w:val="20"/>
          <w:lang w:val="en-GB"/>
        </w:rPr>
        <w:t>:</w:t>
      </w:r>
    </w:p>
    <w:p w14:paraId="53430844" w14:textId="77777777" w:rsidR="00DE7939" w:rsidRPr="007965D5" w:rsidRDefault="00DE7939" w:rsidP="00DE7939">
      <w:pPr>
        <w:pStyle w:val="Default"/>
        <w:spacing w:after="120"/>
        <w:ind w:left="2268" w:right="1134" w:hanging="1134"/>
        <w:jc w:val="both"/>
        <w:rPr>
          <w:bCs/>
          <w:color w:val="auto"/>
          <w:sz w:val="20"/>
          <w:szCs w:val="20"/>
          <w:lang w:val="en-GB"/>
        </w:rPr>
      </w:pPr>
      <w:r w:rsidRPr="007965D5">
        <w:rPr>
          <w:bCs/>
          <w:color w:val="auto"/>
          <w:sz w:val="20"/>
          <w:szCs w:val="20"/>
          <w:lang w:val="en-GB"/>
        </w:rPr>
        <w:t>“9.1.13.</w:t>
      </w:r>
      <w:r w:rsidRPr="007965D5">
        <w:rPr>
          <w:bCs/>
          <w:color w:val="auto"/>
          <w:sz w:val="20"/>
          <w:szCs w:val="20"/>
          <w:lang w:val="en-GB"/>
        </w:rPr>
        <w:tab/>
        <w:t>Failure signal produced according to paragraph 4.13.:</w:t>
      </w:r>
    </w:p>
    <w:p w14:paraId="4DA0FF34" w14:textId="77777777" w:rsidR="00DE7939" w:rsidRPr="007965D5" w:rsidRDefault="00DE7939" w:rsidP="00DE7939">
      <w:pPr>
        <w:pStyle w:val="Default"/>
        <w:spacing w:after="120"/>
        <w:ind w:left="2268" w:right="1134" w:hanging="1134"/>
        <w:jc w:val="both"/>
        <w:rPr>
          <w:bCs/>
          <w:color w:val="auto"/>
          <w:sz w:val="20"/>
          <w:szCs w:val="20"/>
          <w:lang w:val="pt-BR"/>
        </w:rPr>
      </w:pPr>
      <w:r w:rsidRPr="007965D5">
        <w:rPr>
          <w:bCs/>
          <w:color w:val="auto"/>
          <w:sz w:val="20"/>
          <w:szCs w:val="20"/>
          <w:lang w:val="en-GB"/>
        </w:rPr>
        <w:tab/>
      </w:r>
      <w:r w:rsidRPr="007965D5">
        <w:rPr>
          <w:bCs/>
          <w:color w:val="auto"/>
          <w:sz w:val="20"/>
          <w:szCs w:val="20"/>
          <w:lang w:val="pt-BR"/>
        </w:rPr>
        <w:t>No</w:t>
      </w:r>
      <w:r w:rsidRPr="007965D5">
        <w:rPr>
          <w:bCs/>
          <w:color w:val="auto"/>
          <w:sz w:val="20"/>
          <w:szCs w:val="20"/>
          <w:vertAlign w:val="superscript"/>
          <w:lang w:val="pt-BR"/>
        </w:rPr>
        <w:t>2</w:t>
      </w:r>
      <w:r w:rsidRPr="007965D5">
        <w:rPr>
          <w:bCs/>
          <w:color w:val="auto"/>
          <w:sz w:val="20"/>
          <w:szCs w:val="20"/>
          <w:lang w:val="pt-BR"/>
        </w:rPr>
        <w:tab/>
        <w:t xml:space="preserve">Yes: (a) / (b) / (c) / (d)/ (e) </w:t>
      </w:r>
      <w:r w:rsidRPr="007965D5">
        <w:rPr>
          <w:bCs/>
          <w:color w:val="auto"/>
          <w:sz w:val="20"/>
          <w:szCs w:val="20"/>
          <w:vertAlign w:val="superscript"/>
          <w:lang w:val="pt-BR"/>
        </w:rPr>
        <w:t>2</w:t>
      </w:r>
      <w:r w:rsidRPr="007965D5">
        <w:rPr>
          <w:bCs/>
          <w:color w:val="auto"/>
          <w:sz w:val="20"/>
          <w:szCs w:val="20"/>
          <w:lang w:val="pt-BR"/>
        </w:rPr>
        <w:t>”</w:t>
      </w:r>
    </w:p>
    <w:p w14:paraId="346B5A50" w14:textId="77777777" w:rsidR="00DE7939" w:rsidRPr="000552A2" w:rsidRDefault="00DE7939" w:rsidP="00DE7939">
      <w:pPr>
        <w:pStyle w:val="Default"/>
        <w:spacing w:after="120"/>
        <w:ind w:left="2268" w:right="1395" w:hanging="1134"/>
        <w:jc w:val="both"/>
        <w:rPr>
          <w:color w:val="auto"/>
          <w:sz w:val="20"/>
          <w:szCs w:val="20"/>
          <w:lang w:val="en-GB"/>
        </w:rPr>
      </w:pPr>
      <w:r w:rsidRPr="009D2193">
        <w:rPr>
          <w:i/>
          <w:iCs/>
          <w:color w:val="auto"/>
          <w:sz w:val="20"/>
          <w:szCs w:val="20"/>
          <w:lang w:val="en-GB"/>
        </w:rPr>
        <w:t>Insert a new item 9.2.14.,</w:t>
      </w:r>
      <w:r>
        <w:rPr>
          <w:color w:val="auto"/>
          <w:sz w:val="20"/>
          <w:szCs w:val="20"/>
          <w:lang w:val="en-GB"/>
        </w:rPr>
        <w:t xml:space="preserve"> to read</w:t>
      </w:r>
      <w:r w:rsidRPr="000552A2">
        <w:rPr>
          <w:color w:val="auto"/>
          <w:sz w:val="20"/>
          <w:szCs w:val="20"/>
          <w:lang w:val="en-GB"/>
        </w:rPr>
        <w:t>:</w:t>
      </w:r>
    </w:p>
    <w:p w14:paraId="15748289" w14:textId="77777777" w:rsidR="00DE7939" w:rsidRPr="007965D5" w:rsidRDefault="00DE7939" w:rsidP="00DE7939">
      <w:pPr>
        <w:pStyle w:val="Default"/>
        <w:spacing w:after="120"/>
        <w:ind w:left="2268" w:right="1395" w:hanging="1134"/>
        <w:jc w:val="both"/>
        <w:rPr>
          <w:bCs/>
          <w:color w:val="auto"/>
          <w:sz w:val="20"/>
          <w:szCs w:val="20"/>
          <w:lang w:val="en-GB"/>
        </w:rPr>
      </w:pPr>
      <w:r w:rsidRPr="007965D5">
        <w:rPr>
          <w:bCs/>
          <w:color w:val="auto"/>
          <w:sz w:val="20"/>
          <w:szCs w:val="20"/>
          <w:lang w:val="en-GB"/>
        </w:rPr>
        <w:lastRenderedPageBreak/>
        <w:t>“9.2.14.</w:t>
      </w:r>
      <w:r w:rsidRPr="007965D5">
        <w:rPr>
          <w:bCs/>
          <w:color w:val="auto"/>
          <w:sz w:val="20"/>
          <w:szCs w:val="20"/>
          <w:lang w:val="en-GB"/>
        </w:rPr>
        <w:tab/>
        <w:t>Failure signal produced according to paragraph 4.13.:</w:t>
      </w:r>
    </w:p>
    <w:p w14:paraId="31C08295" w14:textId="77777777" w:rsidR="00DE7939" w:rsidRPr="007965D5" w:rsidRDefault="00DE7939" w:rsidP="00DE7939">
      <w:pPr>
        <w:pStyle w:val="Default"/>
        <w:spacing w:after="120"/>
        <w:ind w:left="2268" w:right="1395" w:hanging="1134"/>
        <w:jc w:val="both"/>
        <w:rPr>
          <w:bCs/>
          <w:color w:val="auto"/>
          <w:sz w:val="20"/>
          <w:szCs w:val="20"/>
          <w:lang w:val="pt-BR"/>
        </w:rPr>
      </w:pPr>
      <w:r w:rsidRPr="007965D5">
        <w:rPr>
          <w:bCs/>
          <w:color w:val="auto"/>
          <w:sz w:val="20"/>
          <w:szCs w:val="20"/>
          <w:lang w:val="en-GB"/>
        </w:rPr>
        <w:tab/>
      </w:r>
      <w:r w:rsidRPr="007965D5">
        <w:rPr>
          <w:bCs/>
          <w:color w:val="auto"/>
          <w:sz w:val="20"/>
          <w:szCs w:val="20"/>
          <w:lang w:val="pt-BR"/>
        </w:rPr>
        <w:t>No</w:t>
      </w:r>
      <w:r w:rsidRPr="007965D5">
        <w:rPr>
          <w:bCs/>
          <w:color w:val="auto"/>
          <w:sz w:val="20"/>
          <w:szCs w:val="20"/>
          <w:vertAlign w:val="superscript"/>
          <w:lang w:val="pt-BR"/>
        </w:rPr>
        <w:t>2</w:t>
      </w:r>
      <w:r w:rsidRPr="007965D5">
        <w:rPr>
          <w:bCs/>
          <w:color w:val="auto"/>
          <w:sz w:val="20"/>
          <w:szCs w:val="20"/>
          <w:lang w:val="pt-BR"/>
        </w:rPr>
        <w:tab/>
        <w:t xml:space="preserve">Yes: (a) / (b) / (c) / (d)/ (e) </w:t>
      </w:r>
      <w:r w:rsidRPr="007965D5">
        <w:rPr>
          <w:bCs/>
          <w:color w:val="auto"/>
          <w:sz w:val="20"/>
          <w:szCs w:val="20"/>
          <w:vertAlign w:val="superscript"/>
          <w:lang w:val="pt-BR"/>
        </w:rPr>
        <w:t>2</w:t>
      </w:r>
      <w:r w:rsidRPr="007965D5">
        <w:rPr>
          <w:bCs/>
          <w:color w:val="auto"/>
          <w:sz w:val="20"/>
          <w:szCs w:val="20"/>
          <w:lang w:val="pt-BR"/>
        </w:rPr>
        <w:t>”</w:t>
      </w:r>
    </w:p>
    <w:p w14:paraId="742B7F04" w14:textId="06C3D701" w:rsidR="00C10D9A" w:rsidRDefault="00C10D9A" w:rsidP="00C10D9A">
      <w:pPr>
        <w:pStyle w:val="SingleTxtG"/>
      </w:pPr>
      <w:r>
        <w:rPr>
          <w:i/>
          <w:iCs/>
        </w:rPr>
        <w:t>Annex 8, paragraph. 3.7.1.2.1.</w:t>
      </w:r>
      <w:r>
        <w:t>, amend to read:</w:t>
      </w:r>
    </w:p>
    <w:p w14:paraId="43B4AA4C" w14:textId="77777777" w:rsidR="00C10D9A" w:rsidRDefault="00C10D9A" w:rsidP="00C10D9A">
      <w:pPr>
        <w:pStyle w:val="StyleSingleTxtGLeft2cmHanging206cm"/>
      </w:pPr>
      <w:r>
        <w:rPr>
          <w:lang w:val="en-US"/>
        </w:rPr>
        <w:t>“3.7.1.2.1.</w:t>
      </w:r>
      <w:r>
        <w:rPr>
          <w:lang w:val="en-US"/>
        </w:rPr>
        <w:tab/>
      </w:r>
      <w:r>
        <w:rPr>
          <w:lang w:val="en-US"/>
        </w:rPr>
        <w:tab/>
      </w:r>
      <w:r>
        <w:t xml:space="preserve">In case of classes A, B and D and AFS, after the test the results of photometric measurements carried out on the headlamp in accordance with this Regulation shall not exceed: </w:t>
      </w:r>
    </w:p>
    <w:p w14:paraId="04F60A8B" w14:textId="38EE28A2" w:rsidR="00C10D9A" w:rsidRDefault="00C10D9A" w:rsidP="00C10D9A">
      <w:pPr>
        <w:pStyle w:val="StyleSingleTxtGLeft2cmHanging206cm"/>
        <w:ind w:left="2835" w:hanging="567"/>
      </w:pPr>
      <w:r>
        <w:t xml:space="preserve">(a) </w:t>
      </w:r>
      <w:r>
        <w:tab/>
        <w:t xml:space="preserve">By more than 30 per cent the maximum values prescribed at point B50L and by more than 10 per cent below the minimum values prescribed at point 75R (in the case of headlamps intended for left-hand traffic, the points to be considered are B50R and 75L) </w:t>
      </w:r>
    </w:p>
    <w:p w14:paraId="6DFF1D4E" w14:textId="77777777" w:rsidR="00C10D9A" w:rsidRDefault="00C10D9A" w:rsidP="00C10D9A">
      <w:pPr>
        <w:pStyle w:val="StyleSingleTxtGLeft2cmHanging206cm"/>
        <w:ind w:firstLine="0"/>
      </w:pPr>
      <w:r>
        <w:t xml:space="preserve">or </w:t>
      </w:r>
    </w:p>
    <w:p w14:paraId="74C7F3CC" w14:textId="08336098" w:rsidR="00611FAF" w:rsidRDefault="00C10D9A" w:rsidP="00C10D9A">
      <w:pPr>
        <w:pStyle w:val="StyleSingleTxtGLeft2cmHanging206cm"/>
        <w:ind w:left="2835" w:hanging="567"/>
        <w:rPr>
          <w:lang w:val="en-US"/>
        </w:rPr>
      </w:pPr>
      <w:r>
        <w:t xml:space="preserve">(b) </w:t>
      </w:r>
      <w:r>
        <w:tab/>
        <w:t>By more than 10 per cent below the minimum values prescribed for HV in the case of a headlamp producing driving beam only</w:t>
      </w:r>
      <w:r>
        <w:rPr>
          <w:lang w:val="en-US"/>
        </w:rPr>
        <w:t>.”</w:t>
      </w:r>
    </w:p>
    <w:p w14:paraId="13AC5A5F" w14:textId="77777777" w:rsidR="002E60F3" w:rsidRPr="002E5B9A" w:rsidRDefault="002E60F3" w:rsidP="002E60F3">
      <w:pPr>
        <w:pStyle w:val="Default"/>
        <w:spacing w:after="120"/>
        <w:ind w:left="2268" w:right="1395" w:hanging="1134"/>
        <w:jc w:val="both"/>
        <w:rPr>
          <w:color w:val="auto"/>
          <w:sz w:val="20"/>
          <w:szCs w:val="20"/>
          <w:lang w:val="en-GB"/>
        </w:rPr>
      </w:pPr>
      <w:r w:rsidRPr="002E5B9A">
        <w:rPr>
          <w:i/>
          <w:iCs/>
          <w:color w:val="auto"/>
          <w:sz w:val="20"/>
          <w:szCs w:val="20"/>
          <w:lang w:val="en-GB"/>
        </w:rPr>
        <w:t>Annex 9, item 1.2.</w:t>
      </w:r>
      <w:r w:rsidRPr="00E82D44">
        <w:rPr>
          <w:color w:val="auto"/>
          <w:sz w:val="20"/>
          <w:szCs w:val="20"/>
          <w:lang w:val="en-GB"/>
        </w:rPr>
        <w:t>,</w:t>
      </w:r>
      <w:r w:rsidRPr="002E5B9A">
        <w:rPr>
          <w:color w:val="auto"/>
          <w:sz w:val="20"/>
          <w:szCs w:val="20"/>
          <w:lang w:val="en-GB"/>
        </w:rPr>
        <w:t xml:space="preserve"> </w:t>
      </w:r>
      <w:r w:rsidRPr="002E5B9A">
        <w:rPr>
          <w:sz w:val="20"/>
          <w:szCs w:val="20"/>
        </w:rPr>
        <w:t>amend to read:</w:t>
      </w:r>
    </w:p>
    <w:p w14:paraId="285FE32A" w14:textId="3B9E8042" w:rsidR="00573479" w:rsidRPr="002E60F3" w:rsidRDefault="002E60F3" w:rsidP="007965D5">
      <w:pPr>
        <w:pStyle w:val="2para2ndlevel"/>
        <w:rPr>
          <w:u w:val="single"/>
        </w:rPr>
      </w:pPr>
      <w:r>
        <w:t>“</w:t>
      </w:r>
      <w:r w:rsidRPr="00C5483D">
        <w:t>1.2.</w:t>
      </w:r>
      <w:r w:rsidRPr="00C5483D">
        <w:tab/>
        <w:t>LED module(s) shall be so designed as to be and to remain in good working order when in normal use. They shall moreover exhibit no fault in design or manufacture</w:t>
      </w:r>
      <w:r w:rsidRPr="006F3520">
        <w:t>.</w:t>
      </w:r>
      <w:r>
        <w:t>”</w:t>
      </w:r>
    </w:p>
    <w:p w14:paraId="34D98FD2" w14:textId="64FA637F"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A2E1" w14:textId="77777777" w:rsidR="00FF6288" w:rsidRDefault="00FF6288"/>
  </w:endnote>
  <w:endnote w:type="continuationSeparator" w:id="0">
    <w:p w14:paraId="119ABC4C" w14:textId="77777777" w:rsidR="00FF6288" w:rsidRDefault="00FF6288"/>
  </w:endnote>
  <w:endnote w:type="continuationNotice" w:id="1">
    <w:p w14:paraId="5D21AB05" w14:textId="77777777" w:rsidR="00FF6288" w:rsidRDefault="00FF6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GSGothicM">
    <w:altName w:val="HGSｺﾞｼｯｸM"/>
    <w:charset w:val="80"/>
    <w:family w:val="modern"/>
    <w:pitch w:val="variable"/>
    <w:sig w:usb0="00000000"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933" w14:textId="614A143B" w:rsidR="0035223F" w:rsidRDefault="00067DE1" w:rsidP="00067DE1">
    <w:pPr>
      <w:pStyle w:val="Footer"/>
      <w:rPr>
        <w:sz w:val="20"/>
      </w:rPr>
    </w:pPr>
    <w:r w:rsidRPr="00067DE1">
      <w:rPr>
        <w:noProof/>
        <w:sz w:val="20"/>
        <w:lang w:val="en-US"/>
      </w:rPr>
      <w:drawing>
        <wp:anchor distT="0" distB="0" distL="114300" distR="114300" simplePos="0" relativeHeight="251659264" behindDoc="0" locked="1" layoutInCell="1" allowOverlap="1" wp14:anchorId="71F70501" wp14:editId="2C87F4F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F361" w14:textId="77777777" w:rsidR="00FF6288" w:rsidRPr="000B175B" w:rsidRDefault="00FF6288" w:rsidP="000B175B">
      <w:pPr>
        <w:tabs>
          <w:tab w:val="right" w:pos="2155"/>
        </w:tabs>
        <w:spacing w:after="80"/>
        <w:ind w:left="680"/>
        <w:rPr>
          <w:u w:val="single"/>
        </w:rPr>
      </w:pPr>
      <w:r>
        <w:rPr>
          <w:u w:val="single"/>
        </w:rPr>
        <w:tab/>
      </w:r>
    </w:p>
  </w:footnote>
  <w:footnote w:type="continuationSeparator" w:id="0">
    <w:p w14:paraId="689A91D8" w14:textId="77777777" w:rsidR="00FF6288" w:rsidRPr="00FC68B7" w:rsidRDefault="00FF6288" w:rsidP="00FC68B7">
      <w:pPr>
        <w:tabs>
          <w:tab w:val="left" w:pos="2155"/>
        </w:tabs>
        <w:spacing w:after="80"/>
        <w:ind w:left="680"/>
        <w:rPr>
          <w:u w:val="single"/>
        </w:rPr>
      </w:pPr>
      <w:r>
        <w:rPr>
          <w:u w:val="single"/>
        </w:rPr>
        <w:tab/>
      </w:r>
    </w:p>
  </w:footnote>
  <w:footnote w:type="continuationNotice" w:id="1">
    <w:p w14:paraId="220D4D88" w14:textId="77777777" w:rsidR="00FF6288" w:rsidRDefault="00FF6288"/>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202</w:t>
      </w:r>
      <w:r w:rsidR="00190062">
        <w:rPr>
          <w:lang w:val="en-US"/>
        </w:rPr>
        <w:t>5</w:t>
      </w:r>
      <w:r>
        <w:rPr>
          <w:lang w:val="en-US"/>
        </w:rPr>
        <w:t xml:space="preserve"> as outlined in proposed </w:t>
      </w:r>
      <w:proofErr w:type="spellStart"/>
      <w:r>
        <w:rPr>
          <w:lang w:val="en-US"/>
        </w:rPr>
        <w:t>programme</w:t>
      </w:r>
      <w:proofErr w:type="spellEnd"/>
      <w:r>
        <w:rPr>
          <w:lang w:val="en-US"/>
        </w:rPr>
        <w:t xml:space="preserv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06C62458" w:rsidR="00DA4201" w:rsidRPr="00DA4201" w:rsidRDefault="00000000">
    <w:pPr>
      <w:pStyle w:val="Header"/>
    </w:pPr>
    <w:fldSimple w:instr=" TITLE  \* MERGEFORMAT ">
      <w:r w:rsidR="00635110">
        <w:t>ECE/TRANS/WP.29/2024/91</w:t>
      </w:r>
    </w:fldSimple>
    <w:r w:rsidR="00573479">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40D6882A" w:rsidR="00DA4201" w:rsidRPr="00DA4201" w:rsidRDefault="00000000" w:rsidP="00DA4201">
    <w:pPr>
      <w:pStyle w:val="Header"/>
      <w:jc w:val="right"/>
    </w:pPr>
    <w:fldSimple w:instr=" TITLE  \* MERGEFORMAT ">
      <w:r w:rsidR="00635110">
        <w:t>ECE/TRANS/WP.29/2024/91</w:t>
      </w:r>
    </w:fldSimple>
    <w:r w:rsidR="00334647">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9213DC8"/>
    <w:multiLevelType w:val="hybridMultilevel"/>
    <w:tmpl w:val="3B580D62"/>
    <w:lvl w:ilvl="0" w:tplc="D1E244DC">
      <w:start w:val="1"/>
      <w:numFmt w:val="lowerLetter"/>
      <w:lvlText w:val="(%1)"/>
      <w:lvlJc w:val="left"/>
      <w:pPr>
        <w:ind w:left="2839" w:hanging="570"/>
      </w:pPr>
      <w:rPr>
        <w:rFonts w:hint="default"/>
      </w:rPr>
    </w:lvl>
    <w:lvl w:ilvl="1" w:tplc="04070019">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8"/>
  </w:num>
  <w:num w:numId="12" w16cid:durableId="616915869">
    <w:abstractNumId w:val="17"/>
  </w:num>
  <w:num w:numId="13" w16cid:durableId="1155418512">
    <w:abstractNumId w:val="10"/>
  </w:num>
  <w:num w:numId="14" w16cid:durableId="1991515697">
    <w:abstractNumId w:val="15"/>
  </w:num>
  <w:num w:numId="15" w16cid:durableId="684475659">
    <w:abstractNumId w:val="19"/>
  </w:num>
  <w:num w:numId="16" w16cid:durableId="1063142324">
    <w:abstractNumId w:val="16"/>
  </w:num>
  <w:num w:numId="17" w16cid:durableId="531768949">
    <w:abstractNumId w:val="20"/>
  </w:num>
  <w:num w:numId="18" w16cid:durableId="917792690">
    <w:abstractNumId w:val="22"/>
  </w:num>
  <w:num w:numId="19" w16cid:durableId="1144010885">
    <w:abstractNumId w:val="13"/>
  </w:num>
  <w:num w:numId="20" w16cid:durableId="876237355">
    <w:abstractNumId w:val="12"/>
  </w:num>
  <w:num w:numId="21" w16cid:durableId="628635465">
    <w:abstractNumId w:val="11"/>
  </w:num>
  <w:num w:numId="22" w16cid:durableId="1978214962">
    <w:abstractNumId w:val="21"/>
  </w:num>
  <w:num w:numId="23" w16cid:durableId="1619413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027C"/>
    <w:rsid w:val="00027624"/>
    <w:rsid w:val="00050F6B"/>
    <w:rsid w:val="000678CD"/>
    <w:rsid w:val="00067DE1"/>
    <w:rsid w:val="00072C8C"/>
    <w:rsid w:val="00081CE0"/>
    <w:rsid w:val="00084D30"/>
    <w:rsid w:val="00090320"/>
    <w:rsid w:val="000931C0"/>
    <w:rsid w:val="00097003"/>
    <w:rsid w:val="000A2E09"/>
    <w:rsid w:val="000B175B"/>
    <w:rsid w:val="000B3A0F"/>
    <w:rsid w:val="000C1A16"/>
    <w:rsid w:val="000E0415"/>
    <w:rsid w:val="000F6D5B"/>
    <w:rsid w:val="000F7715"/>
    <w:rsid w:val="00141F42"/>
    <w:rsid w:val="00147050"/>
    <w:rsid w:val="00156B99"/>
    <w:rsid w:val="00163E86"/>
    <w:rsid w:val="00166124"/>
    <w:rsid w:val="00184DDA"/>
    <w:rsid w:val="00190062"/>
    <w:rsid w:val="001900CD"/>
    <w:rsid w:val="001A0452"/>
    <w:rsid w:val="001A6B67"/>
    <w:rsid w:val="001B4B04"/>
    <w:rsid w:val="001B5875"/>
    <w:rsid w:val="001C4B9C"/>
    <w:rsid w:val="001C6663"/>
    <w:rsid w:val="001C7895"/>
    <w:rsid w:val="001D26DF"/>
    <w:rsid w:val="001E431B"/>
    <w:rsid w:val="001F1599"/>
    <w:rsid w:val="001F19C4"/>
    <w:rsid w:val="001F45B7"/>
    <w:rsid w:val="002043F0"/>
    <w:rsid w:val="0020574F"/>
    <w:rsid w:val="00211E0B"/>
    <w:rsid w:val="00220457"/>
    <w:rsid w:val="00230134"/>
    <w:rsid w:val="00232575"/>
    <w:rsid w:val="00247258"/>
    <w:rsid w:val="00257CAC"/>
    <w:rsid w:val="00265E6C"/>
    <w:rsid w:val="0027237A"/>
    <w:rsid w:val="00276994"/>
    <w:rsid w:val="00284FC4"/>
    <w:rsid w:val="002974E9"/>
    <w:rsid w:val="00297D15"/>
    <w:rsid w:val="002A306B"/>
    <w:rsid w:val="002A4BA6"/>
    <w:rsid w:val="002A7F94"/>
    <w:rsid w:val="002B009A"/>
    <w:rsid w:val="002B109A"/>
    <w:rsid w:val="002C6D45"/>
    <w:rsid w:val="002D218E"/>
    <w:rsid w:val="002D6E53"/>
    <w:rsid w:val="002E1733"/>
    <w:rsid w:val="002E60F3"/>
    <w:rsid w:val="002F046D"/>
    <w:rsid w:val="002F3023"/>
    <w:rsid w:val="00301764"/>
    <w:rsid w:val="00307AA1"/>
    <w:rsid w:val="00314C52"/>
    <w:rsid w:val="00316EB3"/>
    <w:rsid w:val="003229D8"/>
    <w:rsid w:val="00334647"/>
    <w:rsid w:val="00336C97"/>
    <w:rsid w:val="00337F88"/>
    <w:rsid w:val="0034035F"/>
    <w:rsid w:val="00342432"/>
    <w:rsid w:val="0035223F"/>
    <w:rsid w:val="00352D4B"/>
    <w:rsid w:val="0035638C"/>
    <w:rsid w:val="00362BC7"/>
    <w:rsid w:val="00383065"/>
    <w:rsid w:val="0038331D"/>
    <w:rsid w:val="003A011D"/>
    <w:rsid w:val="003A21E2"/>
    <w:rsid w:val="003A46BB"/>
    <w:rsid w:val="003A4EC7"/>
    <w:rsid w:val="003A7295"/>
    <w:rsid w:val="003A7B10"/>
    <w:rsid w:val="003B1F60"/>
    <w:rsid w:val="003C2CC4"/>
    <w:rsid w:val="003D4B23"/>
    <w:rsid w:val="003D7076"/>
    <w:rsid w:val="003E1E15"/>
    <w:rsid w:val="003E278A"/>
    <w:rsid w:val="003E4AC9"/>
    <w:rsid w:val="003F4C24"/>
    <w:rsid w:val="00412A88"/>
    <w:rsid w:val="00413520"/>
    <w:rsid w:val="004169DB"/>
    <w:rsid w:val="004325CB"/>
    <w:rsid w:val="00440A07"/>
    <w:rsid w:val="00445CC9"/>
    <w:rsid w:val="004466CB"/>
    <w:rsid w:val="00462880"/>
    <w:rsid w:val="00466027"/>
    <w:rsid w:val="00474D2F"/>
    <w:rsid w:val="00476F24"/>
    <w:rsid w:val="00494D20"/>
    <w:rsid w:val="004A5D33"/>
    <w:rsid w:val="004C07D8"/>
    <w:rsid w:val="004C2CC3"/>
    <w:rsid w:val="004C55B0"/>
    <w:rsid w:val="004C634F"/>
    <w:rsid w:val="004D1F38"/>
    <w:rsid w:val="004F2A0B"/>
    <w:rsid w:val="004F6BA0"/>
    <w:rsid w:val="00503BEA"/>
    <w:rsid w:val="005159CC"/>
    <w:rsid w:val="00525473"/>
    <w:rsid w:val="00533616"/>
    <w:rsid w:val="00535ABA"/>
    <w:rsid w:val="0053768B"/>
    <w:rsid w:val="005420F2"/>
    <w:rsid w:val="0054285C"/>
    <w:rsid w:val="00560EA8"/>
    <w:rsid w:val="0056327D"/>
    <w:rsid w:val="005674A6"/>
    <w:rsid w:val="00570C4A"/>
    <w:rsid w:val="00573479"/>
    <w:rsid w:val="00584173"/>
    <w:rsid w:val="00595520"/>
    <w:rsid w:val="005A44B9"/>
    <w:rsid w:val="005B1BA0"/>
    <w:rsid w:val="005B3DB3"/>
    <w:rsid w:val="005B5427"/>
    <w:rsid w:val="005C0268"/>
    <w:rsid w:val="005C768B"/>
    <w:rsid w:val="005D15CA"/>
    <w:rsid w:val="005D4C11"/>
    <w:rsid w:val="005E0E41"/>
    <w:rsid w:val="005E53E7"/>
    <w:rsid w:val="005E6A50"/>
    <w:rsid w:val="005E6F4B"/>
    <w:rsid w:val="005F08DF"/>
    <w:rsid w:val="005F3066"/>
    <w:rsid w:val="005F377E"/>
    <w:rsid w:val="005F3E61"/>
    <w:rsid w:val="00604DDD"/>
    <w:rsid w:val="006107D6"/>
    <w:rsid w:val="006115CC"/>
    <w:rsid w:val="00611FAF"/>
    <w:rsid w:val="00611FC4"/>
    <w:rsid w:val="006176FB"/>
    <w:rsid w:val="00630FCB"/>
    <w:rsid w:val="0063224C"/>
    <w:rsid w:val="00635110"/>
    <w:rsid w:val="00640B26"/>
    <w:rsid w:val="00642DD9"/>
    <w:rsid w:val="00650445"/>
    <w:rsid w:val="0065766B"/>
    <w:rsid w:val="006770B2"/>
    <w:rsid w:val="00683913"/>
    <w:rsid w:val="00686A48"/>
    <w:rsid w:val="0068763C"/>
    <w:rsid w:val="006940E1"/>
    <w:rsid w:val="00695F33"/>
    <w:rsid w:val="006A3C72"/>
    <w:rsid w:val="006A4F48"/>
    <w:rsid w:val="006A7392"/>
    <w:rsid w:val="006B03A1"/>
    <w:rsid w:val="006B0D0D"/>
    <w:rsid w:val="006B5530"/>
    <w:rsid w:val="006B67D9"/>
    <w:rsid w:val="006C5535"/>
    <w:rsid w:val="006D0589"/>
    <w:rsid w:val="006E431D"/>
    <w:rsid w:val="006E564B"/>
    <w:rsid w:val="006E7154"/>
    <w:rsid w:val="006F4819"/>
    <w:rsid w:val="007003CD"/>
    <w:rsid w:val="0070621E"/>
    <w:rsid w:val="00706C00"/>
    <w:rsid w:val="0070701E"/>
    <w:rsid w:val="007073EE"/>
    <w:rsid w:val="007164FE"/>
    <w:rsid w:val="0072632A"/>
    <w:rsid w:val="0072642E"/>
    <w:rsid w:val="00726C5C"/>
    <w:rsid w:val="007334DA"/>
    <w:rsid w:val="007358E8"/>
    <w:rsid w:val="00735AB1"/>
    <w:rsid w:val="00736ECE"/>
    <w:rsid w:val="007377F6"/>
    <w:rsid w:val="0074533B"/>
    <w:rsid w:val="007474E1"/>
    <w:rsid w:val="007643BC"/>
    <w:rsid w:val="00774A8A"/>
    <w:rsid w:val="00780C68"/>
    <w:rsid w:val="00781FEA"/>
    <w:rsid w:val="007959FE"/>
    <w:rsid w:val="007965D5"/>
    <w:rsid w:val="007A0CF1"/>
    <w:rsid w:val="007B605E"/>
    <w:rsid w:val="007B6BA5"/>
    <w:rsid w:val="007C3390"/>
    <w:rsid w:val="007C42D8"/>
    <w:rsid w:val="007C4F4B"/>
    <w:rsid w:val="007D6F65"/>
    <w:rsid w:val="007D7362"/>
    <w:rsid w:val="007E5050"/>
    <w:rsid w:val="007E6D2A"/>
    <w:rsid w:val="007F3D0E"/>
    <w:rsid w:val="007F5CE2"/>
    <w:rsid w:val="007F6611"/>
    <w:rsid w:val="00810BAC"/>
    <w:rsid w:val="00814C29"/>
    <w:rsid w:val="008175E9"/>
    <w:rsid w:val="008242D7"/>
    <w:rsid w:val="0082577B"/>
    <w:rsid w:val="00825CB5"/>
    <w:rsid w:val="00827502"/>
    <w:rsid w:val="008277D4"/>
    <w:rsid w:val="008438D0"/>
    <w:rsid w:val="00860866"/>
    <w:rsid w:val="00863EC5"/>
    <w:rsid w:val="00866893"/>
    <w:rsid w:val="00866F02"/>
    <w:rsid w:val="00867D18"/>
    <w:rsid w:val="00871F9A"/>
    <w:rsid w:val="00871FD5"/>
    <w:rsid w:val="0088172E"/>
    <w:rsid w:val="00881EFA"/>
    <w:rsid w:val="00886B1A"/>
    <w:rsid w:val="008879CB"/>
    <w:rsid w:val="008979B1"/>
    <w:rsid w:val="008A02CB"/>
    <w:rsid w:val="008A6B25"/>
    <w:rsid w:val="008A6C4F"/>
    <w:rsid w:val="008A72A3"/>
    <w:rsid w:val="008B389E"/>
    <w:rsid w:val="008C2D83"/>
    <w:rsid w:val="008D045E"/>
    <w:rsid w:val="008D3F25"/>
    <w:rsid w:val="008D4D82"/>
    <w:rsid w:val="008E0E46"/>
    <w:rsid w:val="008E6CDE"/>
    <w:rsid w:val="008E7116"/>
    <w:rsid w:val="008F143B"/>
    <w:rsid w:val="008F3882"/>
    <w:rsid w:val="008F4B7C"/>
    <w:rsid w:val="00913520"/>
    <w:rsid w:val="0092556A"/>
    <w:rsid w:val="00926E47"/>
    <w:rsid w:val="009306EA"/>
    <w:rsid w:val="00947162"/>
    <w:rsid w:val="009610D0"/>
    <w:rsid w:val="0096375C"/>
    <w:rsid w:val="009662E6"/>
    <w:rsid w:val="0097095E"/>
    <w:rsid w:val="00971BF2"/>
    <w:rsid w:val="0098592B"/>
    <w:rsid w:val="00985FC4"/>
    <w:rsid w:val="0099072A"/>
    <w:rsid w:val="00990766"/>
    <w:rsid w:val="00991261"/>
    <w:rsid w:val="009964C4"/>
    <w:rsid w:val="009A7B81"/>
    <w:rsid w:val="009B011B"/>
    <w:rsid w:val="009B214E"/>
    <w:rsid w:val="009B354A"/>
    <w:rsid w:val="009B7EB7"/>
    <w:rsid w:val="009C5647"/>
    <w:rsid w:val="009D01C0"/>
    <w:rsid w:val="009D27A0"/>
    <w:rsid w:val="009D34B2"/>
    <w:rsid w:val="009D6A08"/>
    <w:rsid w:val="009E0A16"/>
    <w:rsid w:val="009E6CB7"/>
    <w:rsid w:val="009E7970"/>
    <w:rsid w:val="009F2A0D"/>
    <w:rsid w:val="009F2EAC"/>
    <w:rsid w:val="009F57E3"/>
    <w:rsid w:val="00A020FE"/>
    <w:rsid w:val="00A069BE"/>
    <w:rsid w:val="00A077A2"/>
    <w:rsid w:val="00A10F4F"/>
    <w:rsid w:val="00A11067"/>
    <w:rsid w:val="00A13D4C"/>
    <w:rsid w:val="00A13FAD"/>
    <w:rsid w:val="00A1704A"/>
    <w:rsid w:val="00A17DE6"/>
    <w:rsid w:val="00A25897"/>
    <w:rsid w:val="00A3126E"/>
    <w:rsid w:val="00A34879"/>
    <w:rsid w:val="00A36AC2"/>
    <w:rsid w:val="00A425EB"/>
    <w:rsid w:val="00A53D88"/>
    <w:rsid w:val="00A55EC9"/>
    <w:rsid w:val="00A72F22"/>
    <w:rsid w:val="00A733BC"/>
    <w:rsid w:val="00A735EE"/>
    <w:rsid w:val="00A748A6"/>
    <w:rsid w:val="00A76A69"/>
    <w:rsid w:val="00A83E10"/>
    <w:rsid w:val="00A879A4"/>
    <w:rsid w:val="00AA0FF8"/>
    <w:rsid w:val="00AB65D0"/>
    <w:rsid w:val="00AB7431"/>
    <w:rsid w:val="00AC0F2C"/>
    <w:rsid w:val="00AC502A"/>
    <w:rsid w:val="00AD3082"/>
    <w:rsid w:val="00AD7E1D"/>
    <w:rsid w:val="00AE1E26"/>
    <w:rsid w:val="00AF58C1"/>
    <w:rsid w:val="00B0307C"/>
    <w:rsid w:val="00B04A3F"/>
    <w:rsid w:val="00B06643"/>
    <w:rsid w:val="00B1428A"/>
    <w:rsid w:val="00B14C6C"/>
    <w:rsid w:val="00B15055"/>
    <w:rsid w:val="00B20551"/>
    <w:rsid w:val="00B22744"/>
    <w:rsid w:val="00B30179"/>
    <w:rsid w:val="00B31E0B"/>
    <w:rsid w:val="00B33FC7"/>
    <w:rsid w:val="00B35A75"/>
    <w:rsid w:val="00B373E6"/>
    <w:rsid w:val="00B37B15"/>
    <w:rsid w:val="00B4162A"/>
    <w:rsid w:val="00B451AB"/>
    <w:rsid w:val="00B45C02"/>
    <w:rsid w:val="00B70B63"/>
    <w:rsid w:val="00B72A1E"/>
    <w:rsid w:val="00B77C0C"/>
    <w:rsid w:val="00B81E12"/>
    <w:rsid w:val="00B83678"/>
    <w:rsid w:val="00B96983"/>
    <w:rsid w:val="00BA339B"/>
    <w:rsid w:val="00BB23CC"/>
    <w:rsid w:val="00BC1E7E"/>
    <w:rsid w:val="00BC74E9"/>
    <w:rsid w:val="00BE0D63"/>
    <w:rsid w:val="00BE36A9"/>
    <w:rsid w:val="00BE5B62"/>
    <w:rsid w:val="00BE618E"/>
    <w:rsid w:val="00BE7BEC"/>
    <w:rsid w:val="00BF0A5A"/>
    <w:rsid w:val="00BF0E63"/>
    <w:rsid w:val="00BF12A3"/>
    <w:rsid w:val="00BF16D7"/>
    <w:rsid w:val="00BF1F86"/>
    <w:rsid w:val="00BF2373"/>
    <w:rsid w:val="00BF279B"/>
    <w:rsid w:val="00C022DE"/>
    <w:rsid w:val="00C044E2"/>
    <w:rsid w:val="00C048CB"/>
    <w:rsid w:val="00C066F3"/>
    <w:rsid w:val="00C10D9A"/>
    <w:rsid w:val="00C17AF1"/>
    <w:rsid w:val="00C43D3E"/>
    <w:rsid w:val="00C463DD"/>
    <w:rsid w:val="00C6171D"/>
    <w:rsid w:val="00C7033A"/>
    <w:rsid w:val="00C73994"/>
    <w:rsid w:val="00C745C3"/>
    <w:rsid w:val="00C76116"/>
    <w:rsid w:val="00C978F5"/>
    <w:rsid w:val="00CA0B2A"/>
    <w:rsid w:val="00CA1BD0"/>
    <w:rsid w:val="00CA24A4"/>
    <w:rsid w:val="00CA3FBA"/>
    <w:rsid w:val="00CB348D"/>
    <w:rsid w:val="00CC161B"/>
    <w:rsid w:val="00CD46F5"/>
    <w:rsid w:val="00CE4A8F"/>
    <w:rsid w:val="00CE647E"/>
    <w:rsid w:val="00CF071D"/>
    <w:rsid w:val="00CF1997"/>
    <w:rsid w:val="00D0123D"/>
    <w:rsid w:val="00D15B04"/>
    <w:rsid w:val="00D17616"/>
    <w:rsid w:val="00D2031B"/>
    <w:rsid w:val="00D25FE2"/>
    <w:rsid w:val="00D35180"/>
    <w:rsid w:val="00D37DA9"/>
    <w:rsid w:val="00D37E02"/>
    <w:rsid w:val="00D406A7"/>
    <w:rsid w:val="00D41AE9"/>
    <w:rsid w:val="00D425DF"/>
    <w:rsid w:val="00D43252"/>
    <w:rsid w:val="00D44D86"/>
    <w:rsid w:val="00D47907"/>
    <w:rsid w:val="00D50B7D"/>
    <w:rsid w:val="00D52012"/>
    <w:rsid w:val="00D5202F"/>
    <w:rsid w:val="00D617BF"/>
    <w:rsid w:val="00D704E5"/>
    <w:rsid w:val="00D72727"/>
    <w:rsid w:val="00D76FCD"/>
    <w:rsid w:val="00D85DD3"/>
    <w:rsid w:val="00D978C6"/>
    <w:rsid w:val="00DA0956"/>
    <w:rsid w:val="00DA357F"/>
    <w:rsid w:val="00DA3E12"/>
    <w:rsid w:val="00DA4201"/>
    <w:rsid w:val="00DC18AD"/>
    <w:rsid w:val="00DC3E15"/>
    <w:rsid w:val="00DD6DEB"/>
    <w:rsid w:val="00DE00C6"/>
    <w:rsid w:val="00DE7939"/>
    <w:rsid w:val="00DF156B"/>
    <w:rsid w:val="00DF7CAE"/>
    <w:rsid w:val="00E2224E"/>
    <w:rsid w:val="00E41B8B"/>
    <w:rsid w:val="00E423C0"/>
    <w:rsid w:val="00E4305A"/>
    <w:rsid w:val="00E44BCE"/>
    <w:rsid w:val="00E5517F"/>
    <w:rsid w:val="00E6414C"/>
    <w:rsid w:val="00E7260F"/>
    <w:rsid w:val="00E82F3E"/>
    <w:rsid w:val="00E8702D"/>
    <w:rsid w:val="00E905F4"/>
    <w:rsid w:val="00E916A9"/>
    <w:rsid w:val="00E916DE"/>
    <w:rsid w:val="00E925AD"/>
    <w:rsid w:val="00E94A89"/>
    <w:rsid w:val="00E96630"/>
    <w:rsid w:val="00EA3487"/>
    <w:rsid w:val="00EA3A44"/>
    <w:rsid w:val="00ED18DC"/>
    <w:rsid w:val="00ED6201"/>
    <w:rsid w:val="00ED7A2A"/>
    <w:rsid w:val="00EE08F1"/>
    <w:rsid w:val="00EE23EC"/>
    <w:rsid w:val="00EF0E5F"/>
    <w:rsid w:val="00EF106A"/>
    <w:rsid w:val="00EF1D7F"/>
    <w:rsid w:val="00EF756A"/>
    <w:rsid w:val="00F0137E"/>
    <w:rsid w:val="00F04E44"/>
    <w:rsid w:val="00F1177D"/>
    <w:rsid w:val="00F21786"/>
    <w:rsid w:val="00F22252"/>
    <w:rsid w:val="00F23425"/>
    <w:rsid w:val="00F25D06"/>
    <w:rsid w:val="00F26802"/>
    <w:rsid w:val="00F2753E"/>
    <w:rsid w:val="00F31CD7"/>
    <w:rsid w:val="00F31CFF"/>
    <w:rsid w:val="00F3742B"/>
    <w:rsid w:val="00F37528"/>
    <w:rsid w:val="00F41FDB"/>
    <w:rsid w:val="00F50597"/>
    <w:rsid w:val="00F51C39"/>
    <w:rsid w:val="00F56D63"/>
    <w:rsid w:val="00F609A9"/>
    <w:rsid w:val="00F6206D"/>
    <w:rsid w:val="00F736CE"/>
    <w:rsid w:val="00F80C99"/>
    <w:rsid w:val="00F867EC"/>
    <w:rsid w:val="00F86A99"/>
    <w:rsid w:val="00F91B2B"/>
    <w:rsid w:val="00FA6131"/>
    <w:rsid w:val="00FB0B5E"/>
    <w:rsid w:val="00FC03CD"/>
    <w:rsid w:val="00FC0646"/>
    <w:rsid w:val="00FC2B46"/>
    <w:rsid w:val="00FC51FE"/>
    <w:rsid w:val="00FC68B7"/>
    <w:rsid w:val="00FE44BF"/>
    <w:rsid w:val="00FE6985"/>
    <w:rsid w:val="00FF628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character" w:customStyle="1" w:styleId="StyleSingleTxtGLeft2cmHanging206cmChar">
    <w:name w:val="Style _ Single Txt_G + Left:  2 cm Hanging:  2.06 cm Char"/>
    <w:link w:val="StyleSingleTxtGLeft2cmHanging206cm"/>
    <w:locked/>
    <w:rsid w:val="00C10D9A"/>
    <w:rPr>
      <w:lang w:val="en-GB" w:eastAsia="en-US"/>
    </w:rPr>
  </w:style>
  <w:style w:type="paragraph" w:customStyle="1" w:styleId="StyleSingleTxtGLeft2cmHanging206cm">
    <w:name w:val="Style _ Single Txt_G + Left:  2 cm Hanging:  2.06 cm"/>
    <w:basedOn w:val="SingleTxtG"/>
    <w:link w:val="StyleSingleTxtGLeft2cmHanging206cmChar"/>
    <w:rsid w:val="00C10D9A"/>
    <w:pPr>
      <w:tabs>
        <w:tab w:val="clear" w:pos="1701"/>
        <w:tab w:val="clear" w:pos="2268"/>
        <w:tab w:val="clear" w:pos="2835"/>
      </w:tabs>
      <w:suppressAutoHyphens/>
      <w:ind w:left="2268" w:hanging="1134"/>
    </w:pPr>
    <w:rPr>
      <w:lang w:eastAsia="en-US"/>
    </w:rPr>
  </w:style>
  <w:style w:type="paragraph" w:customStyle="1" w:styleId="Default">
    <w:name w:val="Default"/>
    <w:rsid w:val="008277D4"/>
    <w:pPr>
      <w:widowControl w:val="0"/>
      <w:autoSpaceDE w:val="0"/>
      <w:autoSpaceDN w:val="0"/>
      <w:adjustRightInd w:val="0"/>
      <w:spacing w:line="240" w:lineRule="auto"/>
    </w:pPr>
    <w:rPr>
      <w:color w:val="000000"/>
      <w:sz w:val="24"/>
      <w:szCs w:val="24"/>
      <w:lang w:val="en-US" w:eastAsia="en-US"/>
    </w:rPr>
  </w:style>
  <w:style w:type="paragraph" w:customStyle="1" w:styleId="2para2ndlevel">
    <w:name w:val="2.para 2nd level"/>
    <w:basedOn w:val="Normal"/>
    <w:link w:val="2para2ndlevelCar"/>
    <w:qFormat/>
    <w:rsid w:val="00F51C39"/>
    <w:pPr>
      <w:suppressAutoHyphens/>
      <w:spacing w:after="120"/>
      <w:ind w:left="2268" w:right="1134" w:hanging="1134"/>
      <w:jc w:val="both"/>
      <w:outlineLvl w:val="1"/>
    </w:pPr>
    <w:rPr>
      <w:rFonts w:eastAsiaTheme="minorEastAsia"/>
      <w:lang w:eastAsia="en-US"/>
    </w:rPr>
  </w:style>
  <w:style w:type="character" w:customStyle="1" w:styleId="2para2ndlevelCar">
    <w:name w:val="2.para 2nd level Car"/>
    <w:basedOn w:val="DefaultParagraphFont"/>
    <w:link w:val="2para2ndlevel"/>
    <w:rsid w:val="00F51C39"/>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7396">
      <w:bodyDiv w:val="1"/>
      <w:marLeft w:val="0"/>
      <w:marRight w:val="0"/>
      <w:marTop w:val="0"/>
      <w:marBottom w:val="0"/>
      <w:divBdr>
        <w:top w:val="none" w:sz="0" w:space="0" w:color="auto"/>
        <w:left w:val="none" w:sz="0" w:space="0" w:color="auto"/>
        <w:bottom w:val="none" w:sz="0" w:space="0" w:color="auto"/>
        <w:right w:val="none" w:sz="0" w:space="0" w:color="auto"/>
      </w:divBdr>
    </w:div>
    <w:div w:id="843325186">
      <w:bodyDiv w:val="1"/>
      <w:marLeft w:val="0"/>
      <w:marRight w:val="0"/>
      <w:marTop w:val="0"/>
      <w:marBottom w:val="0"/>
      <w:divBdr>
        <w:top w:val="none" w:sz="0" w:space="0" w:color="auto"/>
        <w:left w:val="none" w:sz="0" w:space="0" w:color="auto"/>
        <w:bottom w:val="none" w:sz="0" w:space="0" w:color="auto"/>
        <w:right w:val="none" w:sz="0" w:space="0" w:color="auto"/>
      </w:divBdr>
    </w:div>
    <w:div w:id="1140999731">
      <w:bodyDiv w:val="1"/>
      <w:marLeft w:val="0"/>
      <w:marRight w:val="0"/>
      <w:marTop w:val="0"/>
      <w:marBottom w:val="0"/>
      <w:divBdr>
        <w:top w:val="none" w:sz="0" w:space="0" w:color="auto"/>
        <w:left w:val="none" w:sz="0" w:space="0" w:color="auto"/>
        <w:bottom w:val="none" w:sz="0" w:space="0" w:color="auto"/>
        <w:right w:val="none" w:sz="0" w:space="0" w:color="auto"/>
      </w:divBdr>
    </w:div>
    <w:div w:id="1335841702">
      <w:bodyDiv w:val="1"/>
      <w:marLeft w:val="0"/>
      <w:marRight w:val="0"/>
      <w:marTop w:val="0"/>
      <w:marBottom w:val="0"/>
      <w:divBdr>
        <w:top w:val="none" w:sz="0" w:space="0" w:color="auto"/>
        <w:left w:val="none" w:sz="0" w:space="0" w:color="auto"/>
        <w:bottom w:val="none" w:sz="0" w:space="0" w:color="auto"/>
        <w:right w:val="none" w:sz="0" w:space="0" w:color="auto"/>
      </w:divBdr>
    </w:div>
    <w:div w:id="1488282322">
      <w:bodyDiv w:val="1"/>
      <w:marLeft w:val="0"/>
      <w:marRight w:val="0"/>
      <w:marTop w:val="0"/>
      <w:marBottom w:val="0"/>
      <w:divBdr>
        <w:top w:val="none" w:sz="0" w:space="0" w:color="auto"/>
        <w:left w:val="none" w:sz="0" w:space="0" w:color="auto"/>
        <w:bottom w:val="none" w:sz="0" w:space="0" w:color="auto"/>
        <w:right w:val="none" w:sz="0" w:space="0" w:color="auto"/>
      </w:divBdr>
    </w:div>
    <w:div w:id="15662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C7283434-9B8A-4CFB-AB32-72D44B79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4</TotalTime>
  <Pages>4</Pages>
  <Words>1064</Words>
  <Characters>6069</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ECE/TRANS/WP.29/2024/91</dc:title>
  <dc:subject>2415393</dc:subject>
  <dc:creator>Edoardo Gianotti</dc:creator>
  <cp:keywords/>
  <dc:description/>
  <cp:lastModifiedBy>Nadiya Dzyubynska</cp:lastModifiedBy>
  <cp:revision>6</cp:revision>
  <cp:lastPrinted>2024-12-25T22:53:00Z</cp:lastPrinted>
  <dcterms:created xsi:type="dcterms:W3CDTF">2024-12-20T15:04:00Z</dcterms:created>
  <dcterms:modified xsi:type="dcterms:W3CDTF">2024-12-25T22:54:00Z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