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C7033A">
        <w:trPr>
          <w:cantSplit/>
          <w:trHeight w:hRule="exact" w:val="568"/>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53A52044" w:rsidR="009E6CB7" w:rsidRPr="00D47EEA" w:rsidRDefault="00DA4201" w:rsidP="00DA4201">
            <w:pPr>
              <w:jc w:val="right"/>
            </w:pPr>
            <w:r w:rsidRPr="00DA4201">
              <w:rPr>
                <w:sz w:val="40"/>
              </w:rPr>
              <w:t>ECE</w:t>
            </w:r>
            <w:r>
              <w:t>/TRANS/WP.29/202</w:t>
            </w:r>
            <w:r w:rsidR="00A83E10">
              <w:t>5</w:t>
            </w:r>
            <w:r>
              <w:t>/</w:t>
            </w:r>
            <w:r w:rsidR="00FE44BF">
              <w:t>3</w:t>
            </w:r>
            <w:r w:rsidR="004C07D8">
              <w:t>7</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2FB51A5A" w:rsidR="00DA4201" w:rsidRDefault="007D13E4" w:rsidP="00DA4201">
            <w:pPr>
              <w:spacing w:line="240" w:lineRule="exact"/>
            </w:pPr>
            <w:r>
              <w:t>24</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0F39E087" w:rsidR="005B5427" w:rsidRDefault="005B5427" w:rsidP="005B5427">
      <w:r>
        <w:t>Item 4.</w:t>
      </w:r>
      <w:r w:rsidR="00C7033A">
        <w:t>10</w:t>
      </w:r>
      <w:r>
        <w:t>.</w:t>
      </w:r>
      <w:r w:rsidR="00EF756A">
        <w:t>8</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678D4F56" w:rsidR="005B5427" w:rsidRDefault="005B5427" w:rsidP="005B5427">
      <w:pPr>
        <w:rPr>
          <w:b/>
          <w:bCs/>
        </w:rPr>
      </w:pPr>
      <w:r>
        <w:rPr>
          <w:b/>
        </w:rPr>
        <w:t xml:space="preserve">UN Regulations submitted by </w:t>
      </w:r>
      <w:r w:rsidR="0070621E">
        <w:rPr>
          <w:b/>
        </w:rPr>
        <w:t>GRE</w:t>
      </w:r>
    </w:p>
    <w:p w14:paraId="15C4C008" w14:textId="62A0EEDD" w:rsidR="005B5427" w:rsidRDefault="00EE23EC" w:rsidP="005B5427">
      <w:pPr>
        <w:pStyle w:val="HChG"/>
        <w:ind w:left="1124" w:right="1138" w:firstLine="0"/>
      </w:pPr>
      <w:r w:rsidRPr="00EE23EC">
        <w:rPr>
          <w:lang w:eastAsia="en-GB"/>
        </w:rPr>
        <w:t>Proposal for Supplement 4 to the 01 series of amendments to UN Regulation No. 148 (Light-Signalling Devices)</w:t>
      </w:r>
      <w:r>
        <w:rPr>
          <w:lang w:eastAsia="en-GB"/>
        </w:rPr>
        <w:t xml:space="preserve"> </w:t>
      </w:r>
    </w:p>
    <w:p w14:paraId="3807C0D5" w14:textId="083AE2A7" w:rsidR="005B5427" w:rsidRDefault="005B5427" w:rsidP="005B5427">
      <w:pPr>
        <w:pStyle w:val="H1G"/>
        <w:rPr>
          <w:szCs w:val="24"/>
        </w:rPr>
      </w:pPr>
      <w:r>
        <w:tab/>
      </w:r>
      <w:r>
        <w:tab/>
      </w:r>
      <w:r>
        <w:rPr>
          <w:szCs w:val="24"/>
        </w:rPr>
        <w:t xml:space="preserve">Submitted by the Working Party on </w:t>
      </w:r>
      <w:r w:rsidR="00265E6C" w:rsidRPr="00265E6C">
        <w:rPr>
          <w:szCs w:val="24"/>
        </w:rPr>
        <w:t>Lighting and Light-Signalling</w:t>
      </w:r>
      <w:r w:rsidR="004468B1" w:rsidRPr="00BE62C6">
        <w:footnoteReference w:customMarkFollows="1" w:id="2"/>
        <w:t>*</w:t>
      </w:r>
      <w:r w:rsidR="00BE62C6" w:rsidRPr="00BE62C6">
        <w:rPr>
          <w:szCs w:val="24"/>
          <w:vertAlign w:val="superscript"/>
        </w:rPr>
        <w:t>,</w:t>
      </w:r>
      <w:r w:rsidR="00BE62C6">
        <w:rPr>
          <w:szCs w:val="24"/>
        </w:rPr>
        <w:t xml:space="preserve"> </w:t>
      </w:r>
      <w:r w:rsidR="004468B1">
        <w:rPr>
          <w:szCs w:val="24"/>
        </w:rPr>
        <w:t>*</w:t>
      </w:r>
      <w:r>
        <w:footnoteReference w:customMarkFollows="1" w:id="3"/>
        <w:t>*</w:t>
      </w:r>
    </w:p>
    <w:p w14:paraId="1C7D81A0" w14:textId="5213A1AB" w:rsidR="005B5427" w:rsidRDefault="005B5427" w:rsidP="005B5427">
      <w:pPr>
        <w:pStyle w:val="SingleTxtG"/>
        <w:rPr>
          <w:sz w:val="24"/>
          <w:szCs w:val="24"/>
          <w:lang w:eastAsia="zh-CN"/>
        </w:rPr>
      </w:pPr>
      <w:r>
        <w:rPr>
          <w:lang w:val="en-US"/>
        </w:rPr>
        <w:tab/>
        <w:t xml:space="preserve">The text reproduced below was adopted by the Working Party on </w:t>
      </w:r>
      <w:r w:rsidR="003E1E15" w:rsidRPr="003E1E15">
        <w:rPr>
          <w:lang w:val="en-US"/>
        </w:rPr>
        <w:t>Lighting and Light-</w:t>
      </w:r>
      <w:proofErr w:type="spellStart"/>
      <w:r w:rsidR="003E1E15" w:rsidRPr="003E1E15">
        <w:rPr>
          <w:lang w:val="en-US"/>
        </w:rPr>
        <w:t>Signalling</w:t>
      </w:r>
      <w:proofErr w:type="spellEnd"/>
      <w:r w:rsidR="003E1E15" w:rsidRPr="003E1E15">
        <w:rPr>
          <w:lang w:val="en-US"/>
        </w:rPr>
        <w:t xml:space="preserve"> </w:t>
      </w:r>
      <w:r>
        <w:rPr>
          <w:lang w:val="en-US"/>
        </w:rPr>
        <w:t>(GR</w:t>
      </w:r>
      <w:r w:rsidR="00BE0D63">
        <w:rPr>
          <w:lang w:val="en-US"/>
        </w:rPr>
        <w:t>E</w:t>
      </w:r>
      <w:r>
        <w:rPr>
          <w:lang w:val="en-US"/>
        </w:rPr>
        <w:t>)</w:t>
      </w:r>
      <w:r w:rsidR="00642DD9">
        <w:rPr>
          <w:lang w:val="en-US"/>
        </w:rPr>
        <w:t xml:space="preserve"> at its ninety-first session</w:t>
      </w:r>
      <w:r>
        <w:rPr>
          <w:lang w:val="en-US"/>
        </w:rPr>
        <w:t xml:space="preserve"> </w:t>
      </w:r>
      <w:r w:rsidR="00EE08F1">
        <w:rPr>
          <w:lang w:val="en-US"/>
        </w:rPr>
        <w:t>(</w:t>
      </w:r>
      <w:r w:rsidR="00EE08F1" w:rsidRPr="00EE08F1">
        <w:rPr>
          <w:lang w:val="en-US"/>
        </w:rPr>
        <w:t>ECE/TRANS/WP.29/GR</w:t>
      </w:r>
      <w:r w:rsidR="00642DD9">
        <w:rPr>
          <w:lang w:val="en-US"/>
        </w:rPr>
        <w:t>E</w:t>
      </w:r>
      <w:r w:rsidR="00EE08F1" w:rsidRPr="00EE08F1">
        <w:rPr>
          <w:lang w:val="en-US"/>
        </w:rPr>
        <w:t>/</w:t>
      </w:r>
      <w:r w:rsidR="00642DD9">
        <w:rPr>
          <w:lang w:val="en-US"/>
        </w:rPr>
        <w:t>91</w:t>
      </w:r>
      <w:r w:rsidR="00EE08F1" w:rsidRPr="00EE08F1">
        <w:rPr>
          <w:lang w:val="en-US"/>
        </w:rPr>
        <w:t xml:space="preserve">, para. </w:t>
      </w:r>
      <w:r w:rsidR="00642DD9">
        <w:rPr>
          <w:lang w:val="en-US"/>
        </w:rPr>
        <w:t>2</w:t>
      </w:r>
      <w:r w:rsidR="00EE23EC">
        <w:rPr>
          <w:lang w:val="en-US"/>
        </w:rPr>
        <w:t>0</w:t>
      </w:r>
      <w:r w:rsidR="00EE08F1">
        <w:rPr>
          <w:lang w:val="en-US"/>
        </w:rPr>
        <w:t xml:space="preserve">). It is </w:t>
      </w:r>
      <w:r w:rsidR="00EE08F1" w:rsidRPr="00EE08F1">
        <w:rPr>
          <w:lang w:val="en-US"/>
        </w:rPr>
        <w:t>based on</w:t>
      </w:r>
      <w:r w:rsidR="007377F6">
        <w:rPr>
          <w:lang w:val="en-US"/>
        </w:rPr>
        <w:t xml:space="preserve"> </w:t>
      </w:r>
      <w:r w:rsidR="00774A8A" w:rsidRPr="00774A8A">
        <w:rPr>
          <w:lang w:val="en-US"/>
        </w:rPr>
        <w:t>ECE/TRANS/WP.29/GRE/2024/</w:t>
      </w:r>
      <w:r w:rsidR="00EA3487">
        <w:rPr>
          <w:lang w:val="en-US"/>
        </w:rPr>
        <w:t>17</w:t>
      </w:r>
      <w:r w:rsidR="00913520">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78B6904E" w14:textId="77777777" w:rsidR="0034035F" w:rsidRDefault="0034035F" w:rsidP="0034035F">
      <w:pPr>
        <w:pStyle w:val="SingleTxtG"/>
      </w:pPr>
      <w:r>
        <w:rPr>
          <w:i/>
          <w:iCs/>
        </w:rPr>
        <w:lastRenderedPageBreak/>
        <w:t>Paragraph</w:t>
      </w:r>
      <w:r>
        <w:rPr>
          <w:i/>
          <w:iCs/>
          <w:lang w:eastAsia="ja-JP"/>
        </w:rPr>
        <w:t xml:space="preserve"> 3.3.1.2.</w:t>
      </w:r>
      <w:r>
        <w:t>, amend to read:</w:t>
      </w:r>
    </w:p>
    <w:p w14:paraId="0ECB0ACF" w14:textId="666A10CB" w:rsidR="0034035F" w:rsidRDefault="0034035F" w:rsidP="0034035F">
      <w:pPr>
        <w:pStyle w:val="para0"/>
        <w:rPr>
          <w:lang w:val="en-US"/>
        </w:rPr>
      </w:pPr>
      <w:r>
        <w:rPr>
          <w:lang w:val="en-US"/>
        </w:rPr>
        <w:t>“3.3.1.2.</w:t>
      </w:r>
      <w:r>
        <w:rPr>
          <w:lang w:val="en-US"/>
        </w:rPr>
        <w:tab/>
        <w:t>With regard to the size of the approval marking the value for “a” shall be at least 5 mm.</w:t>
      </w:r>
    </w:p>
    <w:p w14:paraId="1E6A4E17" w14:textId="77777777" w:rsidR="0034035F" w:rsidRPr="007164FE" w:rsidRDefault="0034035F" w:rsidP="0034035F">
      <w:pPr>
        <w:ind w:left="1134" w:right="1134"/>
        <w:jc w:val="center"/>
        <w:rPr>
          <w:lang w:val="en-US"/>
        </w:rPr>
      </w:pPr>
      <w:r w:rsidRPr="007164FE">
        <w:rPr>
          <w:lang w:val="en-US"/>
        </w:rPr>
        <w:t>Figure I</w:t>
      </w:r>
    </w:p>
    <w:p w14:paraId="6F42863E" w14:textId="59D6CE58" w:rsidR="0034035F" w:rsidRDefault="0034035F" w:rsidP="0034035F">
      <w:pPr>
        <w:pStyle w:val="para0"/>
        <w:ind w:firstLine="0"/>
        <w:jc w:val="center"/>
        <w:rPr>
          <w:lang w:val="en-US"/>
        </w:rPr>
      </w:pPr>
      <w:r>
        <w:rPr>
          <w:noProof/>
          <w:lang w:val="en-US"/>
        </w:rPr>
        <w:drawing>
          <wp:inline distT="0" distB="0" distL="0" distR="0" wp14:anchorId="3A18285D" wp14:editId="0F80C373">
            <wp:extent cx="2766695" cy="2291715"/>
            <wp:effectExtent l="0" t="0" r="0" b="0"/>
            <wp:docPr id="1231563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6695" cy="2291715"/>
                    </a:xfrm>
                    <a:prstGeom prst="rect">
                      <a:avLst/>
                    </a:prstGeom>
                    <a:noFill/>
                    <a:ln>
                      <a:noFill/>
                    </a:ln>
                  </pic:spPr>
                </pic:pic>
              </a:graphicData>
            </a:graphic>
          </wp:inline>
        </w:drawing>
      </w:r>
    </w:p>
    <w:p w14:paraId="6624FA13" w14:textId="77777777" w:rsidR="0034035F" w:rsidRDefault="0034035F" w:rsidP="0034035F">
      <w:pPr>
        <w:pStyle w:val="para0"/>
        <w:ind w:firstLine="0"/>
        <w:rPr>
          <w:lang w:val="en-US"/>
        </w:rPr>
      </w:pPr>
      <w:r>
        <w:rPr>
          <w:lang w:val="en-US"/>
        </w:rPr>
        <w:t>Examples of the arrangement of the markings are shown in Annex 7.”</w:t>
      </w:r>
    </w:p>
    <w:p w14:paraId="4A397AD1" w14:textId="69926552" w:rsidR="0034035F" w:rsidRDefault="0034035F" w:rsidP="0034035F">
      <w:pPr>
        <w:pStyle w:val="SingleTxtG"/>
        <w:rPr>
          <w:lang w:val="en-US"/>
        </w:rPr>
      </w:pPr>
      <w:r>
        <w:rPr>
          <w:i/>
          <w:iCs/>
        </w:rPr>
        <w:t>Paragraph</w:t>
      </w:r>
      <w:r>
        <w:rPr>
          <w:i/>
          <w:iCs/>
          <w:lang w:eastAsia="ja-JP"/>
        </w:rPr>
        <w:t xml:space="preserve"> </w:t>
      </w:r>
      <w:r>
        <w:rPr>
          <w:i/>
          <w:iCs/>
        </w:rPr>
        <w:t>3.3.3.1.</w:t>
      </w:r>
      <w:r>
        <w:t xml:space="preserve">, </w:t>
      </w:r>
      <w:r w:rsidR="004F2A0B" w:rsidRPr="00F26802">
        <w:rPr>
          <w:i/>
          <w:iCs/>
        </w:rPr>
        <w:t>Figure I</w:t>
      </w:r>
      <w:r w:rsidR="004F2A0B">
        <w:t xml:space="preserve">, </w:t>
      </w:r>
      <w:r>
        <w:t>renumber to “Figure II”.</w:t>
      </w:r>
    </w:p>
    <w:p w14:paraId="1A2974C7" w14:textId="77777777" w:rsidR="0034035F" w:rsidRDefault="0034035F" w:rsidP="0034035F">
      <w:pPr>
        <w:pStyle w:val="SingleTxtG"/>
      </w:pPr>
      <w:r>
        <w:rPr>
          <w:i/>
          <w:iCs/>
        </w:rPr>
        <w:t>Annex 7</w:t>
      </w:r>
      <w:r>
        <w:t>,</w:t>
      </w:r>
      <w:r>
        <w:rPr>
          <w:i/>
          <w:iCs/>
        </w:rPr>
        <w:t xml:space="preserve"> part 1, </w:t>
      </w:r>
      <w:r>
        <w:t>amend to read:</w:t>
      </w:r>
    </w:p>
    <w:p w14:paraId="4371A965" w14:textId="77777777" w:rsidR="0034035F" w:rsidRDefault="0034035F" w:rsidP="0034035F">
      <w:pPr>
        <w:spacing w:before="120" w:after="120"/>
        <w:ind w:left="992"/>
        <w:jc w:val="both"/>
        <w:rPr>
          <w:b/>
          <w:bCs/>
          <w:lang w:val="en-US"/>
        </w:rPr>
      </w:pPr>
      <w:r>
        <w:rPr>
          <w:b/>
          <w:bCs/>
          <w:lang w:val="en-US"/>
        </w:rPr>
        <w:t xml:space="preserve">“1. </w:t>
      </w:r>
      <w:r>
        <w:rPr>
          <w:b/>
          <w:bCs/>
          <w:lang w:val="en-US"/>
        </w:rPr>
        <w:tab/>
      </w:r>
      <w:r>
        <w:rPr>
          <w:b/>
          <w:bCs/>
          <w:lang w:val="en-US"/>
        </w:rPr>
        <w:tab/>
        <w:t xml:space="preserve">Approval marking of a single light </w:t>
      </w:r>
      <w:proofErr w:type="spellStart"/>
      <w:r>
        <w:rPr>
          <w:b/>
          <w:bCs/>
          <w:lang w:val="en-US"/>
        </w:rPr>
        <w:t>signalling</w:t>
      </w:r>
      <w:proofErr w:type="spellEnd"/>
      <w:r>
        <w:rPr>
          <w:b/>
          <w:bCs/>
          <w:lang w:val="en-US"/>
        </w:rPr>
        <w:t xml:space="preserve"> lamp </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247"/>
      </w:tblGrid>
      <w:tr w:rsidR="0034035F" w14:paraId="26714455" w14:textId="77777777" w:rsidTr="0034035F">
        <w:tc>
          <w:tcPr>
            <w:tcW w:w="3822" w:type="dxa"/>
            <w:hideMark/>
          </w:tcPr>
          <w:p w14:paraId="7A7C5CE2" w14:textId="77777777" w:rsidR="0034035F" w:rsidRDefault="0034035F">
            <w:pPr>
              <w:jc w:val="center"/>
              <w:rPr>
                <w:lang w:val="en-US"/>
              </w:rPr>
            </w:pPr>
            <w:r>
              <w:rPr>
                <w:lang w:val="en-US"/>
              </w:rPr>
              <w:t xml:space="preserve">Figure A7-I - </w:t>
            </w:r>
            <w:r w:rsidRPr="00F26802">
              <w:rPr>
                <w:lang w:val="en-US"/>
              </w:rPr>
              <w:t>Marking example 1</w:t>
            </w:r>
          </w:p>
          <w:p w14:paraId="10043819" w14:textId="439623D3" w:rsidR="0034035F" w:rsidRDefault="0034035F">
            <w:pPr>
              <w:jc w:val="center"/>
              <w:rPr>
                <w:noProof/>
                <w:lang w:val="en-US"/>
              </w:rPr>
            </w:pPr>
            <w:r>
              <w:rPr>
                <w:noProof/>
                <w:lang w:val="en-US"/>
              </w:rPr>
              <w:drawing>
                <wp:inline distT="0" distB="0" distL="0" distR="0" wp14:anchorId="4BD14E54" wp14:editId="174EC2DC">
                  <wp:extent cx="1852295" cy="1905000"/>
                  <wp:effectExtent l="0" t="0" r="0" b="0"/>
                  <wp:docPr id="1707815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2295" cy="1905000"/>
                          </a:xfrm>
                          <a:prstGeom prst="rect">
                            <a:avLst/>
                          </a:prstGeom>
                          <a:noFill/>
                          <a:ln>
                            <a:noFill/>
                          </a:ln>
                        </pic:spPr>
                      </pic:pic>
                    </a:graphicData>
                  </a:graphic>
                </wp:inline>
              </w:drawing>
            </w:r>
          </w:p>
          <w:p w14:paraId="0CE8E370" w14:textId="14DFF79E" w:rsidR="0034035F" w:rsidRDefault="0034035F">
            <w:pPr>
              <w:jc w:val="center"/>
              <w:rPr>
                <w:noProof/>
                <w:lang w:val="en-US"/>
              </w:rPr>
            </w:pPr>
          </w:p>
          <w:p w14:paraId="5D69F6AF" w14:textId="1B2FD3E0" w:rsidR="0034035F" w:rsidRDefault="0034035F">
            <w:pPr>
              <w:jc w:val="center"/>
              <w:rPr>
                <w:strike/>
                <w:lang w:val="en-US"/>
              </w:rPr>
            </w:pPr>
          </w:p>
        </w:tc>
        <w:tc>
          <w:tcPr>
            <w:tcW w:w="4247" w:type="dxa"/>
            <w:hideMark/>
          </w:tcPr>
          <w:p w14:paraId="45297DDA" w14:textId="77777777" w:rsidR="0034035F" w:rsidRDefault="0034035F">
            <w:pPr>
              <w:jc w:val="both"/>
              <w:rPr>
                <w:lang w:val="en-US"/>
              </w:rPr>
            </w:pPr>
            <w:r>
              <w:rPr>
                <w:lang w:val="en-US"/>
              </w:rPr>
              <w:t xml:space="preserve">The lamp bearing the approval marking shown on the left is a front position lamp (A) approved in the Netherlands (E4), under approval number 0221 pursuant to this Regulation (148R). </w:t>
            </w:r>
          </w:p>
          <w:p w14:paraId="63CDEBB6" w14:textId="77777777" w:rsidR="0034035F" w:rsidRDefault="0034035F">
            <w:pPr>
              <w:jc w:val="both"/>
              <w:rPr>
                <w:lang w:val="en-US"/>
              </w:rPr>
            </w:pPr>
            <w:r>
              <w:rPr>
                <w:lang w:val="en-US"/>
              </w:rPr>
              <w:t>The number (01) mentioned after 148R indicates that approval was granted in accordance with the requirements of this Regulation as set in the 01 series of amendments. The horizontal arrow indicates the outwards of the vehicle. The vertical arrow starting from a horizontal segment and directed downwards indicates a lamp with reduced light distribution (vertically downwards and/or horizontally below the H plane).</w:t>
            </w:r>
          </w:p>
          <w:p w14:paraId="6DD884F3" w14:textId="3045F047" w:rsidR="0034035F" w:rsidRDefault="0034035F">
            <w:pPr>
              <w:jc w:val="both"/>
              <w:rPr>
                <w:lang w:val="en-US"/>
              </w:rPr>
            </w:pPr>
          </w:p>
        </w:tc>
      </w:tr>
    </w:tbl>
    <w:p w14:paraId="48F56707" w14:textId="625733A3" w:rsidR="0034035F" w:rsidRDefault="0034035F" w:rsidP="00F23425">
      <w:pPr>
        <w:spacing w:before="240"/>
        <w:jc w:val="center"/>
        <w:rPr>
          <w:u w:val="single"/>
        </w:rPr>
      </w:pPr>
      <w:r>
        <w:rPr>
          <w:lang w:val="en-US"/>
        </w:rPr>
        <w:t>…”</w:t>
      </w:r>
    </w:p>
    <w:p w14:paraId="34D98FD2" w14:textId="06E98DE6"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E206" w14:textId="77777777" w:rsidR="004B598D" w:rsidRDefault="004B598D"/>
  </w:endnote>
  <w:endnote w:type="continuationSeparator" w:id="0">
    <w:p w14:paraId="74560908" w14:textId="77777777" w:rsidR="004B598D" w:rsidRDefault="004B598D"/>
  </w:endnote>
  <w:endnote w:type="continuationNotice" w:id="1">
    <w:p w14:paraId="1AC1C12B" w14:textId="77777777" w:rsidR="004B598D" w:rsidRDefault="004B5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933" w14:textId="614A143B" w:rsidR="0035223F" w:rsidRDefault="00067DE1" w:rsidP="00067DE1">
    <w:pPr>
      <w:pStyle w:val="Footer"/>
      <w:rPr>
        <w:sz w:val="20"/>
      </w:rPr>
    </w:pPr>
    <w:r w:rsidRPr="00067DE1">
      <w:rPr>
        <w:noProof/>
        <w:sz w:val="20"/>
        <w:lang w:val="en-US"/>
      </w:rPr>
      <w:drawing>
        <wp:anchor distT="0" distB="0" distL="114300" distR="114300" simplePos="0" relativeHeight="251659264" behindDoc="0" locked="1" layoutInCell="1" allowOverlap="1" wp14:anchorId="71F70501" wp14:editId="2C87F4F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EA0B" w14:textId="77777777" w:rsidR="004B598D" w:rsidRPr="000B175B" w:rsidRDefault="004B598D" w:rsidP="000B175B">
      <w:pPr>
        <w:tabs>
          <w:tab w:val="right" w:pos="2155"/>
        </w:tabs>
        <w:spacing w:after="80"/>
        <w:ind w:left="680"/>
        <w:rPr>
          <w:u w:val="single"/>
        </w:rPr>
      </w:pPr>
      <w:r>
        <w:rPr>
          <w:u w:val="single"/>
        </w:rPr>
        <w:tab/>
      </w:r>
    </w:p>
  </w:footnote>
  <w:footnote w:type="continuationSeparator" w:id="0">
    <w:p w14:paraId="2E441667" w14:textId="77777777" w:rsidR="004B598D" w:rsidRPr="00FC68B7" w:rsidRDefault="004B598D" w:rsidP="00FC68B7">
      <w:pPr>
        <w:tabs>
          <w:tab w:val="left" w:pos="2155"/>
        </w:tabs>
        <w:spacing w:after="80"/>
        <w:ind w:left="680"/>
        <w:rPr>
          <w:u w:val="single"/>
        </w:rPr>
      </w:pPr>
      <w:r>
        <w:rPr>
          <w:u w:val="single"/>
        </w:rPr>
        <w:tab/>
      </w:r>
    </w:p>
  </w:footnote>
  <w:footnote w:type="continuationNotice" w:id="1">
    <w:p w14:paraId="2496B250" w14:textId="77777777" w:rsidR="004B598D" w:rsidRDefault="004B598D"/>
  </w:footnote>
  <w:footnote w:id="2">
    <w:p w14:paraId="70531C7B" w14:textId="782E9B84" w:rsidR="004468B1" w:rsidRPr="004468B1" w:rsidRDefault="00334EC9" w:rsidP="00334EC9">
      <w:pPr>
        <w:pStyle w:val="FootnoteText"/>
        <w:rPr>
          <w:lang w:val="en-US"/>
        </w:rPr>
      </w:pPr>
      <w:r w:rsidRPr="00334EC9">
        <w:rPr>
          <w:rStyle w:val="FootnoteReference"/>
        </w:rPr>
        <w:tab/>
      </w:r>
      <w:r>
        <w:t>*</w:t>
      </w:r>
      <w:r>
        <w:tab/>
      </w:r>
      <w:r w:rsidRPr="00334EC9">
        <w:t>This document was scheduled for publication after the standard publication date owing to circumstances beyond the submitter's control.</w:t>
      </w:r>
    </w:p>
  </w:footnote>
  <w:footnote w:id="3">
    <w:p w14:paraId="2F50A318" w14:textId="0CF88AF8" w:rsidR="005B5427" w:rsidRDefault="005B5427" w:rsidP="005B5427">
      <w:pPr>
        <w:pStyle w:val="FootnoteText"/>
        <w:jc w:val="both"/>
        <w:rPr>
          <w:lang w:val="en-US"/>
        </w:rPr>
      </w:pPr>
      <w:r>
        <w:tab/>
      </w:r>
      <w:r w:rsidR="004468B1" w:rsidRPr="004468B1">
        <w:rPr>
          <w:rStyle w:val="FootnoteReference"/>
          <w:sz w:val="20"/>
          <w:lang w:val="en-US"/>
        </w:rPr>
        <w:t>*</w:t>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202</w:t>
      </w:r>
      <w:r w:rsidR="00190062">
        <w:rPr>
          <w:lang w:val="en-US"/>
        </w:rPr>
        <w:t>5</w:t>
      </w:r>
      <w:r>
        <w:rPr>
          <w:lang w:val="en-US"/>
        </w:rPr>
        <w:t xml:space="preserve"> as outlined in proposed </w:t>
      </w:r>
      <w:proofErr w:type="spellStart"/>
      <w:r>
        <w:rPr>
          <w:lang w:val="en-US"/>
        </w:rPr>
        <w:t>programme</w:t>
      </w:r>
      <w:proofErr w:type="spellEnd"/>
      <w:r>
        <w:rPr>
          <w:lang w:val="en-US"/>
        </w:rPr>
        <w:t xml:space="preserv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659F92AE" w:rsidR="00DA4201" w:rsidRPr="00DA4201" w:rsidRDefault="00731EC8">
    <w:pPr>
      <w:pStyle w:val="Header"/>
    </w:pPr>
    <w:fldSimple w:instr=" TITLE  \* MERGEFORMAT ">
      <w:r w:rsidR="00AF274E">
        <w:t>ECE/TRANS/WP.29/2024/91</w:t>
      </w:r>
    </w:fldSimple>
    <w:r w:rsidR="009D34B2">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4B0C2A80" w:rsidR="00DA4201" w:rsidRPr="00DA4201" w:rsidRDefault="00731EC8" w:rsidP="00DA4201">
    <w:pPr>
      <w:pStyle w:val="Header"/>
      <w:jc w:val="right"/>
    </w:pPr>
    <w:fldSimple w:instr=" TITLE  \* MERGEFORMAT ">
      <w:r w:rsidR="00AF274E">
        <w:t>ECE/TRANS/WP.29/2024/91</w:t>
      </w:r>
    </w:fldSimple>
    <w:r w:rsidR="009D34B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683482"/>
    <w:multiLevelType w:val="hybridMultilevel"/>
    <w:tmpl w:val="A3EE7B5C"/>
    <w:lvl w:ilvl="0" w:tplc="0EDA03F2">
      <w:numFmt w:val="bullet"/>
      <w:lvlText w:val=""/>
      <w:lvlJc w:val="left"/>
      <w:pPr>
        <w:ind w:left="1380" w:hanging="10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7"/>
  </w:num>
  <w:num w:numId="12" w16cid:durableId="616915869">
    <w:abstractNumId w:val="16"/>
  </w:num>
  <w:num w:numId="13" w16cid:durableId="1155418512">
    <w:abstractNumId w:val="10"/>
  </w:num>
  <w:num w:numId="14" w16cid:durableId="1991515697">
    <w:abstractNumId w:val="14"/>
  </w:num>
  <w:num w:numId="15" w16cid:durableId="684475659">
    <w:abstractNumId w:val="18"/>
  </w:num>
  <w:num w:numId="16" w16cid:durableId="1063142324">
    <w:abstractNumId w:val="15"/>
  </w:num>
  <w:num w:numId="17" w16cid:durableId="531768949">
    <w:abstractNumId w:val="20"/>
  </w:num>
  <w:num w:numId="18" w16cid:durableId="917792690">
    <w:abstractNumId w:val="22"/>
  </w:num>
  <w:num w:numId="19" w16cid:durableId="1144010885">
    <w:abstractNumId w:val="13"/>
  </w:num>
  <w:num w:numId="20" w16cid:durableId="876237355">
    <w:abstractNumId w:val="12"/>
  </w:num>
  <w:num w:numId="21" w16cid:durableId="628635465">
    <w:abstractNumId w:val="11"/>
  </w:num>
  <w:num w:numId="22" w16cid:durableId="1978214962">
    <w:abstractNumId w:val="21"/>
  </w:num>
  <w:num w:numId="23" w16cid:durableId="172926109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1027C"/>
    <w:rsid w:val="00027624"/>
    <w:rsid w:val="00050F6B"/>
    <w:rsid w:val="000678CD"/>
    <w:rsid w:val="00067DE1"/>
    <w:rsid w:val="00072C8C"/>
    <w:rsid w:val="00081CE0"/>
    <w:rsid w:val="00084D30"/>
    <w:rsid w:val="00090320"/>
    <w:rsid w:val="000931C0"/>
    <w:rsid w:val="00097003"/>
    <w:rsid w:val="000A2E09"/>
    <w:rsid w:val="000B175B"/>
    <w:rsid w:val="000B3A0F"/>
    <w:rsid w:val="000C1A16"/>
    <w:rsid w:val="000E0415"/>
    <w:rsid w:val="000F6D5B"/>
    <w:rsid w:val="000F7715"/>
    <w:rsid w:val="00141F42"/>
    <w:rsid w:val="00147050"/>
    <w:rsid w:val="00156B99"/>
    <w:rsid w:val="00163E86"/>
    <w:rsid w:val="00166124"/>
    <w:rsid w:val="00184DDA"/>
    <w:rsid w:val="00190062"/>
    <w:rsid w:val="001900CD"/>
    <w:rsid w:val="001A0452"/>
    <w:rsid w:val="001A6B67"/>
    <w:rsid w:val="001B4B04"/>
    <w:rsid w:val="001B56C1"/>
    <w:rsid w:val="001B5875"/>
    <w:rsid w:val="001C4B9C"/>
    <w:rsid w:val="001C6663"/>
    <w:rsid w:val="001C7895"/>
    <w:rsid w:val="001D26DF"/>
    <w:rsid w:val="001E431B"/>
    <w:rsid w:val="001F1599"/>
    <w:rsid w:val="001F19C4"/>
    <w:rsid w:val="001F45B7"/>
    <w:rsid w:val="002043F0"/>
    <w:rsid w:val="0020574F"/>
    <w:rsid w:val="00211E0B"/>
    <w:rsid w:val="00220457"/>
    <w:rsid w:val="00230134"/>
    <w:rsid w:val="00232575"/>
    <w:rsid w:val="00247258"/>
    <w:rsid w:val="00257CAC"/>
    <w:rsid w:val="00265E6C"/>
    <w:rsid w:val="0027237A"/>
    <w:rsid w:val="002974E9"/>
    <w:rsid w:val="00297D15"/>
    <w:rsid w:val="002A306B"/>
    <w:rsid w:val="002A4BA6"/>
    <w:rsid w:val="002A7F94"/>
    <w:rsid w:val="002B009A"/>
    <w:rsid w:val="002B109A"/>
    <w:rsid w:val="002C6D45"/>
    <w:rsid w:val="002D218E"/>
    <w:rsid w:val="002D6E53"/>
    <w:rsid w:val="002E1733"/>
    <w:rsid w:val="002F046D"/>
    <w:rsid w:val="002F3023"/>
    <w:rsid w:val="00301764"/>
    <w:rsid w:val="00307AA1"/>
    <w:rsid w:val="00314C52"/>
    <w:rsid w:val="00316EB3"/>
    <w:rsid w:val="003229D8"/>
    <w:rsid w:val="00334EC9"/>
    <w:rsid w:val="00336C97"/>
    <w:rsid w:val="00337F88"/>
    <w:rsid w:val="0034035F"/>
    <w:rsid w:val="00342432"/>
    <w:rsid w:val="0035223F"/>
    <w:rsid w:val="00352D4B"/>
    <w:rsid w:val="0035638C"/>
    <w:rsid w:val="00362BC7"/>
    <w:rsid w:val="00383065"/>
    <w:rsid w:val="003A011D"/>
    <w:rsid w:val="003A46BB"/>
    <w:rsid w:val="003A4EC7"/>
    <w:rsid w:val="003A7295"/>
    <w:rsid w:val="003A7B10"/>
    <w:rsid w:val="003B1F60"/>
    <w:rsid w:val="003C2CC4"/>
    <w:rsid w:val="003D4B23"/>
    <w:rsid w:val="003D7076"/>
    <w:rsid w:val="003E1E15"/>
    <w:rsid w:val="003E278A"/>
    <w:rsid w:val="003E4AC9"/>
    <w:rsid w:val="003F4C24"/>
    <w:rsid w:val="00412A88"/>
    <w:rsid w:val="00413520"/>
    <w:rsid w:val="004169DB"/>
    <w:rsid w:val="004325CB"/>
    <w:rsid w:val="00440A07"/>
    <w:rsid w:val="00445CC9"/>
    <w:rsid w:val="004466CB"/>
    <w:rsid w:val="004468B1"/>
    <w:rsid w:val="00462880"/>
    <w:rsid w:val="00466027"/>
    <w:rsid w:val="00474D2F"/>
    <w:rsid w:val="00476F24"/>
    <w:rsid w:val="00494D20"/>
    <w:rsid w:val="004A5D33"/>
    <w:rsid w:val="004B598D"/>
    <w:rsid w:val="004C07D8"/>
    <w:rsid w:val="004C2CC3"/>
    <w:rsid w:val="004C55B0"/>
    <w:rsid w:val="004C634F"/>
    <w:rsid w:val="004D1F38"/>
    <w:rsid w:val="004F2A0B"/>
    <w:rsid w:val="004F6BA0"/>
    <w:rsid w:val="00503BEA"/>
    <w:rsid w:val="005159CC"/>
    <w:rsid w:val="00525473"/>
    <w:rsid w:val="00533616"/>
    <w:rsid w:val="00535ABA"/>
    <w:rsid w:val="0053768B"/>
    <w:rsid w:val="005420F2"/>
    <w:rsid w:val="0054285C"/>
    <w:rsid w:val="00560EA8"/>
    <w:rsid w:val="0056327D"/>
    <w:rsid w:val="00570C4A"/>
    <w:rsid w:val="00584173"/>
    <w:rsid w:val="00595520"/>
    <w:rsid w:val="005A44B9"/>
    <w:rsid w:val="005B1BA0"/>
    <w:rsid w:val="005B3DB3"/>
    <w:rsid w:val="005B5427"/>
    <w:rsid w:val="005C0268"/>
    <w:rsid w:val="005C768B"/>
    <w:rsid w:val="005D15CA"/>
    <w:rsid w:val="005E0E41"/>
    <w:rsid w:val="005E53E7"/>
    <w:rsid w:val="005E6F4B"/>
    <w:rsid w:val="005F08DF"/>
    <w:rsid w:val="005F3066"/>
    <w:rsid w:val="005F377E"/>
    <w:rsid w:val="005F3E61"/>
    <w:rsid w:val="00604DDD"/>
    <w:rsid w:val="006107D6"/>
    <w:rsid w:val="006115CC"/>
    <w:rsid w:val="00611FC4"/>
    <w:rsid w:val="006176FB"/>
    <w:rsid w:val="00630FCB"/>
    <w:rsid w:val="0063224C"/>
    <w:rsid w:val="00640B26"/>
    <w:rsid w:val="00642DD9"/>
    <w:rsid w:val="00650445"/>
    <w:rsid w:val="0065766B"/>
    <w:rsid w:val="006770B2"/>
    <w:rsid w:val="00686A48"/>
    <w:rsid w:val="0068763C"/>
    <w:rsid w:val="006940E1"/>
    <w:rsid w:val="00695F33"/>
    <w:rsid w:val="006A3C72"/>
    <w:rsid w:val="006A4F48"/>
    <w:rsid w:val="006A7392"/>
    <w:rsid w:val="006B03A1"/>
    <w:rsid w:val="006B0D0D"/>
    <w:rsid w:val="006B67D9"/>
    <w:rsid w:val="006C5535"/>
    <w:rsid w:val="006D0589"/>
    <w:rsid w:val="006E431D"/>
    <w:rsid w:val="006E564B"/>
    <w:rsid w:val="006E7154"/>
    <w:rsid w:val="006F4819"/>
    <w:rsid w:val="007003CD"/>
    <w:rsid w:val="0070621E"/>
    <w:rsid w:val="00706C00"/>
    <w:rsid w:val="0070701E"/>
    <w:rsid w:val="007073EE"/>
    <w:rsid w:val="007164FE"/>
    <w:rsid w:val="0072632A"/>
    <w:rsid w:val="00726C5C"/>
    <w:rsid w:val="00731EC8"/>
    <w:rsid w:val="007334DA"/>
    <w:rsid w:val="007358E8"/>
    <w:rsid w:val="00735AB1"/>
    <w:rsid w:val="00736ECE"/>
    <w:rsid w:val="007377F6"/>
    <w:rsid w:val="0074533B"/>
    <w:rsid w:val="007474E1"/>
    <w:rsid w:val="007643BC"/>
    <w:rsid w:val="00774A8A"/>
    <w:rsid w:val="00780C68"/>
    <w:rsid w:val="00781FEA"/>
    <w:rsid w:val="007959FE"/>
    <w:rsid w:val="007A0CF1"/>
    <w:rsid w:val="007B605E"/>
    <w:rsid w:val="007B6BA5"/>
    <w:rsid w:val="007C3390"/>
    <w:rsid w:val="007C42D8"/>
    <w:rsid w:val="007C4F4B"/>
    <w:rsid w:val="007D13E4"/>
    <w:rsid w:val="007D6F65"/>
    <w:rsid w:val="007D7362"/>
    <w:rsid w:val="007E5050"/>
    <w:rsid w:val="007E6D2A"/>
    <w:rsid w:val="007F3D0E"/>
    <w:rsid w:val="007F5CE2"/>
    <w:rsid w:val="007F6611"/>
    <w:rsid w:val="00810BAC"/>
    <w:rsid w:val="00814C29"/>
    <w:rsid w:val="008175E9"/>
    <w:rsid w:val="008242D7"/>
    <w:rsid w:val="0082577B"/>
    <w:rsid w:val="00825CB5"/>
    <w:rsid w:val="00827502"/>
    <w:rsid w:val="008438D0"/>
    <w:rsid w:val="00860866"/>
    <w:rsid w:val="00863EC5"/>
    <w:rsid w:val="00866893"/>
    <w:rsid w:val="00866F02"/>
    <w:rsid w:val="00867D18"/>
    <w:rsid w:val="00871F9A"/>
    <w:rsid w:val="00871FD5"/>
    <w:rsid w:val="0088172E"/>
    <w:rsid w:val="00881EFA"/>
    <w:rsid w:val="00886B1A"/>
    <w:rsid w:val="008879CB"/>
    <w:rsid w:val="008979B1"/>
    <w:rsid w:val="008A6B25"/>
    <w:rsid w:val="008A6C4F"/>
    <w:rsid w:val="008A72A3"/>
    <w:rsid w:val="008B389E"/>
    <w:rsid w:val="008C2D83"/>
    <w:rsid w:val="008D045E"/>
    <w:rsid w:val="008D3F25"/>
    <w:rsid w:val="008D4D82"/>
    <w:rsid w:val="008E0E46"/>
    <w:rsid w:val="008E6CDE"/>
    <w:rsid w:val="008E7116"/>
    <w:rsid w:val="008F143B"/>
    <w:rsid w:val="008F3882"/>
    <w:rsid w:val="008F4B7C"/>
    <w:rsid w:val="00913520"/>
    <w:rsid w:val="0092556A"/>
    <w:rsid w:val="00926E47"/>
    <w:rsid w:val="009306EA"/>
    <w:rsid w:val="00947162"/>
    <w:rsid w:val="009610D0"/>
    <w:rsid w:val="0096375C"/>
    <w:rsid w:val="009662E6"/>
    <w:rsid w:val="0097095E"/>
    <w:rsid w:val="00971BF2"/>
    <w:rsid w:val="0098592B"/>
    <w:rsid w:val="00985FC4"/>
    <w:rsid w:val="00990766"/>
    <w:rsid w:val="00991261"/>
    <w:rsid w:val="009964C4"/>
    <w:rsid w:val="009A7B81"/>
    <w:rsid w:val="009B011B"/>
    <w:rsid w:val="009B354A"/>
    <w:rsid w:val="009B7EB7"/>
    <w:rsid w:val="009C5647"/>
    <w:rsid w:val="009D01C0"/>
    <w:rsid w:val="009D27A0"/>
    <w:rsid w:val="009D34B2"/>
    <w:rsid w:val="009D6A08"/>
    <w:rsid w:val="009E0A16"/>
    <w:rsid w:val="009E6CB7"/>
    <w:rsid w:val="009E7970"/>
    <w:rsid w:val="009F2EAC"/>
    <w:rsid w:val="009F57E3"/>
    <w:rsid w:val="00A020FE"/>
    <w:rsid w:val="00A077A2"/>
    <w:rsid w:val="00A10F4F"/>
    <w:rsid w:val="00A11067"/>
    <w:rsid w:val="00A13D4C"/>
    <w:rsid w:val="00A13FAD"/>
    <w:rsid w:val="00A1704A"/>
    <w:rsid w:val="00A17DE6"/>
    <w:rsid w:val="00A25897"/>
    <w:rsid w:val="00A3126E"/>
    <w:rsid w:val="00A34879"/>
    <w:rsid w:val="00A36AC2"/>
    <w:rsid w:val="00A425EB"/>
    <w:rsid w:val="00A53D88"/>
    <w:rsid w:val="00A55EC9"/>
    <w:rsid w:val="00A72F22"/>
    <w:rsid w:val="00A733BC"/>
    <w:rsid w:val="00A735EE"/>
    <w:rsid w:val="00A748A6"/>
    <w:rsid w:val="00A76A69"/>
    <w:rsid w:val="00A83E10"/>
    <w:rsid w:val="00A879A4"/>
    <w:rsid w:val="00AA0FF8"/>
    <w:rsid w:val="00AB65D0"/>
    <w:rsid w:val="00AB7431"/>
    <w:rsid w:val="00AC0F2C"/>
    <w:rsid w:val="00AC502A"/>
    <w:rsid w:val="00AE1E26"/>
    <w:rsid w:val="00AF274E"/>
    <w:rsid w:val="00AF58C1"/>
    <w:rsid w:val="00B04A3F"/>
    <w:rsid w:val="00B06643"/>
    <w:rsid w:val="00B14C6C"/>
    <w:rsid w:val="00B15055"/>
    <w:rsid w:val="00B20551"/>
    <w:rsid w:val="00B22744"/>
    <w:rsid w:val="00B30179"/>
    <w:rsid w:val="00B31E0B"/>
    <w:rsid w:val="00B33FC7"/>
    <w:rsid w:val="00B35A75"/>
    <w:rsid w:val="00B373E6"/>
    <w:rsid w:val="00B37B15"/>
    <w:rsid w:val="00B4162A"/>
    <w:rsid w:val="00B451AB"/>
    <w:rsid w:val="00B45C02"/>
    <w:rsid w:val="00B70B63"/>
    <w:rsid w:val="00B72A1E"/>
    <w:rsid w:val="00B77C0C"/>
    <w:rsid w:val="00B81E12"/>
    <w:rsid w:val="00B96983"/>
    <w:rsid w:val="00BA339B"/>
    <w:rsid w:val="00BB23CC"/>
    <w:rsid w:val="00BC1E7E"/>
    <w:rsid w:val="00BC74E9"/>
    <w:rsid w:val="00BE0D63"/>
    <w:rsid w:val="00BE36A9"/>
    <w:rsid w:val="00BE5B62"/>
    <w:rsid w:val="00BE618E"/>
    <w:rsid w:val="00BE62C6"/>
    <w:rsid w:val="00BE7BEC"/>
    <w:rsid w:val="00BF0A5A"/>
    <w:rsid w:val="00BF0E63"/>
    <w:rsid w:val="00BF12A3"/>
    <w:rsid w:val="00BF16D7"/>
    <w:rsid w:val="00BF1F86"/>
    <w:rsid w:val="00BF2373"/>
    <w:rsid w:val="00BF279B"/>
    <w:rsid w:val="00C022DE"/>
    <w:rsid w:val="00C044E2"/>
    <w:rsid w:val="00C048CB"/>
    <w:rsid w:val="00C066F3"/>
    <w:rsid w:val="00C17AF1"/>
    <w:rsid w:val="00C43D3E"/>
    <w:rsid w:val="00C463DD"/>
    <w:rsid w:val="00C6171D"/>
    <w:rsid w:val="00C7033A"/>
    <w:rsid w:val="00C73994"/>
    <w:rsid w:val="00C745C3"/>
    <w:rsid w:val="00C76116"/>
    <w:rsid w:val="00C978F5"/>
    <w:rsid w:val="00CA0B2A"/>
    <w:rsid w:val="00CA1BD0"/>
    <w:rsid w:val="00CA24A4"/>
    <w:rsid w:val="00CB348D"/>
    <w:rsid w:val="00CC161B"/>
    <w:rsid w:val="00CD46F5"/>
    <w:rsid w:val="00CE4A8F"/>
    <w:rsid w:val="00CE647E"/>
    <w:rsid w:val="00CF071D"/>
    <w:rsid w:val="00CF1997"/>
    <w:rsid w:val="00D0123D"/>
    <w:rsid w:val="00D15B04"/>
    <w:rsid w:val="00D17616"/>
    <w:rsid w:val="00D2031B"/>
    <w:rsid w:val="00D25FE2"/>
    <w:rsid w:val="00D35180"/>
    <w:rsid w:val="00D37DA9"/>
    <w:rsid w:val="00D37E02"/>
    <w:rsid w:val="00D406A7"/>
    <w:rsid w:val="00D41AE9"/>
    <w:rsid w:val="00D425DF"/>
    <w:rsid w:val="00D43252"/>
    <w:rsid w:val="00D44D86"/>
    <w:rsid w:val="00D50B7D"/>
    <w:rsid w:val="00D52012"/>
    <w:rsid w:val="00D5202F"/>
    <w:rsid w:val="00D617BF"/>
    <w:rsid w:val="00D704E5"/>
    <w:rsid w:val="00D72727"/>
    <w:rsid w:val="00D85DD3"/>
    <w:rsid w:val="00D978C6"/>
    <w:rsid w:val="00DA0956"/>
    <w:rsid w:val="00DA357F"/>
    <w:rsid w:val="00DA3E12"/>
    <w:rsid w:val="00DA4201"/>
    <w:rsid w:val="00DC18AD"/>
    <w:rsid w:val="00DC3E15"/>
    <w:rsid w:val="00DD6DEB"/>
    <w:rsid w:val="00DE00C6"/>
    <w:rsid w:val="00DF156B"/>
    <w:rsid w:val="00DF7CAE"/>
    <w:rsid w:val="00E2224E"/>
    <w:rsid w:val="00E41B8B"/>
    <w:rsid w:val="00E423C0"/>
    <w:rsid w:val="00E4305A"/>
    <w:rsid w:val="00E44BCE"/>
    <w:rsid w:val="00E5517F"/>
    <w:rsid w:val="00E6414C"/>
    <w:rsid w:val="00E7260F"/>
    <w:rsid w:val="00E82F3E"/>
    <w:rsid w:val="00E8702D"/>
    <w:rsid w:val="00E905F4"/>
    <w:rsid w:val="00E916A9"/>
    <w:rsid w:val="00E916DE"/>
    <w:rsid w:val="00E925AD"/>
    <w:rsid w:val="00E94A89"/>
    <w:rsid w:val="00E96630"/>
    <w:rsid w:val="00EA3487"/>
    <w:rsid w:val="00EA3A44"/>
    <w:rsid w:val="00ED18DC"/>
    <w:rsid w:val="00ED6201"/>
    <w:rsid w:val="00ED7A2A"/>
    <w:rsid w:val="00EE08F1"/>
    <w:rsid w:val="00EE23EC"/>
    <w:rsid w:val="00EF0E5F"/>
    <w:rsid w:val="00EF106A"/>
    <w:rsid w:val="00EF1D7F"/>
    <w:rsid w:val="00EF756A"/>
    <w:rsid w:val="00F0137E"/>
    <w:rsid w:val="00F04E44"/>
    <w:rsid w:val="00F1177D"/>
    <w:rsid w:val="00F21786"/>
    <w:rsid w:val="00F23425"/>
    <w:rsid w:val="00F25D06"/>
    <w:rsid w:val="00F26802"/>
    <w:rsid w:val="00F2753E"/>
    <w:rsid w:val="00F31CD7"/>
    <w:rsid w:val="00F31CFF"/>
    <w:rsid w:val="00F3742B"/>
    <w:rsid w:val="00F37528"/>
    <w:rsid w:val="00F41FDB"/>
    <w:rsid w:val="00F50597"/>
    <w:rsid w:val="00F56D63"/>
    <w:rsid w:val="00F609A9"/>
    <w:rsid w:val="00F6206D"/>
    <w:rsid w:val="00F80C99"/>
    <w:rsid w:val="00F867EC"/>
    <w:rsid w:val="00F86A99"/>
    <w:rsid w:val="00F91B2B"/>
    <w:rsid w:val="00FC03CD"/>
    <w:rsid w:val="00FC0646"/>
    <w:rsid w:val="00FC2B46"/>
    <w:rsid w:val="00FC51FE"/>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8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77C073EE-BD3A-48C2-A56F-1458B3ADD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1</TotalTime>
  <Pages>2</Pages>
  <Words>294</Words>
  <Characters>1678</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ECE/TRANS/WP.29/2024/91</dc:title>
  <dc:subject>2415393</dc:subject>
  <dc:creator>Edoardo Gianotti</dc:creator>
  <cp:keywords/>
  <dc:description/>
  <cp:lastModifiedBy>Nadiya Dzyubynska</cp:lastModifiedBy>
  <cp:revision>3</cp:revision>
  <cp:lastPrinted>2024-12-25T22:45:00Z</cp:lastPrinted>
  <dcterms:created xsi:type="dcterms:W3CDTF">2024-12-24T11:10:00Z</dcterms:created>
  <dcterms:modified xsi:type="dcterms:W3CDTF">2024-12-25T22:46:00Z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