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3703" w14:textId="18D5E1A7" w:rsidR="00ED65FF" w:rsidRDefault="00ED65FF" w:rsidP="00ED65FF">
      <w:pPr>
        <w:pStyle w:val="HChG"/>
        <w:ind w:right="1138"/>
      </w:pPr>
      <w:r>
        <w:rPr>
          <w:lang w:eastAsia="en-GB"/>
        </w:rPr>
        <w:tab/>
      </w:r>
      <w:r>
        <w:rPr>
          <w:lang w:eastAsia="en-GB"/>
        </w:rPr>
        <w:tab/>
        <w:t xml:space="preserve">Proposal for </w:t>
      </w:r>
      <w:r w:rsidR="00CA2997">
        <w:rPr>
          <w:lang w:eastAsia="en-GB"/>
        </w:rPr>
        <w:t xml:space="preserve">a </w:t>
      </w:r>
      <w:r>
        <w:t>supplement to the 03 and 04</w:t>
      </w:r>
      <w:r w:rsidRPr="001A507E">
        <w:rPr>
          <w:color w:val="FF0000"/>
        </w:rPr>
        <w:t xml:space="preserve"> </w:t>
      </w:r>
      <w:r w:rsidR="001A507E" w:rsidRPr="001A507E">
        <w:rPr>
          <w:color w:val="FF0000"/>
        </w:rPr>
        <w:t xml:space="preserve">[and 05] </w:t>
      </w:r>
      <w:r>
        <w:t xml:space="preserve">series </w:t>
      </w:r>
      <w:r w:rsidR="00CA2997">
        <w:br/>
      </w:r>
      <w:r>
        <w:t xml:space="preserve">of amendments to UN Regulation No. 79 </w:t>
      </w:r>
      <w:r w:rsidR="00CA2997">
        <w:br/>
      </w:r>
      <w:r>
        <w:t>(Steering equipment)</w:t>
      </w:r>
      <w:r>
        <w:rPr>
          <w:lang w:eastAsia="en-GB"/>
        </w:rPr>
        <w:t xml:space="preserve"> </w:t>
      </w:r>
    </w:p>
    <w:p w14:paraId="79E8FB7C" w14:textId="56EE793C" w:rsidR="001F2CDB" w:rsidRPr="001A60CC" w:rsidRDefault="00EB4339" w:rsidP="001A60CC">
      <w:pPr>
        <w:suppressAutoHyphens/>
        <w:ind w:left="1130" w:right="1134"/>
        <w:jc w:val="both"/>
        <w:rPr>
          <w:color w:val="000000" w:themeColor="text1"/>
        </w:rPr>
      </w:pPr>
      <w:r w:rsidRPr="00186FBB">
        <w:rPr>
          <w:rFonts w:eastAsiaTheme="minorEastAsia"/>
          <w:b/>
          <w:i/>
          <w:iCs/>
          <w:snapToGrid w:val="0"/>
          <w:color w:val="000000" w:themeColor="text1"/>
          <w:lang w:eastAsia="en-US"/>
        </w:rPr>
        <w:tab/>
      </w:r>
      <w:r w:rsidR="00CA2997" w:rsidRPr="00186FBB">
        <w:rPr>
          <w:rFonts w:eastAsiaTheme="minorEastAsia"/>
          <w:i/>
          <w:iCs/>
          <w:snapToGrid w:val="0"/>
          <w:color w:val="000000" w:themeColor="text1"/>
          <w:lang w:eastAsia="en-US"/>
        </w:rPr>
        <w:t xml:space="preserve">Note: </w:t>
      </w:r>
      <w:r w:rsidR="00CA2997" w:rsidRPr="00186FBB">
        <w:rPr>
          <w:rFonts w:eastAsiaTheme="minorEastAsia"/>
          <w:snapToGrid w:val="0"/>
          <w:color w:val="000000" w:themeColor="text1"/>
          <w:lang w:eastAsia="en-US"/>
        </w:rPr>
        <w:t xml:space="preserve">This proposal </w:t>
      </w:r>
      <w:r w:rsidR="00460A8D">
        <w:rPr>
          <w:rFonts w:eastAsiaTheme="minorEastAsia"/>
          <w:snapToGrid w:val="0"/>
          <w:color w:val="000000" w:themeColor="text1"/>
          <w:lang w:eastAsia="en-US"/>
        </w:rPr>
        <w:t xml:space="preserve">is an update to document </w:t>
      </w:r>
      <w:r w:rsidR="00460A8D" w:rsidRPr="00460A8D">
        <w:rPr>
          <w:rFonts w:eastAsiaTheme="minorEastAsia"/>
          <w:snapToGrid w:val="0"/>
          <w:color w:val="000000" w:themeColor="text1"/>
          <w:lang w:eastAsia="en-US"/>
        </w:rPr>
        <w:t>GRVA-24-20</w:t>
      </w:r>
      <w:r w:rsidR="00326C6C">
        <w:rPr>
          <w:rFonts w:eastAsiaTheme="minorEastAsia"/>
          <w:snapToGrid w:val="0"/>
          <w:color w:val="000000" w:themeColor="text1"/>
          <w:lang w:eastAsia="en-US"/>
        </w:rPr>
        <w:t xml:space="preserve"> which aims to clarify the situation with regard to </w:t>
      </w:r>
      <w:r w:rsidR="00E52AAD">
        <w:rPr>
          <w:rFonts w:eastAsiaTheme="minorEastAsia"/>
          <w:snapToGrid w:val="0"/>
          <w:color w:val="000000" w:themeColor="text1"/>
          <w:lang w:eastAsia="en-US"/>
        </w:rPr>
        <w:t>RCP functionalities.</w:t>
      </w:r>
      <w:r w:rsidR="00326C6C">
        <w:rPr>
          <w:rFonts w:eastAsiaTheme="minorEastAsia"/>
          <w:snapToGrid w:val="0"/>
          <w:color w:val="000000" w:themeColor="text1"/>
          <w:lang w:eastAsia="en-US"/>
        </w:rPr>
        <w:t xml:space="preserve"> </w:t>
      </w:r>
      <w:r w:rsidR="001A60CC" w:rsidRPr="00E52AAD">
        <w:rPr>
          <w:color w:val="000000" w:themeColor="text1"/>
        </w:rPr>
        <w:t xml:space="preserve">Modifications </w:t>
      </w:r>
      <w:r w:rsidR="00326C6C" w:rsidRPr="00E52AAD">
        <w:rPr>
          <w:color w:val="000000" w:themeColor="text1"/>
        </w:rPr>
        <w:t xml:space="preserve">compared to </w:t>
      </w:r>
      <w:r w:rsidR="00E52AAD" w:rsidRPr="00E52AAD">
        <w:rPr>
          <w:rFonts w:eastAsiaTheme="minorEastAsia"/>
          <w:snapToGrid w:val="0"/>
          <w:color w:val="000000" w:themeColor="text1"/>
          <w:lang w:eastAsia="en-US"/>
        </w:rPr>
        <w:t>GRVA-24-20</w:t>
      </w:r>
      <w:r w:rsidR="001A60CC" w:rsidRPr="00E52AAD">
        <w:rPr>
          <w:color w:val="000000" w:themeColor="text1"/>
        </w:rPr>
        <w:t xml:space="preserve"> are highlighted in red font.</w:t>
      </w:r>
    </w:p>
    <w:p w14:paraId="14B53F80" w14:textId="690EEC5D" w:rsidR="00EB4339" w:rsidRPr="004E6CD9" w:rsidRDefault="00ED65FF" w:rsidP="00EB4339">
      <w:pPr>
        <w:pStyle w:val="HChG"/>
        <w:ind w:right="522"/>
      </w:pPr>
      <w:r>
        <w:tab/>
      </w:r>
      <w:r w:rsidR="00EB4339" w:rsidRPr="004E6CD9">
        <w:t>I.</w:t>
      </w:r>
      <w:r w:rsidR="00EB4339" w:rsidRPr="004E6CD9">
        <w:tab/>
        <w:t>Proposal</w:t>
      </w:r>
    </w:p>
    <w:p w14:paraId="2CEDE113" w14:textId="0A2EC0DF" w:rsidR="004B131D" w:rsidRDefault="004B131D" w:rsidP="004B131D">
      <w:pPr>
        <w:spacing w:after="120"/>
        <w:ind w:left="567" w:right="1134" w:firstLine="567"/>
        <w:rPr>
          <w:i/>
          <w:iCs/>
        </w:rPr>
      </w:pPr>
      <w:r>
        <w:rPr>
          <w:i/>
          <w:iCs/>
        </w:rPr>
        <w:t xml:space="preserve">Paragraph 4.4.3., </w:t>
      </w:r>
      <w:r>
        <w:t>amend to read:</w:t>
      </w:r>
    </w:p>
    <w:p w14:paraId="3CE057D7" w14:textId="77777777" w:rsidR="004B131D" w:rsidRDefault="004B131D" w:rsidP="004B131D">
      <w:pPr>
        <w:pStyle w:val="para0"/>
      </w:pPr>
      <w:r>
        <w:t>“4.4.3.</w:t>
      </w:r>
      <w:r>
        <w:tab/>
        <w:t>a letter “X” preceding the approval number in the case when either:</w:t>
      </w:r>
    </w:p>
    <w:p w14:paraId="0596A6F4" w14:textId="0407FB24" w:rsidR="004B131D" w:rsidRDefault="004B131D" w:rsidP="004B131D">
      <w:pPr>
        <w:pStyle w:val="para0"/>
        <w:ind w:firstLine="0"/>
      </w:pPr>
      <w:r>
        <w:t>(a)</w:t>
      </w:r>
      <w:r>
        <w:tab/>
        <w:t>ACSF of Category</w:t>
      </w:r>
      <w:r w:rsidR="00324065">
        <w:t xml:space="preserve"> </w:t>
      </w:r>
      <w:r w:rsidR="00324065" w:rsidRPr="00324065">
        <w:rPr>
          <w:b/>
        </w:rPr>
        <w:t>A,</w:t>
      </w:r>
      <w:r>
        <w:t xml:space="preserve"> B1 or C have been exempted from the technical requirements of this UN Regulation according to paragraph </w:t>
      </w:r>
      <w:r w:rsidR="006345B5" w:rsidRPr="002A0839">
        <w:rPr>
          <w:b/>
          <w:bCs/>
        </w:rPr>
        <w:t>5.6.1,</w:t>
      </w:r>
      <w:r w:rsidR="006345B5">
        <w:t xml:space="preserve"> </w:t>
      </w:r>
      <w:r>
        <w:t xml:space="preserve">5.6.2. and/or 5.6.4. </w:t>
      </w:r>
    </w:p>
    <w:p w14:paraId="7F8F9BEE" w14:textId="717D1EE8" w:rsidR="00EB4339" w:rsidRDefault="004B131D" w:rsidP="004B131D">
      <w:pPr>
        <w:pStyle w:val="para0"/>
        <w:ind w:firstLine="0"/>
        <w:rPr>
          <w:lang w:val="en-US"/>
        </w:rPr>
      </w:pPr>
      <w:r>
        <w:t>(b)</w:t>
      </w:r>
      <w:r>
        <w:tab/>
        <w:t xml:space="preserve">The steering system exhibits </w:t>
      </w:r>
      <w:r>
        <w:rPr>
          <w:lang w:val="en-US"/>
        </w:rPr>
        <w:t xml:space="preserve">functionality defined as ACSF of Category </w:t>
      </w:r>
      <w:r w:rsidRPr="004B131D">
        <w:rPr>
          <w:lang w:val="en-US"/>
        </w:rPr>
        <w:t>B2, D or E.</w:t>
      </w:r>
      <w:r>
        <w:rPr>
          <w:lang w:val="en-US"/>
        </w:rPr>
        <w:t>”</w:t>
      </w:r>
    </w:p>
    <w:p w14:paraId="6817A011" w14:textId="6598E3FC" w:rsidR="00EB4339" w:rsidRDefault="00EB4339" w:rsidP="00EB4339">
      <w:pPr>
        <w:rPr>
          <w:lang w:val="en-US" w:eastAsia="en-US"/>
        </w:rPr>
      </w:pPr>
    </w:p>
    <w:p w14:paraId="2567B94B" w14:textId="4E326865" w:rsidR="00EB4339" w:rsidRDefault="00EB4339" w:rsidP="00EB4339">
      <w:pPr>
        <w:spacing w:after="120"/>
        <w:ind w:left="567" w:right="1134" w:firstLine="567"/>
        <w:rPr>
          <w:i/>
          <w:iCs/>
        </w:rPr>
      </w:pPr>
      <w:r>
        <w:rPr>
          <w:i/>
          <w:iCs/>
        </w:rPr>
        <w:t>Paragraph 5.6.</w:t>
      </w:r>
      <w:r w:rsidR="00497612">
        <w:rPr>
          <w:i/>
          <w:iCs/>
        </w:rPr>
        <w:t>1</w:t>
      </w:r>
      <w:r>
        <w:rPr>
          <w:i/>
          <w:iCs/>
        </w:rPr>
        <w:t xml:space="preserve">., </w:t>
      </w:r>
      <w:r>
        <w:t>amend to read:</w:t>
      </w:r>
    </w:p>
    <w:p w14:paraId="40D8F376" w14:textId="125A92C7" w:rsidR="0031538F" w:rsidRPr="006345B5" w:rsidRDefault="00EB4339" w:rsidP="0093266E">
      <w:pPr>
        <w:spacing w:after="120"/>
        <w:ind w:left="2268" w:right="1134" w:hanging="1134"/>
        <w:rPr>
          <w:lang w:val="en-US"/>
        </w:rPr>
      </w:pPr>
      <w:r>
        <w:t>“5.6.</w:t>
      </w:r>
      <w:r w:rsidR="0031538F">
        <w:t>1</w:t>
      </w:r>
      <w:r>
        <w:t>.</w:t>
      </w:r>
      <w:r>
        <w:tab/>
      </w:r>
      <w:r w:rsidRPr="00A8357C">
        <w:t xml:space="preserve">Special Provisions for ACSF of Category </w:t>
      </w:r>
      <w:r w:rsidR="0031538F">
        <w:t>A</w:t>
      </w:r>
      <w:r w:rsidRPr="006345B5">
        <w:rPr>
          <w:lang w:val="en-US"/>
        </w:rPr>
        <w:tab/>
      </w:r>
    </w:p>
    <w:p w14:paraId="75A20B78" w14:textId="5E00DF84" w:rsidR="0031538F" w:rsidRPr="0093266E" w:rsidRDefault="0031538F" w:rsidP="0031538F">
      <w:pPr>
        <w:spacing w:after="120"/>
        <w:ind w:left="2268" w:right="1134"/>
        <w:rPr>
          <w:bCs/>
          <w:strike/>
        </w:rPr>
      </w:pPr>
      <w:r w:rsidRPr="0093266E">
        <w:rPr>
          <w:bCs/>
          <w:strike/>
          <w:sz w:val="19"/>
          <w:szCs w:val="19"/>
        </w:rPr>
        <w:t>Any ACSF of Category A shall fulfil the following requirements.</w:t>
      </w:r>
    </w:p>
    <w:p w14:paraId="7C3D5C52" w14:textId="36B34BD3" w:rsidR="00EB4339" w:rsidRPr="0031538F" w:rsidRDefault="00EB4339" w:rsidP="0031538F">
      <w:pPr>
        <w:spacing w:after="120"/>
        <w:ind w:left="2268" w:right="1134"/>
        <w:rPr>
          <w:b/>
        </w:rPr>
      </w:pPr>
      <w:r w:rsidRPr="004D4638">
        <w:rPr>
          <w:b/>
          <w:strike/>
          <w:color w:val="FF0000"/>
          <w:lang w:val="en-US"/>
        </w:rPr>
        <w:t>Vehicles equipped with an</w:t>
      </w:r>
      <w:r w:rsidR="006307B6">
        <w:rPr>
          <w:b/>
        </w:rPr>
        <w:t xml:space="preserve"> </w:t>
      </w:r>
      <w:r w:rsidR="004D4638" w:rsidRPr="004D4638">
        <w:rPr>
          <w:b/>
          <w:color w:val="FF0000"/>
        </w:rPr>
        <w:t xml:space="preserve">Any </w:t>
      </w:r>
      <w:r w:rsidRPr="0031538F">
        <w:rPr>
          <w:b/>
        </w:rPr>
        <w:t xml:space="preserve">ACSF of Category </w:t>
      </w:r>
      <w:r w:rsidR="0031538F" w:rsidRPr="0031538F">
        <w:rPr>
          <w:b/>
        </w:rPr>
        <w:t>A</w:t>
      </w:r>
      <w:r w:rsidRPr="0031538F">
        <w:rPr>
          <w:b/>
        </w:rPr>
        <w:t xml:space="preserve"> shall fulfil the following requirements unless the vehicle is equipped with a DCAS which:</w:t>
      </w:r>
    </w:p>
    <w:p w14:paraId="590BAD73" w14:textId="77777777" w:rsidR="00EB4339" w:rsidRPr="0031538F" w:rsidRDefault="00EB4339" w:rsidP="00EB4339">
      <w:pPr>
        <w:spacing w:after="120"/>
        <w:ind w:left="2835" w:right="1134" w:hanging="567"/>
        <w:rPr>
          <w:b/>
        </w:rPr>
      </w:pPr>
      <w:r w:rsidRPr="0031538F">
        <w:rPr>
          <w:b/>
        </w:rPr>
        <w:t>(a)</w:t>
      </w:r>
      <w:r w:rsidRPr="0031538F">
        <w:rPr>
          <w:b/>
        </w:rPr>
        <w:tab/>
        <w:t>Incorporates this function, and</w:t>
      </w:r>
    </w:p>
    <w:p w14:paraId="3009F1C4" w14:textId="77777777" w:rsidR="00EB4339" w:rsidRPr="0031538F" w:rsidRDefault="00EB4339" w:rsidP="00EB4339">
      <w:pPr>
        <w:spacing w:after="120"/>
        <w:ind w:left="2835" w:right="1134" w:hanging="567"/>
        <w:rPr>
          <w:b/>
        </w:rPr>
      </w:pPr>
      <w:r w:rsidRPr="0031538F">
        <w:rPr>
          <w:b/>
        </w:rPr>
        <w:t>(b)</w:t>
      </w:r>
      <w:r w:rsidRPr="0031538F">
        <w:rPr>
          <w:b/>
        </w:rPr>
        <w:tab/>
        <w:t>Allows the activation of this function only during operation and as part of DCAS, and</w:t>
      </w:r>
    </w:p>
    <w:p w14:paraId="088CAFA4" w14:textId="56A12682" w:rsidR="00EB4339" w:rsidRPr="0031538F" w:rsidRDefault="00EB4339" w:rsidP="00EB4339">
      <w:pPr>
        <w:spacing w:after="120"/>
        <w:ind w:left="2835" w:right="1134" w:hanging="567"/>
        <w:rPr>
          <w:b/>
          <w:i/>
          <w:iCs/>
        </w:rPr>
      </w:pPr>
      <w:r w:rsidRPr="0031538F">
        <w:rPr>
          <w:b/>
        </w:rPr>
        <w:t>(c)</w:t>
      </w:r>
      <w:r w:rsidRPr="0031538F">
        <w:rPr>
          <w:b/>
        </w:rPr>
        <w:tab/>
        <w:t xml:space="preserve">Complies with the technical requirements of </w:t>
      </w:r>
      <w:r w:rsidRPr="0031538F">
        <w:rPr>
          <w:b/>
          <w:bCs/>
        </w:rPr>
        <w:t>the original version or later series of amendments of</w:t>
      </w:r>
      <w:r w:rsidRPr="0031538F">
        <w:rPr>
          <w:b/>
        </w:rPr>
        <w:t xml:space="preserve"> UN Regulation No. 171.</w:t>
      </w:r>
      <w:r w:rsidRPr="0031538F">
        <w:rPr>
          <w:b/>
          <w:vertAlign w:val="superscript"/>
        </w:rPr>
        <w:t>8</w:t>
      </w:r>
      <w:r w:rsidRPr="0031538F">
        <w:t>”</w:t>
      </w:r>
    </w:p>
    <w:p w14:paraId="7DCD7036" w14:textId="1412E3E5" w:rsidR="00ED65FF" w:rsidRPr="004E6CD9" w:rsidRDefault="00ED65FF" w:rsidP="00ED65FF">
      <w:pPr>
        <w:pStyle w:val="HChG"/>
        <w:ind w:right="522"/>
      </w:pPr>
      <w:r>
        <w:rPr>
          <w:lang w:eastAsia="en-US"/>
        </w:rPr>
        <w:tab/>
      </w:r>
      <w:r>
        <w:t>II.</w:t>
      </w:r>
      <w:r>
        <w:tab/>
        <w:t>Justification</w:t>
      </w:r>
    </w:p>
    <w:p w14:paraId="52CB2EC2" w14:textId="357D624A" w:rsidR="00E07609" w:rsidRDefault="009B433B" w:rsidP="00DC7CB2">
      <w:pPr>
        <w:pStyle w:val="SingleTxtG"/>
        <w:numPr>
          <w:ilvl w:val="0"/>
          <w:numId w:val="24"/>
        </w:numPr>
        <w:tabs>
          <w:tab w:val="clear" w:pos="1701"/>
        </w:tabs>
      </w:pPr>
      <w:r>
        <w:t xml:space="preserve">This proposal aims to </w:t>
      </w:r>
      <w:r w:rsidR="00966380">
        <w:t>extend</w:t>
      </w:r>
      <w:r w:rsidR="0028073C">
        <w:t xml:space="preserve"> the</w:t>
      </w:r>
      <w:r>
        <w:t xml:space="preserve"> </w:t>
      </w:r>
      <w:r w:rsidR="004B745A">
        <w:t>provisions</w:t>
      </w:r>
      <w:r>
        <w:t xml:space="preserve"> </w:t>
      </w:r>
      <w:r w:rsidR="004B745A">
        <w:t>for</w:t>
      </w:r>
      <w:r>
        <w:t xml:space="preserve"> the ACSF </w:t>
      </w:r>
      <w:r w:rsidR="00DC7CB2">
        <w:t>categories</w:t>
      </w:r>
      <w:r>
        <w:t xml:space="preserve"> B1, </w:t>
      </w:r>
      <w:r w:rsidR="00DC7CB2">
        <w:t xml:space="preserve">B2, </w:t>
      </w:r>
      <w:r>
        <w:t>C, D, E</w:t>
      </w:r>
      <w:r w:rsidR="0028073C">
        <w:t xml:space="preserve"> clarifying the scope between this Regulation and UN Regulation No.</w:t>
      </w:r>
      <w:r w:rsidR="004B745A">
        <w:t> </w:t>
      </w:r>
      <w:r w:rsidR="0028073C">
        <w:t>171 also for the ACSF category A.</w:t>
      </w:r>
    </w:p>
    <w:p w14:paraId="3E84B436" w14:textId="7E0239D8" w:rsidR="00E07609" w:rsidRDefault="00E07609" w:rsidP="00DC7CB2">
      <w:pPr>
        <w:pStyle w:val="SingleTxtG"/>
        <w:numPr>
          <w:ilvl w:val="0"/>
          <w:numId w:val="24"/>
        </w:numPr>
        <w:tabs>
          <w:tab w:val="clear" w:pos="1701"/>
        </w:tabs>
      </w:pPr>
      <w:r>
        <w:t>Th</w:t>
      </w:r>
      <w:r w:rsidR="004B745A">
        <w:t>e proposed</w:t>
      </w:r>
      <w:r>
        <w:t xml:space="preserve"> amendment</w:t>
      </w:r>
      <w:r w:rsidR="004B745A">
        <w:t>s</w:t>
      </w:r>
      <w:r>
        <w:t xml:space="preserve"> become necessary </w:t>
      </w:r>
      <w:r w:rsidR="00BC3F07">
        <w:t>as UN Regulation No.</w:t>
      </w:r>
      <w:r w:rsidR="009F58A9">
        <w:t> </w:t>
      </w:r>
      <w:r w:rsidR="00BC3F07">
        <w:t xml:space="preserve">171 fundamentally provides the possibility to type-approve a </w:t>
      </w:r>
      <w:r w:rsidR="004F2D84">
        <w:t xml:space="preserve">DCAS system </w:t>
      </w:r>
      <w:r w:rsidR="00CB7450">
        <w:t>with</w:t>
      </w:r>
      <w:r w:rsidR="004F2D84">
        <w:t xml:space="preserve"> parking capabilities</w:t>
      </w:r>
      <w:r w:rsidR="00CB7450">
        <w:t xml:space="preserve"> without complying with </w:t>
      </w:r>
      <w:r w:rsidR="004F2D84">
        <w:t xml:space="preserve">specific requirements </w:t>
      </w:r>
      <w:r w:rsidR="00CB7450">
        <w:t>in this regard. Therefore, th</w:t>
      </w:r>
      <w:r w:rsidR="009F58A9">
        <w:t>ese</w:t>
      </w:r>
      <w:r w:rsidR="00CB7450">
        <w:t xml:space="preserve"> amendment</w:t>
      </w:r>
      <w:r w:rsidR="009F58A9">
        <w:t>s</w:t>
      </w:r>
      <w:r w:rsidR="00CB7450">
        <w:t xml:space="preserve"> clarify that UN Regulation No.</w:t>
      </w:r>
      <w:r w:rsidR="009F58A9">
        <w:t> </w:t>
      </w:r>
      <w:r w:rsidR="00CB7450">
        <w:t>171 shall always be applied for parking capabilities exceeding the specific requirement</w:t>
      </w:r>
      <w:r w:rsidR="009F58A9">
        <w:t>s</w:t>
      </w:r>
      <w:r w:rsidR="00CB7450">
        <w:t xml:space="preserve"> defined in this Regulation (e.g.</w:t>
      </w:r>
      <w:r w:rsidR="009F58A9">
        <w:t>,</w:t>
      </w:r>
      <w:r w:rsidR="00CB7450">
        <w:t xml:space="preserve"> for parking applications with a higher speed range than 10 km/h). </w:t>
      </w:r>
    </w:p>
    <w:p w14:paraId="06DA55B1" w14:textId="558D340E" w:rsidR="00266426" w:rsidRDefault="00266426" w:rsidP="00DC7CB2">
      <w:pPr>
        <w:pStyle w:val="SingleTxtG"/>
        <w:numPr>
          <w:ilvl w:val="0"/>
          <w:numId w:val="24"/>
        </w:numPr>
        <w:tabs>
          <w:tab w:val="clear" w:pos="1701"/>
        </w:tabs>
      </w:pPr>
      <w:r>
        <w:t>As</w:t>
      </w:r>
      <w:r w:rsidR="00E07609">
        <w:t xml:space="preserve"> UN Regulation No.</w:t>
      </w:r>
      <w:r>
        <w:t> </w:t>
      </w:r>
      <w:r w:rsidR="00E07609">
        <w:t xml:space="preserve">171 contains specific provisions </w:t>
      </w:r>
      <w:r w:rsidR="00E07609" w:rsidRPr="004D4638">
        <w:rPr>
          <w:strike/>
          <w:color w:val="FF0000"/>
        </w:rPr>
        <w:t xml:space="preserve">for </w:t>
      </w:r>
      <w:r w:rsidRPr="004D4638">
        <w:rPr>
          <w:strike/>
          <w:color w:val="FF0000"/>
        </w:rPr>
        <w:t xml:space="preserve">assistance </w:t>
      </w:r>
      <w:r w:rsidR="00E06558" w:rsidRPr="004D4638">
        <w:rPr>
          <w:strike/>
          <w:color w:val="FF0000"/>
        </w:rPr>
        <w:t>with</w:t>
      </w:r>
      <w:r w:rsidRPr="004D4638">
        <w:rPr>
          <w:strike/>
          <w:color w:val="FF0000"/>
        </w:rPr>
        <w:t xml:space="preserve"> parking manoeuvring</w:t>
      </w:r>
      <w:r w:rsidR="004D4638" w:rsidRPr="004D4638">
        <w:rPr>
          <w:color w:val="FF0000"/>
        </w:rPr>
        <w:t xml:space="preserve"> requiring the driver to be in the driver’s sea</w:t>
      </w:r>
      <w:r w:rsidR="004D4638" w:rsidRPr="00323CC6">
        <w:rPr>
          <w:color w:val="FF0000"/>
        </w:rPr>
        <w:t>t</w:t>
      </w:r>
      <w:r w:rsidRPr="00323CC6">
        <w:rPr>
          <w:color w:val="FF0000"/>
        </w:rPr>
        <w:t xml:space="preserve"> </w:t>
      </w:r>
      <w:r w:rsidR="001F2CDB" w:rsidRPr="00323CC6">
        <w:rPr>
          <w:color w:val="FF0000"/>
        </w:rPr>
        <w:t>in order for a feature to be activated</w:t>
      </w:r>
      <w:r w:rsidR="001F2CDB">
        <w:t xml:space="preserve"> </w:t>
      </w:r>
      <w:r>
        <w:t>(</w:t>
      </w:r>
      <w:r w:rsidRPr="004D4638">
        <w:rPr>
          <w:strike/>
          <w:color w:val="FF0000"/>
        </w:rPr>
        <w:t>e.g.,</w:t>
      </w:r>
      <w:r>
        <w:t xml:space="preserve"> 5.5.3.2.3.) </w:t>
      </w:r>
      <w:r w:rsidRPr="000534DE">
        <w:rPr>
          <w:strike/>
          <w:color w:val="FF0000"/>
        </w:rPr>
        <w:t>compared to this Regulation, such system capabilities as</w:t>
      </w:r>
      <w:r>
        <w:t xml:space="preserve"> Remote-Controlled Parking (RCP) functionalities remain within the scope of the UN Regulation No. 79 and cannot be type-approved </w:t>
      </w:r>
      <w:r w:rsidR="00E06558">
        <w:t>under</w:t>
      </w:r>
      <w:r>
        <w:t xml:space="preserve"> UN Regulation No. 171.</w:t>
      </w:r>
    </w:p>
    <w:p w14:paraId="40543356" w14:textId="3187B41B" w:rsidR="004B131D" w:rsidRPr="00ED65FF" w:rsidRDefault="00266426" w:rsidP="00266426">
      <w:pPr>
        <w:pStyle w:val="SingleTxtG"/>
        <w:tabs>
          <w:tab w:val="clear" w:pos="1701"/>
        </w:tabs>
        <w:jc w:val="center"/>
        <w:rPr>
          <w:lang w:eastAsia="en-US"/>
        </w:rPr>
      </w:pPr>
      <w:r>
        <w:t>_____________</w:t>
      </w:r>
    </w:p>
    <w:sectPr w:rsidR="004B131D" w:rsidRPr="00ED65FF" w:rsidSect="002664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endnotePr>
        <w:numFmt w:val="decimal"/>
      </w:endnotePr>
      <w:pgSz w:w="11907" w:h="16840" w:code="9"/>
      <w:pgMar w:top="1418" w:right="1134" w:bottom="426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0ADF" w14:textId="77777777" w:rsidR="001B22A6" w:rsidRDefault="001B22A6"/>
  </w:endnote>
  <w:endnote w:type="continuationSeparator" w:id="0">
    <w:p w14:paraId="70047DD2" w14:textId="77777777" w:rsidR="001B22A6" w:rsidRDefault="001B22A6"/>
  </w:endnote>
  <w:endnote w:type="continuationNotice" w:id="1">
    <w:p w14:paraId="16F29E0C" w14:textId="77777777" w:rsidR="001B22A6" w:rsidRDefault="001B2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1839" w14:textId="77777777" w:rsidR="001B22A6" w:rsidRPr="000B175B" w:rsidRDefault="001B22A6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F19B240" w14:textId="77777777" w:rsidR="001B22A6" w:rsidRPr="00FC68B7" w:rsidRDefault="001B22A6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CCA02AE" w14:textId="77777777" w:rsidR="001B22A6" w:rsidRDefault="001B2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F2A4" w14:textId="12DA57C3" w:rsidR="00DA4201" w:rsidRPr="00DA4201" w:rsidRDefault="00DA4201">
    <w:pPr>
      <w:pStyle w:val="Header"/>
    </w:pPr>
    <w:r>
      <w:t>ECE/TRANS/WP.29/202</w:t>
    </w:r>
    <w:r w:rsidR="007B605E">
      <w:t>5</w:t>
    </w:r>
    <w:r>
      <w:t>/</w:t>
    </w:r>
    <w:r w:rsidR="005A0727">
      <w:t>1</w:t>
    </w:r>
    <w:r w:rsidR="00EB0DD2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4FCD" w14:textId="199AD065" w:rsidR="00DA4201" w:rsidRPr="00DA4201" w:rsidRDefault="00DA4201" w:rsidP="00DA4201">
    <w:pPr>
      <w:pStyle w:val="Header"/>
      <w:jc w:val="right"/>
    </w:pPr>
    <w:r>
      <w:t>ECE/TRANS/WP.29/202</w:t>
    </w:r>
    <w:r w:rsidR="00FE44BF">
      <w:t>5</w:t>
    </w:r>
    <w:r>
      <w:t>/</w:t>
    </w:r>
    <w:r w:rsidR="00EB0DD2">
      <w:t>1</w:t>
    </w:r>
    <w:r w:rsidR="00FE44BF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4815"/>
    </w:tblGrid>
    <w:tr w:rsidR="00CA2997" w:rsidRPr="00CA2997" w14:paraId="328F8F96" w14:textId="77777777" w:rsidTr="00F8764D">
      <w:tc>
        <w:tcPr>
          <w:tcW w:w="6379" w:type="dxa"/>
        </w:tcPr>
        <w:p w14:paraId="752BA680" w14:textId="7A385C78" w:rsidR="00CA2997" w:rsidRPr="00CA2997" w:rsidRDefault="00CA2997" w:rsidP="00CA2997">
          <w:pPr>
            <w:suppressAutoHyphens w:val="0"/>
            <w:adjustRightInd w:val="0"/>
            <w:snapToGrid w:val="0"/>
            <w:spacing w:line="240" w:lineRule="auto"/>
            <w:rPr>
              <w:rFonts w:eastAsiaTheme="minorHAnsi"/>
              <w:color w:val="000000" w:themeColor="text1"/>
              <w:lang w:val="en-US"/>
            </w:rPr>
          </w:pPr>
          <w:r w:rsidRPr="00CA2997">
            <w:rPr>
              <w:rFonts w:eastAsiaTheme="minorHAnsi"/>
              <w:color w:val="000000" w:themeColor="text1"/>
            </w:rPr>
            <w:t xml:space="preserve">Submitted by the </w:t>
          </w:r>
          <w:r w:rsidR="00460A8D">
            <w:rPr>
              <w:rFonts w:eastAsiaTheme="minorHAnsi"/>
              <w:color w:val="000000" w:themeColor="text1"/>
              <w:lang w:val="en-US"/>
            </w:rPr>
            <w:t>expert from the United Kingdom</w:t>
          </w:r>
        </w:p>
        <w:p w14:paraId="269F6720" w14:textId="77777777" w:rsidR="00CA2997" w:rsidRPr="00CA2997" w:rsidRDefault="00CA2997" w:rsidP="00CA2997">
          <w:pPr>
            <w:suppressAutoHyphens w:val="0"/>
            <w:adjustRightInd w:val="0"/>
            <w:snapToGrid w:val="0"/>
            <w:spacing w:line="240" w:lineRule="auto"/>
            <w:jc w:val="right"/>
            <w:rPr>
              <w:rFonts w:eastAsiaTheme="minorHAnsi"/>
              <w:color w:val="000000" w:themeColor="text1"/>
            </w:rPr>
          </w:pPr>
        </w:p>
      </w:tc>
      <w:tc>
        <w:tcPr>
          <w:tcW w:w="4815" w:type="dxa"/>
        </w:tcPr>
        <w:p w14:paraId="4C43FC62" w14:textId="2F6FDB84" w:rsidR="00CA2997" w:rsidRPr="00CA2997" w:rsidRDefault="00CA2997" w:rsidP="00CA2997">
          <w:pPr>
            <w:suppressAutoHyphens w:val="0"/>
            <w:adjustRightInd w:val="0"/>
            <w:snapToGrid w:val="0"/>
            <w:spacing w:line="240" w:lineRule="auto"/>
            <w:rPr>
              <w:rFonts w:eastAsiaTheme="minorHAnsi"/>
              <w:color w:val="000000" w:themeColor="text1"/>
              <w:lang w:val="en-US"/>
            </w:rPr>
          </w:pPr>
          <w:r w:rsidRPr="00CA2997">
            <w:rPr>
              <w:rFonts w:eastAsiaTheme="minorHAnsi"/>
              <w:color w:val="000000" w:themeColor="text1"/>
              <w:u w:val="single"/>
              <w:lang w:val="en-US"/>
            </w:rPr>
            <w:t>Informal document</w:t>
          </w:r>
          <w:r w:rsidRPr="00CA2997">
            <w:rPr>
              <w:rFonts w:eastAsiaTheme="minorHAnsi"/>
              <w:color w:val="000000" w:themeColor="text1"/>
              <w:lang w:val="en-US"/>
            </w:rPr>
            <w:t xml:space="preserve"> </w:t>
          </w:r>
          <w:r w:rsidRPr="00CA2997">
            <w:rPr>
              <w:rFonts w:eastAsiaTheme="minorHAnsi"/>
              <w:b/>
              <w:bCs/>
              <w:color w:val="000000" w:themeColor="text1"/>
              <w:lang w:val="en-US"/>
            </w:rPr>
            <w:t>GRVA-24-</w:t>
          </w:r>
          <w:r w:rsidR="00D31A2C">
            <w:rPr>
              <w:rFonts w:eastAsiaTheme="minorHAnsi"/>
              <w:b/>
              <w:bCs/>
              <w:color w:val="000000" w:themeColor="text1"/>
              <w:lang w:val="en-US"/>
            </w:rPr>
            <w:t>40</w:t>
          </w:r>
        </w:p>
        <w:p w14:paraId="6736198F" w14:textId="2C61057C" w:rsidR="00CA2997" w:rsidRPr="00CA2997" w:rsidRDefault="00CA2997" w:rsidP="00CA2997">
          <w:pPr>
            <w:suppressAutoHyphens w:val="0"/>
            <w:adjustRightInd w:val="0"/>
            <w:snapToGrid w:val="0"/>
            <w:spacing w:line="240" w:lineRule="auto"/>
            <w:ind w:right="-292"/>
            <w:rPr>
              <w:lang w:val="en-US"/>
            </w:rPr>
          </w:pPr>
          <w:r w:rsidRPr="00CA2997">
            <w:rPr>
              <w:lang w:val="en-US"/>
            </w:rPr>
            <w:t>24th GRVA, 19-23 January 202</w:t>
          </w:r>
          <w:r>
            <w:rPr>
              <w:lang w:val="en-US"/>
            </w:rPr>
            <w:t>6</w:t>
          </w:r>
        </w:p>
        <w:p w14:paraId="217F7A9D" w14:textId="27FA596A" w:rsidR="00CA2997" w:rsidRPr="00CA2997" w:rsidRDefault="00CA2997" w:rsidP="00CA2997">
          <w:pPr>
            <w:tabs>
              <w:tab w:val="center" w:pos="2556"/>
            </w:tabs>
            <w:suppressAutoHyphens w:val="0"/>
            <w:adjustRightInd w:val="0"/>
            <w:snapToGrid w:val="0"/>
            <w:spacing w:line="240" w:lineRule="auto"/>
            <w:ind w:left="5" w:right="-292"/>
            <w:rPr>
              <w:rFonts w:eastAsiaTheme="minorHAnsi"/>
              <w:color w:val="000000" w:themeColor="text1"/>
            </w:rPr>
          </w:pPr>
          <w:r w:rsidRPr="00CA2997">
            <w:rPr>
              <w:rFonts w:eastAsiaTheme="minorHAnsi"/>
            </w:rPr>
            <w:t xml:space="preserve">Provisional agenda item </w:t>
          </w:r>
          <w:r>
            <w:rPr>
              <w:rFonts w:eastAsiaTheme="minorHAnsi"/>
            </w:rPr>
            <w:t>6</w:t>
          </w:r>
          <w:r w:rsidRPr="00CA2997">
            <w:rPr>
              <w:rFonts w:eastAsiaTheme="minorHAnsi"/>
            </w:rPr>
            <w:t xml:space="preserve"> (</w:t>
          </w:r>
          <w:r>
            <w:rPr>
              <w:rFonts w:eastAsiaTheme="minorHAnsi"/>
            </w:rPr>
            <w:t>a</w:t>
          </w:r>
          <w:r w:rsidRPr="00CA2997">
            <w:rPr>
              <w:rFonts w:eastAsiaTheme="minorHAnsi"/>
            </w:rPr>
            <w:t>)</w:t>
          </w:r>
        </w:p>
      </w:tc>
    </w:tr>
  </w:tbl>
  <w:p w14:paraId="3F3F2999" w14:textId="77777777" w:rsidR="00CA2997" w:rsidRDefault="00CA2997" w:rsidP="00CA299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</w:lvl>
    <w:lvl w:ilvl="1" w:tplc="08090019">
      <w:start w:val="1"/>
      <w:numFmt w:val="lowerLetter"/>
      <w:lvlText w:val="%2."/>
      <w:lvlJc w:val="left"/>
      <w:pPr>
        <w:ind w:left="3348" w:hanging="360"/>
      </w:pPr>
    </w:lvl>
    <w:lvl w:ilvl="2" w:tplc="0809001B">
      <w:start w:val="1"/>
      <w:numFmt w:val="lowerRoman"/>
      <w:lvlText w:val="%3."/>
      <w:lvlJc w:val="right"/>
      <w:pPr>
        <w:ind w:left="4068" w:hanging="180"/>
      </w:pPr>
    </w:lvl>
    <w:lvl w:ilvl="3" w:tplc="0809000F">
      <w:start w:val="1"/>
      <w:numFmt w:val="decimal"/>
      <w:lvlText w:val="%4."/>
      <w:lvlJc w:val="left"/>
      <w:pPr>
        <w:ind w:left="4788" w:hanging="360"/>
      </w:pPr>
    </w:lvl>
    <w:lvl w:ilvl="4" w:tplc="08090019">
      <w:start w:val="1"/>
      <w:numFmt w:val="lowerLetter"/>
      <w:lvlText w:val="%5."/>
      <w:lvlJc w:val="left"/>
      <w:pPr>
        <w:ind w:left="5508" w:hanging="360"/>
      </w:pPr>
    </w:lvl>
    <w:lvl w:ilvl="5" w:tplc="0809001B">
      <w:start w:val="1"/>
      <w:numFmt w:val="lowerRoman"/>
      <w:lvlText w:val="%6."/>
      <w:lvlJc w:val="right"/>
      <w:pPr>
        <w:ind w:left="6228" w:hanging="180"/>
      </w:pPr>
    </w:lvl>
    <w:lvl w:ilvl="6" w:tplc="0809000F">
      <w:start w:val="1"/>
      <w:numFmt w:val="decimal"/>
      <w:lvlText w:val="%7."/>
      <w:lvlJc w:val="left"/>
      <w:pPr>
        <w:ind w:left="6948" w:hanging="360"/>
      </w:pPr>
    </w:lvl>
    <w:lvl w:ilvl="7" w:tplc="08090019">
      <w:start w:val="1"/>
      <w:numFmt w:val="lowerLetter"/>
      <w:lvlText w:val="%8."/>
      <w:lvlJc w:val="left"/>
      <w:pPr>
        <w:ind w:left="7668" w:hanging="360"/>
      </w:pPr>
    </w:lvl>
    <w:lvl w:ilvl="8" w:tplc="0809001B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F65FC"/>
    <w:multiLevelType w:val="hybridMultilevel"/>
    <w:tmpl w:val="07E2E268"/>
    <w:lvl w:ilvl="0" w:tplc="8FE256D2">
      <w:start w:val="1"/>
      <w:numFmt w:val="decimal"/>
      <w:lvlText w:val="%1."/>
      <w:lvlJc w:val="left"/>
      <w:pPr>
        <w:ind w:left="2259" w:hanging="11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254705">
    <w:abstractNumId w:val="1"/>
  </w:num>
  <w:num w:numId="2" w16cid:durableId="580026021">
    <w:abstractNumId w:val="0"/>
  </w:num>
  <w:num w:numId="3" w16cid:durableId="2093889654">
    <w:abstractNumId w:val="2"/>
  </w:num>
  <w:num w:numId="4" w16cid:durableId="2129354003">
    <w:abstractNumId w:val="3"/>
  </w:num>
  <w:num w:numId="5" w16cid:durableId="1205556820">
    <w:abstractNumId w:val="8"/>
  </w:num>
  <w:num w:numId="6" w16cid:durableId="1711219228">
    <w:abstractNumId w:val="9"/>
  </w:num>
  <w:num w:numId="7" w16cid:durableId="39061837">
    <w:abstractNumId w:val="7"/>
  </w:num>
  <w:num w:numId="8" w16cid:durableId="1890990689">
    <w:abstractNumId w:val="6"/>
  </w:num>
  <w:num w:numId="9" w16cid:durableId="1005519836">
    <w:abstractNumId w:val="5"/>
  </w:num>
  <w:num w:numId="10" w16cid:durableId="1181628681">
    <w:abstractNumId w:val="4"/>
  </w:num>
  <w:num w:numId="11" w16cid:durableId="807669148">
    <w:abstractNumId w:val="17"/>
  </w:num>
  <w:num w:numId="12" w16cid:durableId="1857160002">
    <w:abstractNumId w:val="16"/>
  </w:num>
  <w:num w:numId="13" w16cid:durableId="1847014739">
    <w:abstractNumId w:val="10"/>
  </w:num>
  <w:num w:numId="14" w16cid:durableId="195655477">
    <w:abstractNumId w:val="14"/>
  </w:num>
  <w:num w:numId="15" w16cid:durableId="951522143">
    <w:abstractNumId w:val="18"/>
  </w:num>
  <w:num w:numId="16" w16cid:durableId="249312984">
    <w:abstractNumId w:val="15"/>
  </w:num>
  <w:num w:numId="17" w16cid:durableId="2024894100">
    <w:abstractNumId w:val="20"/>
  </w:num>
  <w:num w:numId="18" w16cid:durableId="1257908665">
    <w:abstractNumId w:val="23"/>
  </w:num>
  <w:num w:numId="19" w16cid:durableId="1144159967">
    <w:abstractNumId w:val="13"/>
  </w:num>
  <w:num w:numId="20" w16cid:durableId="2129622553">
    <w:abstractNumId w:val="12"/>
  </w:num>
  <w:num w:numId="21" w16cid:durableId="723989453">
    <w:abstractNumId w:val="11"/>
  </w:num>
  <w:num w:numId="22" w16cid:durableId="1741831204">
    <w:abstractNumId w:val="22"/>
  </w:num>
  <w:num w:numId="23" w16cid:durableId="70575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2782976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27624"/>
    <w:rsid w:val="000321F5"/>
    <w:rsid w:val="00032722"/>
    <w:rsid w:val="00042DE2"/>
    <w:rsid w:val="00050F6B"/>
    <w:rsid w:val="00052AAA"/>
    <w:rsid w:val="000534DE"/>
    <w:rsid w:val="00053C7A"/>
    <w:rsid w:val="000571BA"/>
    <w:rsid w:val="000678CD"/>
    <w:rsid w:val="00067DE1"/>
    <w:rsid w:val="00072C8C"/>
    <w:rsid w:val="00077742"/>
    <w:rsid w:val="00081CE0"/>
    <w:rsid w:val="00084D30"/>
    <w:rsid w:val="00090320"/>
    <w:rsid w:val="000931C0"/>
    <w:rsid w:val="00097003"/>
    <w:rsid w:val="000A2392"/>
    <w:rsid w:val="000A2E09"/>
    <w:rsid w:val="000B175B"/>
    <w:rsid w:val="000B3A0F"/>
    <w:rsid w:val="000E0415"/>
    <w:rsid w:val="000F6D5B"/>
    <w:rsid w:val="000F7715"/>
    <w:rsid w:val="001075A7"/>
    <w:rsid w:val="00156B99"/>
    <w:rsid w:val="0016174D"/>
    <w:rsid w:val="00162423"/>
    <w:rsid w:val="00163E86"/>
    <w:rsid w:val="00166124"/>
    <w:rsid w:val="00184DDA"/>
    <w:rsid w:val="00186FBB"/>
    <w:rsid w:val="00190062"/>
    <w:rsid w:val="001900CD"/>
    <w:rsid w:val="001A0452"/>
    <w:rsid w:val="001A507E"/>
    <w:rsid w:val="001A60CC"/>
    <w:rsid w:val="001A6B67"/>
    <w:rsid w:val="001B22A6"/>
    <w:rsid w:val="001B4B04"/>
    <w:rsid w:val="001B5875"/>
    <w:rsid w:val="001C1B1F"/>
    <w:rsid w:val="001C4B9C"/>
    <w:rsid w:val="001C6663"/>
    <w:rsid w:val="001C7895"/>
    <w:rsid w:val="001D26DF"/>
    <w:rsid w:val="001D7203"/>
    <w:rsid w:val="001F1599"/>
    <w:rsid w:val="001F19C4"/>
    <w:rsid w:val="001F2CDB"/>
    <w:rsid w:val="002043F0"/>
    <w:rsid w:val="0020574F"/>
    <w:rsid w:val="00211E0B"/>
    <w:rsid w:val="00232575"/>
    <w:rsid w:val="00247258"/>
    <w:rsid w:val="00257CAC"/>
    <w:rsid w:val="00263346"/>
    <w:rsid w:val="00265E6C"/>
    <w:rsid w:val="00266426"/>
    <w:rsid w:val="0027237A"/>
    <w:rsid w:val="0028073C"/>
    <w:rsid w:val="0029748B"/>
    <w:rsid w:val="002974E9"/>
    <w:rsid w:val="00297D15"/>
    <w:rsid w:val="002A0839"/>
    <w:rsid w:val="002A306B"/>
    <w:rsid w:val="002A4BA6"/>
    <w:rsid w:val="002A7F94"/>
    <w:rsid w:val="002B109A"/>
    <w:rsid w:val="002B5E4E"/>
    <w:rsid w:val="002C6D45"/>
    <w:rsid w:val="002D218E"/>
    <w:rsid w:val="002D6E53"/>
    <w:rsid w:val="002E1733"/>
    <w:rsid w:val="002E192D"/>
    <w:rsid w:val="002F046D"/>
    <w:rsid w:val="002F3023"/>
    <w:rsid w:val="00301764"/>
    <w:rsid w:val="00302669"/>
    <w:rsid w:val="00307AA1"/>
    <w:rsid w:val="00314C52"/>
    <w:rsid w:val="0031538F"/>
    <w:rsid w:val="00316EB3"/>
    <w:rsid w:val="003229D8"/>
    <w:rsid w:val="00323CC6"/>
    <w:rsid w:val="00324065"/>
    <w:rsid w:val="00326C6C"/>
    <w:rsid w:val="00336C97"/>
    <w:rsid w:val="00337F88"/>
    <w:rsid w:val="00342432"/>
    <w:rsid w:val="00345EB4"/>
    <w:rsid w:val="0035223F"/>
    <w:rsid w:val="00352D4B"/>
    <w:rsid w:val="0035638C"/>
    <w:rsid w:val="00362BC7"/>
    <w:rsid w:val="003A46BB"/>
    <w:rsid w:val="003A4EC7"/>
    <w:rsid w:val="003A7295"/>
    <w:rsid w:val="003B1F60"/>
    <w:rsid w:val="003C2CC4"/>
    <w:rsid w:val="003D4B23"/>
    <w:rsid w:val="003D6F04"/>
    <w:rsid w:val="003D7076"/>
    <w:rsid w:val="003E1E15"/>
    <w:rsid w:val="003E278A"/>
    <w:rsid w:val="003E36F3"/>
    <w:rsid w:val="003E4AC9"/>
    <w:rsid w:val="003F4C24"/>
    <w:rsid w:val="00401519"/>
    <w:rsid w:val="00412A88"/>
    <w:rsid w:val="00413520"/>
    <w:rsid w:val="004325CB"/>
    <w:rsid w:val="00440A07"/>
    <w:rsid w:val="00445CC9"/>
    <w:rsid w:val="004466CB"/>
    <w:rsid w:val="00460A8D"/>
    <w:rsid w:val="00462880"/>
    <w:rsid w:val="00466027"/>
    <w:rsid w:val="00467936"/>
    <w:rsid w:val="00476F24"/>
    <w:rsid w:val="00497612"/>
    <w:rsid w:val="004A5D33"/>
    <w:rsid w:val="004B131D"/>
    <w:rsid w:val="004B745A"/>
    <w:rsid w:val="004C55B0"/>
    <w:rsid w:val="004C634F"/>
    <w:rsid w:val="004D027A"/>
    <w:rsid w:val="004D1F38"/>
    <w:rsid w:val="004D4638"/>
    <w:rsid w:val="004F2D84"/>
    <w:rsid w:val="004F6BA0"/>
    <w:rsid w:val="00503BEA"/>
    <w:rsid w:val="00505ECB"/>
    <w:rsid w:val="005159CC"/>
    <w:rsid w:val="00525473"/>
    <w:rsid w:val="00526BCE"/>
    <w:rsid w:val="00533616"/>
    <w:rsid w:val="00535ABA"/>
    <w:rsid w:val="0053768B"/>
    <w:rsid w:val="005420F2"/>
    <w:rsid w:val="0054285C"/>
    <w:rsid w:val="00555D3D"/>
    <w:rsid w:val="00560EA8"/>
    <w:rsid w:val="0056327D"/>
    <w:rsid w:val="00565307"/>
    <w:rsid w:val="00570C4A"/>
    <w:rsid w:val="00584173"/>
    <w:rsid w:val="00587FDE"/>
    <w:rsid w:val="00595520"/>
    <w:rsid w:val="005A0727"/>
    <w:rsid w:val="005A44B9"/>
    <w:rsid w:val="005A7F9E"/>
    <w:rsid w:val="005B1BA0"/>
    <w:rsid w:val="005B3DB3"/>
    <w:rsid w:val="005B5427"/>
    <w:rsid w:val="005C0268"/>
    <w:rsid w:val="005C768B"/>
    <w:rsid w:val="005D15CA"/>
    <w:rsid w:val="005E0979"/>
    <w:rsid w:val="005E0E41"/>
    <w:rsid w:val="005E53E7"/>
    <w:rsid w:val="005F08DF"/>
    <w:rsid w:val="005F3066"/>
    <w:rsid w:val="005F377E"/>
    <w:rsid w:val="005F3E61"/>
    <w:rsid w:val="00604DDD"/>
    <w:rsid w:val="006107D6"/>
    <w:rsid w:val="006115CC"/>
    <w:rsid w:val="00611FC4"/>
    <w:rsid w:val="006176FB"/>
    <w:rsid w:val="006307B6"/>
    <w:rsid w:val="00630FCB"/>
    <w:rsid w:val="0063224C"/>
    <w:rsid w:val="006345B5"/>
    <w:rsid w:val="00640B26"/>
    <w:rsid w:val="00642DD9"/>
    <w:rsid w:val="00650445"/>
    <w:rsid w:val="0065766B"/>
    <w:rsid w:val="006770B2"/>
    <w:rsid w:val="00686A48"/>
    <w:rsid w:val="0068763C"/>
    <w:rsid w:val="006940E1"/>
    <w:rsid w:val="006A3C72"/>
    <w:rsid w:val="006A4F48"/>
    <w:rsid w:val="006A7392"/>
    <w:rsid w:val="006B03A1"/>
    <w:rsid w:val="006B67D9"/>
    <w:rsid w:val="006C5535"/>
    <w:rsid w:val="006C5C1F"/>
    <w:rsid w:val="006D0589"/>
    <w:rsid w:val="006E431D"/>
    <w:rsid w:val="006E564B"/>
    <w:rsid w:val="006E7154"/>
    <w:rsid w:val="006F4819"/>
    <w:rsid w:val="007003CD"/>
    <w:rsid w:val="0070621E"/>
    <w:rsid w:val="0070701E"/>
    <w:rsid w:val="007073EE"/>
    <w:rsid w:val="0072632A"/>
    <w:rsid w:val="007358E8"/>
    <w:rsid w:val="00736ECE"/>
    <w:rsid w:val="0074533B"/>
    <w:rsid w:val="007643BC"/>
    <w:rsid w:val="00780C68"/>
    <w:rsid w:val="00781FEA"/>
    <w:rsid w:val="007959FE"/>
    <w:rsid w:val="007A0CF1"/>
    <w:rsid w:val="007A62DF"/>
    <w:rsid w:val="007B605E"/>
    <w:rsid w:val="007B6BA5"/>
    <w:rsid w:val="007C3390"/>
    <w:rsid w:val="007C42D8"/>
    <w:rsid w:val="007C4F4B"/>
    <w:rsid w:val="007D6F65"/>
    <w:rsid w:val="007D7362"/>
    <w:rsid w:val="007E5050"/>
    <w:rsid w:val="007E6D2A"/>
    <w:rsid w:val="007F5CE2"/>
    <w:rsid w:val="007F6611"/>
    <w:rsid w:val="007F6EE7"/>
    <w:rsid w:val="00810BAC"/>
    <w:rsid w:val="00814C29"/>
    <w:rsid w:val="008175E9"/>
    <w:rsid w:val="008242D7"/>
    <w:rsid w:val="0082577B"/>
    <w:rsid w:val="00825CB5"/>
    <w:rsid w:val="00827502"/>
    <w:rsid w:val="00857C1F"/>
    <w:rsid w:val="00860866"/>
    <w:rsid w:val="00866893"/>
    <w:rsid w:val="00866F02"/>
    <w:rsid w:val="00867D18"/>
    <w:rsid w:val="00871F9A"/>
    <w:rsid w:val="00871FD5"/>
    <w:rsid w:val="0087250D"/>
    <w:rsid w:val="0088172E"/>
    <w:rsid w:val="00881EFA"/>
    <w:rsid w:val="008879CB"/>
    <w:rsid w:val="008979B1"/>
    <w:rsid w:val="008A6B25"/>
    <w:rsid w:val="008A6C4F"/>
    <w:rsid w:val="008A72A3"/>
    <w:rsid w:val="008B389E"/>
    <w:rsid w:val="008C0B96"/>
    <w:rsid w:val="008C2D83"/>
    <w:rsid w:val="008D045E"/>
    <w:rsid w:val="008D1E0A"/>
    <w:rsid w:val="008D3F25"/>
    <w:rsid w:val="008D4D82"/>
    <w:rsid w:val="008E0E46"/>
    <w:rsid w:val="008E6CDE"/>
    <w:rsid w:val="008E7116"/>
    <w:rsid w:val="008F143B"/>
    <w:rsid w:val="008F3882"/>
    <w:rsid w:val="008F4B7C"/>
    <w:rsid w:val="0090694B"/>
    <w:rsid w:val="00913520"/>
    <w:rsid w:val="00920FF0"/>
    <w:rsid w:val="0092556A"/>
    <w:rsid w:val="00926E47"/>
    <w:rsid w:val="0093266E"/>
    <w:rsid w:val="00947162"/>
    <w:rsid w:val="009610D0"/>
    <w:rsid w:val="0096375C"/>
    <w:rsid w:val="009662E6"/>
    <w:rsid w:val="00966380"/>
    <w:rsid w:val="0097095E"/>
    <w:rsid w:val="00981D5F"/>
    <w:rsid w:val="0098592B"/>
    <w:rsid w:val="00985FC4"/>
    <w:rsid w:val="00990766"/>
    <w:rsid w:val="00991261"/>
    <w:rsid w:val="009964C4"/>
    <w:rsid w:val="009A7B81"/>
    <w:rsid w:val="009B011B"/>
    <w:rsid w:val="009B433B"/>
    <w:rsid w:val="009B5071"/>
    <w:rsid w:val="009B7EB7"/>
    <w:rsid w:val="009C6FDE"/>
    <w:rsid w:val="009D01C0"/>
    <w:rsid w:val="009D6A08"/>
    <w:rsid w:val="009E0A16"/>
    <w:rsid w:val="009E3546"/>
    <w:rsid w:val="009E6CB7"/>
    <w:rsid w:val="009E7970"/>
    <w:rsid w:val="009F2EAC"/>
    <w:rsid w:val="009F57E3"/>
    <w:rsid w:val="009F58A9"/>
    <w:rsid w:val="00A0031F"/>
    <w:rsid w:val="00A077A2"/>
    <w:rsid w:val="00A10F4F"/>
    <w:rsid w:val="00A11067"/>
    <w:rsid w:val="00A13D4C"/>
    <w:rsid w:val="00A1704A"/>
    <w:rsid w:val="00A17DE6"/>
    <w:rsid w:val="00A25897"/>
    <w:rsid w:val="00A332B2"/>
    <w:rsid w:val="00A353AD"/>
    <w:rsid w:val="00A36AC2"/>
    <w:rsid w:val="00A425EB"/>
    <w:rsid w:val="00A53D88"/>
    <w:rsid w:val="00A55EC9"/>
    <w:rsid w:val="00A66AD5"/>
    <w:rsid w:val="00A72F22"/>
    <w:rsid w:val="00A733BC"/>
    <w:rsid w:val="00A748A6"/>
    <w:rsid w:val="00A76A69"/>
    <w:rsid w:val="00A83E10"/>
    <w:rsid w:val="00A879A4"/>
    <w:rsid w:val="00AA0FF8"/>
    <w:rsid w:val="00AB65D0"/>
    <w:rsid w:val="00AB7431"/>
    <w:rsid w:val="00AC0F2C"/>
    <w:rsid w:val="00AC502A"/>
    <w:rsid w:val="00AE1E26"/>
    <w:rsid w:val="00AF3299"/>
    <w:rsid w:val="00AF58C1"/>
    <w:rsid w:val="00B04A3F"/>
    <w:rsid w:val="00B06643"/>
    <w:rsid w:val="00B14C6C"/>
    <w:rsid w:val="00B15055"/>
    <w:rsid w:val="00B20551"/>
    <w:rsid w:val="00B30179"/>
    <w:rsid w:val="00B30370"/>
    <w:rsid w:val="00B31E0B"/>
    <w:rsid w:val="00B33FC7"/>
    <w:rsid w:val="00B35A75"/>
    <w:rsid w:val="00B373E6"/>
    <w:rsid w:val="00B37B15"/>
    <w:rsid w:val="00B4162A"/>
    <w:rsid w:val="00B45C02"/>
    <w:rsid w:val="00B60C26"/>
    <w:rsid w:val="00B70B63"/>
    <w:rsid w:val="00B72A1E"/>
    <w:rsid w:val="00B77C0C"/>
    <w:rsid w:val="00B81E12"/>
    <w:rsid w:val="00B96983"/>
    <w:rsid w:val="00BA339B"/>
    <w:rsid w:val="00BB23CC"/>
    <w:rsid w:val="00BC1E7E"/>
    <w:rsid w:val="00BC35CD"/>
    <w:rsid w:val="00BC3F07"/>
    <w:rsid w:val="00BC74E9"/>
    <w:rsid w:val="00BE0D63"/>
    <w:rsid w:val="00BE36A9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29A3"/>
    <w:rsid w:val="00C0406B"/>
    <w:rsid w:val="00C040B6"/>
    <w:rsid w:val="00C044E2"/>
    <w:rsid w:val="00C048CB"/>
    <w:rsid w:val="00C066F3"/>
    <w:rsid w:val="00C0769B"/>
    <w:rsid w:val="00C17AF1"/>
    <w:rsid w:val="00C27CE2"/>
    <w:rsid w:val="00C43D3E"/>
    <w:rsid w:val="00C45831"/>
    <w:rsid w:val="00C463DD"/>
    <w:rsid w:val="00C6171D"/>
    <w:rsid w:val="00C7033A"/>
    <w:rsid w:val="00C73994"/>
    <w:rsid w:val="00C745C3"/>
    <w:rsid w:val="00C76116"/>
    <w:rsid w:val="00C978F5"/>
    <w:rsid w:val="00CA01E6"/>
    <w:rsid w:val="00CA1BD0"/>
    <w:rsid w:val="00CA24A4"/>
    <w:rsid w:val="00CA2997"/>
    <w:rsid w:val="00CB348D"/>
    <w:rsid w:val="00CB7450"/>
    <w:rsid w:val="00CC161B"/>
    <w:rsid w:val="00CD46F5"/>
    <w:rsid w:val="00CE4A8F"/>
    <w:rsid w:val="00CF071D"/>
    <w:rsid w:val="00CF6DFB"/>
    <w:rsid w:val="00D0123D"/>
    <w:rsid w:val="00D07E2F"/>
    <w:rsid w:val="00D15B04"/>
    <w:rsid w:val="00D2031B"/>
    <w:rsid w:val="00D25FE2"/>
    <w:rsid w:val="00D31A2C"/>
    <w:rsid w:val="00D35180"/>
    <w:rsid w:val="00D37DA9"/>
    <w:rsid w:val="00D406A7"/>
    <w:rsid w:val="00D41AE9"/>
    <w:rsid w:val="00D425DF"/>
    <w:rsid w:val="00D43252"/>
    <w:rsid w:val="00D44D86"/>
    <w:rsid w:val="00D50B7D"/>
    <w:rsid w:val="00D52012"/>
    <w:rsid w:val="00D5202F"/>
    <w:rsid w:val="00D617BF"/>
    <w:rsid w:val="00D704E5"/>
    <w:rsid w:val="00D72727"/>
    <w:rsid w:val="00D978C6"/>
    <w:rsid w:val="00DA0956"/>
    <w:rsid w:val="00DA357F"/>
    <w:rsid w:val="00DA3E12"/>
    <w:rsid w:val="00DA4201"/>
    <w:rsid w:val="00DC18AD"/>
    <w:rsid w:val="00DC2E92"/>
    <w:rsid w:val="00DC7CB2"/>
    <w:rsid w:val="00DE7C29"/>
    <w:rsid w:val="00DF6D76"/>
    <w:rsid w:val="00DF7CAE"/>
    <w:rsid w:val="00E02582"/>
    <w:rsid w:val="00E06558"/>
    <w:rsid w:val="00E07609"/>
    <w:rsid w:val="00E249FB"/>
    <w:rsid w:val="00E423C0"/>
    <w:rsid w:val="00E44BCE"/>
    <w:rsid w:val="00E52AAD"/>
    <w:rsid w:val="00E56C64"/>
    <w:rsid w:val="00E6414C"/>
    <w:rsid w:val="00E7260F"/>
    <w:rsid w:val="00E82F3E"/>
    <w:rsid w:val="00E8702D"/>
    <w:rsid w:val="00E905F4"/>
    <w:rsid w:val="00E916A9"/>
    <w:rsid w:val="00E916DE"/>
    <w:rsid w:val="00E925AD"/>
    <w:rsid w:val="00E96630"/>
    <w:rsid w:val="00EA00B0"/>
    <w:rsid w:val="00EB0DD2"/>
    <w:rsid w:val="00EB0F5A"/>
    <w:rsid w:val="00EB4339"/>
    <w:rsid w:val="00EB668A"/>
    <w:rsid w:val="00ED18DC"/>
    <w:rsid w:val="00ED4862"/>
    <w:rsid w:val="00ED6201"/>
    <w:rsid w:val="00ED65FF"/>
    <w:rsid w:val="00ED7A2A"/>
    <w:rsid w:val="00EE08F1"/>
    <w:rsid w:val="00EF0E5F"/>
    <w:rsid w:val="00EF17E8"/>
    <w:rsid w:val="00EF1D7F"/>
    <w:rsid w:val="00EF4203"/>
    <w:rsid w:val="00F0137E"/>
    <w:rsid w:val="00F04E44"/>
    <w:rsid w:val="00F1177D"/>
    <w:rsid w:val="00F21786"/>
    <w:rsid w:val="00F23425"/>
    <w:rsid w:val="00F25D06"/>
    <w:rsid w:val="00F31CD7"/>
    <w:rsid w:val="00F31CFF"/>
    <w:rsid w:val="00F3742B"/>
    <w:rsid w:val="00F37528"/>
    <w:rsid w:val="00F41FDB"/>
    <w:rsid w:val="00F50597"/>
    <w:rsid w:val="00F56D63"/>
    <w:rsid w:val="00F609A9"/>
    <w:rsid w:val="00F618D1"/>
    <w:rsid w:val="00F6206D"/>
    <w:rsid w:val="00F80C99"/>
    <w:rsid w:val="00F867EC"/>
    <w:rsid w:val="00F86A99"/>
    <w:rsid w:val="00F91B2B"/>
    <w:rsid w:val="00FC03CD"/>
    <w:rsid w:val="00FC0646"/>
    <w:rsid w:val="00FC2B46"/>
    <w:rsid w:val="00FC68B7"/>
    <w:rsid w:val="00FD185C"/>
    <w:rsid w:val="00FE44BF"/>
    <w:rsid w:val="00FE6985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17E8"/>
    <w:pPr>
      <w:suppressAutoHyphens/>
      <w:spacing w:after="120"/>
    </w:pPr>
    <w:rPr>
      <w:rFonts w:eastAsia="MS Mincho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17E8"/>
    <w:rPr>
      <w:rFonts w:eastAsia="MS Mincho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3240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406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2406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4065"/>
    <w:rPr>
      <w:b/>
      <w:bCs/>
      <w:lang w:val="en-GB"/>
    </w:rPr>
  </w:style>
  <w:style w:type="paragraph" w:customStyle="1" w:styleId="Default">
    <w:name w:val="Default"/>
    <w:rsid w:val="0031538F"/>
    <w:pPr>
      <w:autoSpaceDE w:val="0"/>
      <w:autoSpaceDN w:val="0"/>
      <w:adjustRightInd w:val="0"/>
      <w:spacing w:line="240" w:lineRule="auto"/>
    </w:pPr>
    <w:rPr>
      <w:rFonts w:ascii="EUAlbertina" w:hAnsi="EUAlbertina" w:cs="EUAlbertina"/>
      <w:color w:val="000000"/>
      <w:sz w:val="24"/>
      <w:szCs w:val="24"/>
      <w:lang w:val="de-DE"/>
    </w:rPr>
  </w:style>
  <w:style w:type="paragraph" w:styleId="Revision">
    <w:name w:val="Revision"/>
    <w:hidden/>
    <w:uiPriority w:val="99"/>
    <w:semiHidden/>
    <w:rsid w:val="006345B5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ée un document." ma:contentTypeScope="" ma:versionID="8144bdc20dd746bf3d027584e9f76f6d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4c6482a5b58d3f8daefc2d1d86d18bd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51D35-6593-462E-B9EC-24D2C9C1D2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103FF9CA-FBE7-459F-8213-036E94FBD8DD}"/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4294967248</TotalTime>
  <Pages>1</Pages>
  <Words>381</Words>
  <Characters>1948</Characters>
  <Application>Microsoft Office Word</Application>
  <DocSecurity>0</DocSecurity>
  <Lines>37</Lines>
  <Paragraphs>17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ECE/TRANS/WP.29/2025/13</vt:lpstr>
      <vt:lpstr>ECE/TRANS/WP.29/2025/13</vt:lpstr>
      <vt:lpstr>ECE/TRANS/WP.29/2025/13</vt:lpstr>
      <vt:lpstr/>
    </vt:vector>
  </TitlesOfParts>
  <Company>CSD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ECE/TRANS/WP.29/2025/13</dc:title>
  <dc:subject>2424120</dc:subject>
  <dc:creator>Edoardo Gianotti</dc:creator>
  <cp:keywords/>
  <dc:description/>
  <cp:lastModifiedBy>Francois Guichard</cp:lastModifiedBy>
  <cp:revision>10</cp:revision>
  <cp:lastPrinted>2009-02-18T10:36:00Z</cp:lastPrinted>
  <dcterms:created xsi:type="dcterms:W3CDTF">2026-01-21T09:37:00Z</dcterms:created>
  <dcterms:modified xsi:type="dcterms:W3CDTF">2026-01-21T10:39:00Z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