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BA007" w14:textId="1BF1C0A9" w:rsidR="00800552" w:rsidRPr="00800552" w:rsidRDefault="00800552" w:rsidP="00800552">
      <w:pPr>
        <w:jc w:val="center"/>
        <w:rPr>
          <w:b/>
          <w:bCs/>
        </w:rPr>
      </w:pPr>
      <w:r w:rsidRPr="00800552">
        <w:rPr>
          <w:b/>
          <w:bCs/>
        </w:rPr>
        <w:t>Hotspot definition consideration</w:t>
      </w:r>
      <w:r w:rsidR="00936DE0">
        <w:rPr>
          <w:b/>
          <w:bCs/>
        </w:rPr>
        <w:t xml:space="preserve"> as related to estimation of different emission sources </w:t>
      </w:r>
      <w:r w:rsidR="00152B33">
        <w:rPr>
          <w:b/>
          <w:bCs/>
        </w:rPr>
        <w:t xml:space="preserve">(how emissions are estimated </w:t>
      </w:r>
      <w:r w:rsidR="00936DE0">
        <w:rPr>
          <w:b/>
          <w:bCs/>
        </w:rPr>
        <w:t>vs. cu</w:t>
      </w:r>
      <w:r w:rsidR="008E03B1">
        <w:rPr>
          <w:b/>
          <w:bCs/>
        </w:rPr>
        <w:t>t</w:t>
      </w:r>
      <w:r w:rsidR="00936DE0">
        <w:rPr>
          <w:b/>
          <w:bCs/>
        </w:rPr>
        <w:t xml:space="preserve">off criteria </w:t>
      </w:r>
      <w:r w:rsidR="00152B33">
        <w:rPr>
          <w:b/>
          <w:bCs/>
        </w:rPr>
        <w:t>if</w:t>
      </w:r>
      <w:r w:rsidR="00936DE0">
        <w:rPr>
          <w:b/>
          <w:bCs/>
        </w:rPr>
        <w:t xml:space="preserve"> </w:t>
      </w:r>
      <w:r w:rsidR="00152B33">
        <w:rPr>
          <w:b/>
          <w:bCs/>
        </w:rPr>
        <w:t>c</w:t>
      </w:r>
      <w:r w:rsidR="00936DE0">
        <w:rPr>
          <w:b/>
          <w:bCs/>
        </w:rPr>
        <w:t>ertain emission sources</w:t>
      </w:r>
      <w:r w:rsidR="00152B33">
        <w:rPr>
          <w:b/>
          <w:bCs/>
        </w:rPr>
        <w:t xml:space="preserve"> are included</w:t>
      </w:r>
      <w:r w:rsidR="00936DE0">
        <w:rPr>
          <w:b/>
          <w:bCs/>
        </w:rPr>
        <w:t>)</w:t>
      </w:r>
    </w:p>
    <w:p w14:paraId="4BC2A89F" w14:textId="77777777" w:rsidR="004179B4" w:rsidRDefault="004179B4" w:rsidP="00950152">
      <w:pPr>
        <w:rPr>
          <w:b/>
          <w:bCs/>
        </w:rPr>
      </w:pPr>
    </w:p>
    <w:p w14:paraId="2E330A53" w14:textId="2FB19C37" w:rsidR="00152B33" w:rsidRPr="004179B4" w:rsidRDefault="00950152" w:rsidP="00950152">
      <w:pPr>
        <w:rPr>
          <w:b/>
          <w:bCs/>
        </w:rPr>
      </w:pPr>
      <w:r w:rsidRPr="00800552">
        <w:rPr>
          <w:b/>
          <w:bCs/>
        </w:rPr>
        <w:t xml:space="preserve">The 2017 UNEP hotspot </w:t>
      </w:r>
      <w:r w:rsidR="004179B4">
        <w:rPr>
          <w:b/>
          <w:bCs/>
        </w:rPr>
        <w:t>D</w:t>
      </w:r>
      <w:r w:rsidR="00152B33" w:rsidRPr="004179B4">
        <w:rPr>
          <w:b/>
          <w:bCs/>
        </w:rPr>
        <w:t>efinition</w:t>
      </w:r>
    </w:p>
    <w:p w14:paraId="47AF6C0C" w14:textId="41171951" w:rsidR="00950152" w:rsidRPr="00800552" w:rsidRDefault="00950152" w:rsidP="00950152">
      <w:r w:rsidRPr="00800552">
        <w:rPr>
          <w:i/>
          <w:iCs/>
        </w:rPr>
        <w:t xml:space="preserve">“Having attributed impacts to each life cycle stage and </w:t>
      </w:r>
      <w:proofErr w:type="spellStart"/>
      <w:r w:rsidRPr="00800552">
        <w:rPr>
          <w:i/>
          <w:iCs/>
        </w:rPr>
        <w:t>normalised</w:t>
      </w:r>
      <w:proofErr w:type="spellEnd"/>
      <w:r w:rsidRPr="00800552">
        <w:rPr>
          <w:i/>
          <w:iCs/>
        </w:rPr>
        <w:t xml:space="preserve"> / weighted the impacts to allow them to be </w:t>
      </w:r>
      <w:proofErr w:type="spellStart"/>
      <w:r w:rsidRPr="00800552">
        <w:rPr>
          <w:i/>
          <w:iCs/>
        </w:rPr>
        <w:t>prioritised</w:t>
      </w:r>
      <w:proofErr w:type="spellEnd"/>
      <w:r w:rsidRPr="00800552">
        <w:rPr>
          <w:i/>
          <w:iCs/>
        </w:rPr>
        <w:t>, hotspots can be defined. Two approaches may be used. These are illustrated in the figure below.</w:t>
      </w:r>
    </w:p>
    <w:p w14:paraId="2FD0F515" w14:textId="77777777" w:rsidR="00950152" w:rsidRPr="00800552" w:rsidRDefault="00950152" w:rsidP="00950152">
      <w:r w:rsidRPr="00800552">
        <w:t> </w:t>
      </w:r>
    </w:p>
    <w:tbl>
      <w:tblPr>
        <w:tblW w:w="9601" w:type="dxa"/>
        <w:tblInd w:w="708" w:type="dxa"/>
        <w:tblCellMar>
          <w:left w:w="0" w:type="dxa"/>
          <w:right w:w="0" w:type="dxa"/>
        </w:tblCellMar>
        <w:tblLook w:val="04A0" w:firstRow="1" w:lastRow="0" w:firstColumn="1" w:lastColumn="0" w:noHBand="0" w:noVBand="1"/>
      </w:tblPr>
      <w:tblGrid>
        <w:gridCol w:w="2999"/>
        <w:gridCol w:w="1950"/>
        <w:gridCol w:w="1591"/>
        <w:gridCol w:w="3061"/>
      </w:tblGrid>
      <w:tr w:rsidR="00950152" w:rsidRPr="00800552" w14:paraId="6A6F88BA" w14:textId="77777777" w:rsidTr="009309A7">
        <w:trPr>
          <w:trHeight w:val="1611"/>
        </w:trPr>
        <w:tc>
          <w:tcPr>
            <w:tcW w:w="2995" w:type="dxa"/>
            <w:tcBorders>
              <w:top w:val="single" w:sz="8" w:space="0" w:color="CF4130"/>
              <w:left w:val="single" w:sz="8" w:space="0" w:color="CF4130"/>
              <w:bottom w:val="single" w:sz="8" w:space="0" w:color="CF4130"/>
              <w:right w:val="single" w:sz="8" w:space="0" w:color="DC7530"/>
            </w:tcBorders>
            <w:shd w:val="clear" w:color="auto" w:fill="E7A58E"/>
            <w:tcMar>
              <w:top w:w="36" w:type="dxa"/>
              <w:left w:w="80" w:type="dxa"/>
              <w:bottom w:w="0" w:type="dxa"/>
              <w:right w:w="53" w:type="dxa"/>
            </w:tcMar>
            <w:hideMark/>
          </w:tcPr>
          <w:p w14:paraId="7E56EF9B" w14:textId="77777777" w:rsidR="00950152" w:rsidRPr="00800552" w:rsidRDefault="00950152" w:rsidP="009309A7">
            <w:r w:rsidRPr="00800552">
              <w:t>Hotspot</w:t>
            </w:r>
          </w:p>
          <w:p w14:paraId="68330A5D" w14:textId="77777777" w:rsidR="00950152" w:rsidRPr="00800552" w:rsidRDefault="00950152" w:rsidP="009309A7">
            <w:r w:rsidRPr="00800552">
              <w:t xml:space="preserve">A life cycle stage whose contribution to the impact category is greater than even distribution of that impact across the life cycle stages. </w:t>
            </w:r>
          </w:p>
        </w:tc>
        <w:tc>
          <w:tcPr>
            <w:tcW w:w="3543" w:type="dxa"/>
            <w:gridSpan w:val="2"/>
            <w:tcBorders>
              <w:top w:val="single" w:sz="8" w:space="0" w:color="DC7530"/>
              <w:left w:val="nil"/>
              <w:bottom w:val="single" w:sz="8" w:space="0" w:color="299DB5"/>
              <w:right w:val="single" w:sz="8" w:space="0" w:color="DC7530"/>
            </w:tcBorders>
            <w:shd w:val="clear" w:color="auto" w:fill="EEBC95"/>
            <w:tcMar>
              <w:top w:w="36" w:type="dxa"/>
              <w:left w:w="80" w:type="dxa"/>
              <w:bottom w:w="0" w:type="dxa"/>
              <w:right w:w="53" w:type="dxa"/>
            </w:tcMar>
            <w:hideMark/>
          </w:tcPr>
          <w:p w14:paraId="092171C6" w14:textId="77777777" w:rsidR="00950152" w:rsidRPr="00800552" w:rsidRDefault="00950152" w:rsidP="009309A7">
            <w:proofErr w:type="spellStart"/>
            <w:r w:rsidRPr="00800552">
              <w:t>Warmspot</w:t>
            </w:r>
            <w:proofErr w:type="spellEnd"/>
          </w:p>
          <w:p w14:paraId="63166031" w14:textId="77777777" w:rsidR="00950152" w:rsidRPr="00800552" w:rsidRDefault="00950152" w:rsidP="009309A7">
            <w:r w:rsidRPr="00800552">
              <w:t>A life cycle stage whose contribution is approximately equivalent to an even distribution of the impact across the life cycle stages.</w:t>
            </w:r>
          </w:p>
        </w:tc>
        <w:tc>
          <w:tcPr>
            <w:tcW w:w="3063" w:type="dxa"/>
            <w:tcBorders>
              <w:top w:val="single" w:sz="8" w:space="0" w:color="299DB5"/>
              <w:left w:val="nil"/>
              <w:bottom w:val="single" w:sz="8" w:space="0" w:color="299DB5"/>
              <w:right w:val="single" w:sz="8" w:space="0" w:color="299DB5"/>
            </w:tcBorders>
            <w:shd w:val="clear" w:color="auto" w:fill="A5CDDA"/>
            <w:tcMar>
              <w:top w:w="36" w:type="dxa"/>
              <w:left w:w="80" w:type="dxa"/>
              <w:bottom w:w="0" w:type="dxa"/>
              <w:right w:w="53" w:type="dxa"/>
            </w:tcMar>
            <w:hideMark/>
          </w:tcPr>
          <w:p w14:paraId="6C751888" w14:textId="77777777" w:rsidR="00950152" w:rsidRPr="00800552" w:rsidRDefault="00950152" w:rsidP="009309A7">
            <w:r w:rsidRPr="00800552">
              <w:t>Cold Spot</w:t>
            </w:r>
          </w:p>
          <w:p w14:paraId="633B065A" w14:textId="77777777" w:rsidR="00950152" w:rsidRPr="00800552" w:rsidRDefault="00950152" w:rsidP="009309A7">
            <w:r w:rsidRPr="00800552">
              <w:t>A life cycle stage whose contribution to any impact category is less than even distribution of that impact across the life cycle stages</w:t>
            </w:r>
          </w:p>
        </w:tc>
      </w:tr>
      <w:tr w:rsidR="00950152" w:rsidRPr="00800552" w14:paraId="006AE6AD" w14:textId="77777777" w:rsidTr="009309A7">
        <w:trPr>
          <w:trHeight w:val="919"/>
        </w:trPr>
        <w:tc>
          <w:tcPr>
            <w:tcW w:w="4951" w:type="dxa"/>
            <w:gridSpan w:val="2"/>
            <w:tcBorders>
              <w:top w:val="nil"/>
              <w:left w:val="single" w:sz="8" w:space="0" w:color="CF4130"/>
              <w:bottom w:val="single" w:sz="8" w:space="0" w:color="CF4130"/>
              <w:right w:val="single" w:sz="8" w:space="0" w:color="299DB5"/>
            </w:tcBorders>
            <w:shd w:val="clear" w:color="auto" w:fill="E7A58E"/>
            <w:tcMar>
              <w:top w:w="36" w:type="dxa"/>
              <w:left w:w="80" w:type="dxa"/>
              <w:bottom w:w="0" w:type="dxa"/>
              <w:right w:w="53" w:type="dxa"/>
            </w:tcMar>
            <w:hideMark/>
          </w:tcPr>
          <w:p w14:paraId="53DD4633" w14:textId="77777777" w:rsidR="00950152" w:rsidRPr="00800552" w:rsidRDefault="00950152" w:rsidP="009309A7">
            <w:r w:rsidRPr="00800552">
              <w:t>Hotspot</w:t>
            </w:r>
          </w:p>
          <w:p w14:paraId="6ADAEB51" w14:textId="77777777" w:rsidR="00950152" w:rsidRPr="00800552" w:rsidRDefault="00950152" w:rsidP="009309A7">
            <w:r w:rsidRPr="00800552">
              <w:t xml:space="preserve">All life cycle stages collectively </w:t>
            </w:r>
            <w:proofErr w:type="gramStart"/>
            <w:r w:rsidRPr="00800552">
              <w:t>contributing</w:t>
            </w:r>
            <w:proofErr w:type="gramEnd"/>
            <w:r w:rsidRPr="00800552">
              <w:t xml:space="preserve"> more than 50% to any impact category.</w:t>
            </w:r>
          </w:p>
        </w:tc>
        <w:tc>
          <w:tcPr>
            <w:tcW w:w="4650" w:type="dxa"/>
            <w:gridSpan w:val="2"/>
            <w:tcBorders>
              <w:top w:val="nil"/>
              <w:left w:val="nil"/>
              <w:bottom w:val="single" w:sz="8" w:space="0" w:color="299DB5"/>
              <w:right w:val="single" w:sz="8" w:space="0" w:color="299DB5"/>
            </w:tcBorders>
            <w:shd w:val="clear" w:color="auto" w:fill="A5CDDA"/>
            <w:tcMar>
              <w:top w:w="36" w:type="dxa"/>
              <w:left w:w="80" w:type="dxa"/>
              <w:bottom w:w="0" w:type="dxa"/>
              <w:right w:w="53" w:type="dxa"/>
            </w:tcMar>
            <w:hideMark/>
          </w:tcPr>
          <w:p w14:paraId="6B8265A1" w14:textId="77777777" w:rsidR="00950152" w:rsidRPr="00800552" w:rsidRDefault="00950152" w:rsidP="009309A7">
            <w:r w:rsidRPr="00800552">
              <w:t>Cold Spot</w:t>
            </w:r>
          </w:p>
          <w:p w14:paraId="0481BE37" w14:textId="77777777" w:rsidR="00950152" w:rsidRPr="00800552" w:rsidRDefault="00950152" w:rsidP="009309A7">
            <w:r w:rsidRPr="00800552">
              <w:t xml:space="preserve">All life cycle stages collectively </w:t>
            </w:r>
            <w:proofErr w:type="gramStart"/>
            <w:r w:rsidRPr="00800552">
              <w:t>contributing</w:t>
            </w:r>
            <w:proofErr w:type="gramEnd"/>
            <w:r w:rsidRPr="00800552">
              <w:t xml:space="preserve"> less than 50% to any impact category.</w:t>
            </w:r>
          </w:p>
        </w:tc>
      </w:tr>
      <w:tr w:rsidR="00950152" w:rsidRPr="00800552" w14:paraId="7A60EB9B" w14:textId="77777777" w:rsidTr="009309A7">
        <w:tc>
          <w:tcPr>
            <w:tcW w:w="3000" w:type="dxa"/>
            <w:vAlign w:val="center"/>
            <w:hideMark/>
          </w:tcPr>
          <w:p w14:paraId="20203226" w14:textId="77777777" w:rsidR="00950152" w:rsidRPr="00800552" w:rsidRDefault="00950152" w:rsidP="009309A7"/>
        </w:tc>
        <w:tc>
          <w:tcPr>
            <w:tcW w:w="1950" w:type="dxa"/>
            <w:vAlign w:val="center"/>
            <w:hideMark/>
          </w:tcPr>
          <w:p w14:paraId="0E30913C" w14:textId="77777777" w:rsidR="00950152" w:rsidRPr="00800552" w:rsidRDefault="00950152" w:rsidP="009309A7"/>
        </w:tc>
        <w:tc>
          <w:tcPr>
            <w:tcW w:w="1590" w:type="dxa"/>
            <w:vAlign w:val="center"/>
            <w:hideMark/>
          </w:tcPr>
          <w:p w14:paraId="784056F7" w14:textId="77777777" w:rsidR="00950152" w:rsidRPr="00800552" w:rsidRDefault="00950152" w:rsidP="009309A7"/>
        </w:tc>
        <w:tc>
          <w:tcPr>
            <w:tcW w:w="3060" w:type="dxa"/>
            <w:vAlign w:val="center"/>
            <w:hideMark/>
          </w:tcPr>
          <w:p w14:paraId="575531B6" w14:textId="77777777" w:rsidR="00950152" w:rsidRPr="00800552" w:rsidRDefault="00950152" w:rsidP="009309A7"/>
        </w:tc>
      </w:tr>
    </w:tbl>
    <w:p w14:paraId="733B8700" w14:textId="19C4C99E" w:rsidR="00950152" w:rsidRPr="00800552" w:rsidRDefault="00950152" w:rsidP="00950152">
      <w:r w:rsidRPr="00800552">
        <w:rPr>
          <w:i/>
          <w:iCs/>
        </w:rPr>
        <w:t>Options for identifying hotspots</w:t>
      </w:r>
    </w:p>
    <w:p w14:paraId="4DB70834" w14:textId="77777777" w:rsidR="00950152" w:rsidRPr="00800552" w:rsidRDefault="00950152" w:rsidP="00950152">
      <w:r w:rsidRPr="00800552">
        <w:t> </w:t>
      </w:r>
    </w:p>
    <w:p w14:paraId="7870F41B" w14:textId="77777777" w:rsidR="00936DE0" w:rsidRDefault="00950152" w:rsidP="00800552">
      <w:pPr>
        <w:rPr>
          <w:i/>
          <w:iCs/>
        </w:rPr>
      </w:pPr>
      <w:r w:rsidRPr="00800552">
        <w:rPr>
          <w:b/>
          <w:bCs/>
          <w:i/>
          <w:iCs/>
        </w:rPr>
        <w:t>In the first approach</w:t>
      </w:r>
      <w:r w:rsidRPr="00800552">
        <w:rPr>
          <w:i/>
          <w:iCs/>
        </w:rPr>
        <w:t xml:space="preserve"> a hotspot shall always be a percentage greater than if the impacts were evenly distributed across life cycle stages. So, if there are 5 life cycle stages, a hotspot should not be </w:t>
      </w:r>
      <w:proofErr w:type="gramStart"/>
      <w:r w:rsidRPr="00800552">
        <w:rPr>
          <w:i/>
          <w:iCs/>
        </w:rPr>
        <w:t>defined</w:t>
      </w:r>
      <w:proofErr w:type="gramEnd"/>
      <w:r w:rsidRPr="00800552">
        <w:rPr>
          <w:i/>
          <w:iCs/>
        </w:rPr>
        <w:t xml:space="preserve"> lower than 20% of the impact category, and if there are 7 stages, it should not be lower than 14%.  </w:t>
      </w:r>
    </w:p>
    <w:p w14:paraId="6CC4E08D" w14:textId="004D8985" w:rsidR="00950152" w:rsidRDefault="00950152" w:rsidP="00800552">
      <w:r w:rsidRPr="00800552">
        <w:rPr>
          <w:i/>
          <w:iCs/>
        </w:rPr>
        <w:t xml:space="preserve">Where the hotspot has been identified based on qualitative information, it will not be possible to identify a hotspot with quantitative precision. To ensure that hotspots are covered, the analysis should therefore be confident that </w:t>
      </w:r>
      <w:proofErr w:type="gramStart"/>
      <w:r w:rsidRPr="00800552">
        <w:rPr>
          <w:i/>
          <w:iCs/>
        </w:rPr>
        <w:t>the majority of</w:t>
      </w:r>
      <w:proofErr w:type="gramEnd"/>
      <w:r w:rsidRPr="00800552">
        <w:rPr>
          <w:i/>
          <w:iCs/>
        </w:rPr>
        <w:t xml:space="preserve"> impacts (i.e., over 50%) </w:t>
      </w:r>
      <w:r w:rsidR="00152B33" w:rsidRPr="00152B33">
        <w:rPr>
          <w:b/>
          <w:bCs/>
          <w:i/>
          <w:iCs/>
        </w:rPr>
        <w:t>(the second approach)</w:t>
      </w:r>
      <w:r w:rsidR="00152B33">
        <w:rPr>
          <w:i/>
          <w:iCs/>
        </w:rPr>
        <w:t xml:space="preserve"> </w:t>
      </w:r>
      <w:r w:rsidRPr="00800552">
        <w:rPr>
          <w:i/>
          <w:iCs/>
        </w:rPr>
        <w:t xml:space="preserve">are covered. Depending upon the </w:t>
      </w:r>
      <w:proofErr w:type="gramStart"/>
      <w:r w:rsidRPr="00800552">
        <w:rPr>
          <w:i/>
          <w:iCs/>
        </w:rPr>
        <w:t>number of impact categories selected</w:t>
      </w:r>
      <w:proofErr w:type="gramEnd"/>
      <w:r w:rsidRPr="00800552">
        <w:rPr>
          <w:i/>
          <w:iCs/>
        </w:rPr>
        <w:t>, the number of hotspots may vary.</w:t>
      </w:r>
    </w:p>
    <w:p w14:paraId="1A93602F" w14:textId="4202495A" w:rsidR="00800552" w:rsidRDefault="00800552" w:rsidP="00800552">
      <w:r w:rsidRPr="00800552">
        <w:t> </w:t>
      </w:r>
    </w:p>
    <w:p w14:paraId="671DC730" w14:textId="77777777" w:rsidR="00950152" w:rsidRDefault="00950152" w:rsidP="00800552"/>
    <w:p w14:paraId="595E7028" w14:textId="77777777" w:rsidR="00950152" w:rsidRPr="00800552" w:rsidRDefault="00950152" w:rsidP="00800552"/>
    <w:p w14:paraId="2CC1C5C1" w14:textId="11EAE176" w:rsidR="00800552" w:rsidRPr="00800552" w:rsidRDefault="008E03B1" w:rsidP="00800552">
      <w:r>
        <w:t>T</w:t>
      </w:r>
      <w:r w:rsidR="00936DE0" w:rsidRPr="00800552">
        <w:t xml:space="preserve">he first </w:t>
      </w:r>
      <w:r>
        <w:t>approach</w:t>
      </w:r>
      <w:r w:rsidR="00936DE0" w:rsidRPr="00800552">
        <w:t xml:space="preserve"> </w:t>
      </w:r>
      <w:r>
        <w:t>should be</w:t>
      </w:r>
      <w:r w:rsidR="00936DE0" w:rsidRPr="00800552">
        <w:t xml:space="preserve"> implement</w:t>
      </w:r>
      <w:r>
        <w:t>able</w:t>
      </w:r>
      <w:r w:rsidR="00936DE0" w:rsidRPr="00800552">
        <w:t xml:space="preserve">. That is, </w:t>
      </w:r>
      <w:r>
        <w:t xml:space="preserve">if </w:t>
      </w:r>
      <w:r w:rsidR="00936DE0" w:rsidRPr="00800552">
        <w:t xml:space="preserve">a stage contributes more than the average share of all </w:t>
      </w:r>
      <w:proofErr w:type="gramStart"/>
      <w:r w:rsidR="00936DE0" w:rsidRPr="00800552">
        <w:t>stage</w:t>
      </w:r>
      <w:proofErr w:type="gramEnd"/>
      <w:r w:rsidR="004179B4">
        <w:t xml:space="preserve"> for automotive LCA</w:t>
      </w:r>
      <w:r>
        <w:t xml:space="preserve">, then the stage </w:t>
      </w:r>
      <w:proofErr w:type="gramStart"/>
      <w:r>
        <w:t>is considered to be</w:t>
      </w:r>
      <w:proofErr w:type="gramEnd"/>
      <w:r>
        <w:t xml:space="preserve"> a hot spot</w:t>
      </w:r>
      <w:r w:rsidR="00936DE0" w:rsidRPr="00800552">
        <w:t xml:space="preserve">. </w:t>
      </w:r>
    </w:p>
    <w:p w14:paraId="1D476D58" w14:textId="583A9385" w:rsidR="004179B4" w:rsidRPr="004179B4" w:rsidRDefault="004179B4" w:rsidP="00800552">
      <w:pPr>
        <w:rPr>
          <w:b/>
          <w:bCs/>
        </w:rPr>
      </w:pPr>
      <w:r w:rsidRPr="004179B4">
        <w:rPr>
          <w:b/>
          <w:bCs/>
        </w:rPr>
        <w:t>Applications of the hotspot definition in the LCA guideline</w:t>
      </w:r>
    </w:p>
    <w:p w14:paraId="6729FD6C" w14:textId="5D53F082" w:rsidR="00800552" w:rsidRDefault="004179B4" w:rsidP="00800552">
      <w:r w:rsidRPr="004179B4">
        <w:rPr>
          <w:b/>
          <w:bCs/>
        </w:rPr>
        <w:t>Material/vehicle manufacturing.</w:t>
      </w:r>
      <w:r>
        <w:t xml:space="preserve"> </w:t>
      </w:r>
      <w:r w:rsidR="00936DE0" w:rsidRPr="00800552">
        <w:t xml:space="preserve">The current language in SG1 N4 draft </w:t>
      </w:r>
      <w:r w:rsidR="008E03B1">
        <w:t>for separate estimation of battery emissions from the rest of vehicle manufacturing emissions appears to be</w:t>
      </w:r>
      <w:r w:rsidR="00936DE0" w:rsidRPr="00800552">
        <w:t xml:space="preserve"> based on this rationale: The current guideline version allows linear extrapolation of per-vehicle results with vehicle weight. The guideline realizes that battery capacity (and weight) may be independent from vehicle weight. In this regard, the guideline should make battery as an unscalable example with vehicle weight fo</w:t>
      </w:r>
      <w:r w:rsidR="008E03B1">
        <w:t>r separation</w:t>
      </w:r>
      <w:r w:rsidR="00936DE0" w:rsidRPr="00800552">
        <w:t xml:space="preserve">. </w:t>
      </w:r>
      <w:r w:rsidR="008E03B1">
        <w:t xml:space="preserve">If this is the case, </w:t>
      </w:r>
      <w:r w:rsidR="00936DE0" w:rsidRPr="00800552">
        <w:t xml:space="preserve">some general consideration, instead of specific battery consideration, for separation </w:t>
      </w:r>
      <w:r w:rsidR="008E03B1">
        <w:t xml:space="preserve">based on </w:t>
      </w:r>
      <w:r w:rsidR="008E03B1" w:rsidRPr="00152B33">
        <w:rPr>
          <w:b/>
          <w:bCs/>
        </w:rPr>
        <w:t>un-scalability</w:t>
      </w:r>
      <w:r w:rsidR="008E03B1">
        <w:t xml:space="preserve"> </w:t>
      </w:r>
      <w:r w:rsidR="00936DE0" w:rsidRPr="00800552">
        <w:t>should be worded.</w:t>
      </w:r>
    </w:p>
    <w:p w14:paraId="11653068" w14:textId="08434F6C" w:rsidR="00152B33" w:rsidRDefault="004179B4" w:rsidP="00152B33">
      <w:proofErr w:type="spellStart"/>
      <w:r w:rsidRPr="004179B4">
        <w:rPr>
          <w:b/>
          <w:bCs/>
        </w:rPr>
        <w:t>EoL</w:t>
      </w:r>
      <w:proofErr w:type="spellEnd"/>
      <w:r w:rsidRPr="004179B4">
        <w:rPr>
          <w:b/>
          <w:bCs/>
        </w:rPr>
        <w:t>.</w:t>
      </w:r>
      <w:r>
        <w:t xml:space="preserve"> As determined on June 19, </w:t>
      </w:r>
      <w:proofErr w:type="spellStart"/>
      <w:r>
        <w:t>EoL</w:t>
      </w:r>
      <w:proofErr w:type="spellEnd"/>
      <w:r>
        <w:t xml:space="preserve"> may use static energy system results if </w:t>
      </w:r>
      <w:proofErr w:type="spellStart"/>
      <w:r>
        <w:t>EoL</w:t>
      </w:r>
      <w:proofErr w:type="spellEnd"/>
      <w:r>
        <w:t xml:space="preserve"> is determined not to be emission hotspot.</w:t>
      </w:r>
    </w:p>
    <w:p w14:paraId="4C3612A7" w14:textId="47F7A25B" w:rsidR="00152B33" w:rsidRPr="00152B33" w:rsidRDefault="00152B33" w:rsidP="00152B33">
      <w:pPr>
        <w:rPr>
          <w:b/>
          <w:bCs/>
        </w:rPr>
      </w:pPr>
      <w:r w:rsidRPr="00152B33">
        <w:rPr>
          <w:b/>
          <w:bCs/>
        </w:rPr>
        <w:t>Reference</w:t>
      </w:r>
    </w:p>
    <w:p w14:paraId="367C7A5A" w14:textId="2E91E65A" w:rsidR="00800552" w:rsidRDefault="00152B33" w:rsidP="00800552">
      <w:r w:rsidRPr="00800552">
        <w:t xml:space="preserve">Barthel, M., Fava, J., James, K., Hardwick, A., &amp; Khan, S. (2017). Hotspots Analysis: An overarching methodological framework and guidance for product and sector level application. United Nations Environment </w:t>
      </w:r>
      <w:proofErr w:type="spellStart"/>
      <w:r w:rsidRPr="00800552">
        <w:t>Programme</w:t>
      </w:r>
      <w:proofErr w:type="spellEnd"/>
      <w:r w:rsidRPr="00800552">
        <w:t xml:space="preserve">: Paris, France. </w:t>
      </w:r>
      <w:hyperlink r:id="rId5" w:history="1">
        <w:r w:rsidRPr="00800552">
          <w:rPr>
            <w:rStyle w:val="Hyperlink"/>
          </w:rPr>
          <w:t>https://www.lifecycleinitiative.org/library/hotspots-analysis-an-overarching-methodological-framework-and-guidance-for-product-and-sector-level-application/</w:t>
        </w:r>
      </w:hyperlink>
    </w:p>
    <w:p w14:paraId="3903E4CB" w14:textId="77777777" w:rsidR="00541C54" w:rsidRPr="00800552" w:rsidRDefault="00541C54" w:rsidP="00800552"/>
    <w:sectPr w:rsidR="00541C54" w:rsidRPr="00800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9197F"/>
    <w:multiLevelType w:val="hybridMultilevel"/>
    <w:tmpl w:val="B540D1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29695800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52"/>
    <w:rsid w:val="00152B33"/>
    <w:rsid w:val="00243A96"/>
    <w:rsid w:val="004179B4"/>
    <w:rsid w:val="00541C54"/>
    <w:rsid w:val="00800552"/>
    <w:rsid w:val="008E03B1"/>
    <w:rsid w:val="00936DE0"/>
    <w:rsid w:val="00950152"/>
    <w:rsid w:val="00B04D7C"/>
    <w:rsid w:val="00C525FA"/>
    <w:rsid w:val="00D63868"/>
    <w:rsid w:val="00FE0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7181"/>
  <w15:chartTrackingRefBased/>
  <w15:docId w15:val="{611D3474-D691-4D59-91E4-E12310D6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B33"/>
  </w:style>
  <w:style w:type="paragraph" w:styleId="Heading1">
    <w:name w:val="heading 1"/>
    <w:basedOn w:val="Normal"/>
    <w:next w:val="Normal"/>
    <w:link w:val="Heading1Char"/>
    <w:uiPriority w:val="9"/>
    <w:qFormat/>
    <w:rsid w:val="008005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5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5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5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5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5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5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5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5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5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5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5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5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5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5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5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5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552"/>
    <w:rPr>
      <w:rFonts w:eastAsiaTheme="majorEastAsia" w:cstheme="majorBidi"/>
      <w:color w:val="272727" w:themeColor="text1" w:themeTint="D8"/>
    </w:rPr>
  </w:style>
  <w:style w:type="paragraph" w:styleId="Title">
    <w:name w:val="Title"/>
    <w:basedOn w:val="Normal"/>
    <w:next w:val="Normal"/>
    <w:link w:val="TitleChar"/>
    <w:uiPriority w:val="10"/>
    <w:qFormat/>
    <w:rsid w:val="008005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5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5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5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552"/>
    <w:pPr>
      <w:spacing w:before="160"/>
      <w:jc w:val="center"/>
    </w:pPr>
    <w:rPr>
      <w:i/>
      <w:iCs/>
      <w:color w:val="404040" w:themeColor="text1" w:themeTint="BF"/>
    </w:rPr>
  </w:style>
  <w:style w:type="character" w:customStyle="1" w:styleId="QuoteChar">
    <w:name w:val="Quote Char"/>
    <w:basedOn w:val="DefaultParagraphFont"/>
    <w:link w:val="Quote"/>
    <w:uiPriority w:val="29"/>
    <w:rsid w:val="00800552"/>
    <w:rPr>
      <w:i/>
      <w:iCs/>
      <w:color w:val="404040" w:themeColor="text1" w:themeTint="BF"/>
    </w:rPr>
  </w:style>
  <w:style w:type="paragraph" w:styleId="ListParagraph">
    <w:name w:val="List Paragraph"/>
    <w:basedOn w:val="Normal"/>
    <w:uiPriority w:val="34"/>
    <w:qFormat/>
    <w:rsid w:val="00800552"/>
    <w:pPr>
      <w:ind w:left="720"/>
      <w:contextualSpacing/>
    </w:pPr>
  </w:style>
  <w:style w:type="character" w:styleId="IntenseEmphasis">
    <w:name w:val="Intense Emphasis"/>
    <w:basedOn w:val="DefaultParagraphFont"/>
    <w:uiPriority w:val="21"/>
    <w:qFormat/>
    <w:rsid w:val="00800552"/>
    <w:rPr>
      <w:i/>
      <w:iCs/>
      <w:color w:val="0F4761" w:themeColor="accent1" w:themeShade="BF"/>
    </w:rPr>
  </w:style>
  <w:style w:type="paragraph" w:styleId="IntenseQuote">
    <w:name w:val="Intense Quote"/>
    <w:basedOn w:val="Normal"/>
    <w:next w:val="Normal"/>
    <w:link w:val="IntenseQuoteChar"/>
    <w:uiPriority w:val="30"/>
    <w:qFormat/>
    <w:rsid w:val="008005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552"/>
    <w:rPr>
      <w:i/>
      <w:iCs/>
      <w:color w:val="0F4761" w:themeColor="accent1" w:themeShade="BF"/>
    </w:rPr>
  </w:style>
  <w:style w:type="character" w:styleId="IntenseReference">
    <w:name w:val="Intense Reference"/>
    <w:basedOn w:val="DefaultParagraphFont"/>
    <w:uiPriority w:val="32"/>
    <w:qFormat/>
    <w:rsid w:val="00800552"/>
    <w:rPr>
      <w:b/>
      <w:bCs/>
      <w:smallCaps/>
      <w:color w:val="0F4761" w:themeColor="accent1" w:themeShade="BF"/>
      <w:spacing w:val="5"/>
    </w:rPr>
  </w:style>
  <w:style w:type="character" w:styleId="Hyperlink">
    <w:name w:val="Hyperlink"/>
    <w:basedOn w:val="DefaultParagraphFont"/>
    <w:uiPriority w:val="99"/>
    <w:unhideWhenUsed/>
    <w:rsid w:val="00800552"/>
    <w:rPr>
      <w:color w:val="467886" w:themeColor="hyperlink"/>
      <w:u w:val="single"/>
    </w:rPr>
  </w:style>
  <w:style w:type="character" w:styleId="UnresolvedMention">
    <w:name w:val="Unresolved Mention"/>
    <w:basedOn w:val="DefaultParagraphFont"/>
    <w:uiPriority w:val="99"/>
    <w:semiHidden/>
    <w:unhideWhenUsed/>
    <w:rsid w:val="00800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4620">
      <w:bodyDiv w:val="1"/>
      <w:marLeft w:val="0"/>
      <w:marRight w:val="0"/>
      <w:marTop w:val="0"/>
      <w:marBottom w:val="0"/>
      <w:divBdr>
        <w:top w:val="none" w:sz="0" w:space="0" w:color="auto"/>
        <w:left w:val="none" w:sz="0" w:space="0" w:color="auto"/>
        <w:bottom w:val="none" w:sz="0" w:space="0" w:color="auto"/>
        <w:right w:val="none" w:sz="0" w:space="0" w:color="auto"/>
      </w:divBdr>
    </w:div>
    <w:div w:id="10898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defense.us/v3/__https:/www.lifecycleinitiative.org/library/hotspots-analysis-an-overarching-methodological-framework-and-guidance-for-product-and-sector-level-application/__;!!G_uCfscf7eWS!c1Isa5_1xOvi2us7zE2MvkPys5Ufi0D56zLBMJS5PcN1NgpDDtcDpiQbwFVRrFpbGuVRMuDW-yV-zM07nkyogYAzn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530</Words>
  <Characters>3023</Characters>
  <Application>Microsoft Office Word</Application>
  <DocSecurity>0</DocSecurity>
  <Lines>25</Lines>
  <Paragraphs>7</Paragraphs>
  <ScaleCrop>false</ScaleCrop>
  <Company>Argonne National Laboratory</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Michael</dc:creator>
  <cp:keywords/>
  <dc:description/>
  <cp:lastModifiedBy>Wang, Michael</cp:lastModifiedBy>
  <cp:revision>8</cp:revision>
  <dcterms:created xsi:type="dcterms:W3CDTF">2025-06-19T16:35:00Z</dcterms:created>
  <dcterms:modified xsi:type="dcterms:W3CDTF">2025-06-19T20:21:00Z</dcterms:modified>
</cp:coreProperties>
</file>